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4A2A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4A2A"/>
          <w:sz w:val="18"/>
        </w:rPr>
        <w:t>[ MAALİF MODELİ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23.03.2026 Pazartesi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6-F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14:30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MAALİF MODELİ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F.8.7.2.2. Topraklamayı açıklar. Topraklamanın günlük yaşam ve teknolojideki uygulamaları dikkate alınarak can ve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MEB 6.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MAALİF MODELİ — EK GEREKLİLİKLER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Başlık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İçerik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Değerler Eğitimi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 derste ele alınan değer: ___________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Maarif Vizyonu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Öğrencinin gelişimine katkı: ___________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Uygulama Notu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Maarif müfredatı gerekliliklerine uygun ek etkinlik planlanmıştır.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