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B194" w14:textId="77777777" w:rsidR="003B43FF" w:rsidRPr="0091345E" w:rsidRDefault="003B43FF" w:rsidP="003B43FF">
      <w:pPr>
        <w:tabs>
          <w:tab w:val="left" w:pos="284"/>
        </w:tabs>
        <w:spacing w:before="75"/>
        <w:ind w:right="313"/>
        <w:rPr>
          <w:b/>
          <w:i/>
          <w:sz w:val="24"/>
          <w:lang w:val="tr-TR"/>
        </w:rPr>
      </w:pPr>
      <w:proofErr w:type="spellStart"/>
      <w:r w:rsidRPr="0091345E">
        <w:rPr>
          <w:b/>
          <w:i/>
          <w:color w:val="A11F1F"/>
          <w:sz w:val="24"/>
          <w:lang w:val="tr-TR"/>
        </w:rPr>
        <w:t>PwC</w:t>
      </w:r>
      <w:proofErr w:type="spellEnd"/>
      <w:r w:rsidRPr="0091345E">
        <w:rPr>
          <w:b/>
          <w:i/>
          <w:color w:val="A11F1F"/>
          <w:sz w:val="24"/>
          <w:lang w:val="tr-TR"/>
        </w:rPr>
        <w:t xml:space="preserve"> Türkiye</w:t>
      </w:r>
    </w:p>
    <w:p w14:paraId="46942746" w14:textId="77777777" w:rsidR="003B43FF" w:rsidRPr="0091345E" w:rsidRDefault="003B43FF" w:rsidP="003B43FF">
      <w:pPr>
        <w:tabs>
          <w:tab w:val="left" w:pos="284"/>
        </w:tabs>
        <w:spacing w:before="3"/>
        <w:ind w:right="313"/>
        <w:rPr>
          <w:sz w:val="24"/>
          <w:lang w:val="tr-TR"/>
        </w:rPr>
      </w:pPr>
      <w:r w:rsidRPr="0091345E">
        <w:rPr>
          <w:color w:val="A11F1F"/>
          <w:sz w:val="24"/>
          <w:lang w:val="tr-TR"/>
        </w:rPr>
        <w:t>Köşe Yazıları</w:t>
      </w:r>
    </w:p>
    <w:p w14:paraId="3CB37E39" w14:textId="3B4495B9" w:rsidR="003B43FF" w:rsidRDefault="003B43FF" w:rsidP="003B43FF">
      <w:pPr>
        <w:tabs>
          <w:tab w:val="left" w:pos="284"/>
        </w:tabs>
        <w:ind w:right="313"/>
        <w:jc w:val="right"/>
        <w:rPr>
          <w:i/>
          <w:color w:val="A11F1F"/>
          <w:sz w:val="20"/>
          <w:lang w:val="tr-TR"/>
        </w:rPr>
      </w:pPr>
      <w:r w:rsidRPr="0091345E">
        <w:rPr>
          <w:i/>
          <w:color w:val="A11F1F"/>
          <w:sz w:val="20"/>
          <w:lang w:val="tr-TR"/>
        </w:rPr>
        <w:t>Tarih:</w:t>
      </w:r>
      <w:r w:rsidR="00AF525C">
        <w:rPr>
          <w:i/>
          <w:color w:val="A11F1F"/>
          <w:sz w:val="20"/>
          <w:lang w:val="tr-TR"/>
        </w:rPr>
        <w:t>23</w:t>
      </w:r>
      <w:r w:rsidRPr="0091345E">
        <w:rPr>
          <w:i/>
          <w:color w:val="A11F1F"/>
          <w:sz w:val="20"/>
          <w:lang w:val="tr-TR"/>
        </w:rPr>
        <w:t>.</w:t>
      </w:r>
      <w:r w:rsidR="00AF525C">
        <w:rPr>
          <w:i/>
          <w:color w:val="A11F1F"/>
          <w:sz w:val="20"/>
          <w:lang w:val="tr-TR"/>
        </w:rPr>
        <w:t>05</w:t>
      </w:r>
      <w:r w:rsidRPr="0091345E">
        <w:rPr>
          <w:i/>
          <w:color w:val="A11F1F"/>
          <w:sz w:val="20"/>
          <w:lang w:val="tr-TR"/>
        </w:rPr>
        <w:t>.</w:t>
      </w:r>
      <w:r w:rsidR="00AF525C">
        <w:rPr>
          <w:i/>
          <w:color w:val="A11F1F"/>
          <w:sz w:val="20"/>
          <w:lang w:val="tr-TR"/>
        </w:rPr>
        <w:t>2021</w:t>
      </w:r>
    </w:p>
    <w:p w14:paraId="4CFE29B9" w14:textId="77777777" w:rsidR="003B43FF" w:rsidRPr="00F0477D" w:rsidRDefault="003B43FF" w:rsidP="003B43FF">
      <w:pPr>
        <w:pStyle w:val="Balk1"/>
        <w:spacing w:before="99"/>
        <w:ind w:left="7371" w:right="313" w:firstLine="567"/>
        <w:jc w:val="right"/>
        <w:rPr>
          <w:color w:val="A11F1F"/>
          <w:lang w:val="tr-TR"/>
        </w:rPr>
      </w:pPr>
      <w:r w:rsidRPr="000106BA">
        <w:rPr>
          <w:i w:val="0"/>
          <w:noProof/>
          <w:lang w:bidi="ar-SA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4310E880" wp14:editId="7AB44998">
                <wp:simplePos x="0" y="0"/>
                <wp:positionH relativeFrom="page">
                  <wp:posOffset>899160</wp:posOffset>
                </wp:positionH>
                <wp:positionV relativeFrom="paragraph">
                  <wp:posOffset>341163</wp:posOffset>
                </wp:positionV>
                <wp:extent cx="6316345" cy="143510"/>
                <wp:effectExtent l="0" t="0" r="20955" b="21590"/>
                <wp:wrapTopAndBottom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6345" cy="143510"/>
                          <a:chOff x="1702" y="196"/>
                          <a:chExt cx="9489" cy="228"/>
                        </a:xfrm>
                      </wpg:grpSpPr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16" y="203"/>
                            <a:ext cx="947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A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09" y="196"/>
                            <a:ext cx="0" cy="227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A1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862FE" id="Group 2" o:spid="_x0000_s1026" style="position:absolute;margin-left:70.8pt;margin-top:26.85pt;width:497.35pt;height:11.3pt;z-index:251660288;mso-wrap-distance-left:0;mso-wrap-distance-right:0;mso-position-horizontal-relative:page" coordorigin="1702,196" coordsize="94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">
                <v:line id="Line 4" o:spid="_x0000_s1027" style="position:absolute;visibility:visible;mso-wrap-style:square" from="1716,203" to="11190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" strokecolor="#a11f1f" strokeweight=".72pt"/>
                <v:line id="Line 3" o:spid="_x0000_s1028" style="position:absolute;visibility:visible;mso-wrap-style:square" from="1709,196" to="1709,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" strokecolor="#a11f1f" strokeweight=".25397mm"/>
                <w10:wrap type="topAndBottom" anchorx="page"/>
              </v:group>
            </w:pict>
          </mc:Fallback>
        </mc:AlternateContent>
      </w:r>
      <w:hyperlink r:id="rId5">
        <w:r w:rsidRPr="00F0477D">
          <w:rPr>
            <w:color w:val="A11F1F"/>
            <w:lang w:val="tr-TR"/>
          </w:rPr>
          <w:t>www.pwc.com.tr</w:t>
        </w:r>
      </w:hyperlink>
      <w:r w:rsidRPr="00F0477D">
        <w:rPr>
          <w:color w:val="A11F1F"/>
          <w:lang w:val="tr-TR"/>
        </w:rPr>
        <w:t xml:space="preserve"> </w:t>
      </w:r>
    </w:p>
    <w:p w14:paraId="4D936FF4" w14:textId="77777777" w:rsidR="003B43FF" w:rsidRPr="0091345E" w:rsidRDefault="003B43FF" w:rsidP="003B43FF">
      <w:pPr>
        <w:pStyle w:val="GvdeMetni"/>
        <w:tabs>
          <w:tab w:val="left" w:pos="284"/>
        </w:tabs>
        <w:spacing w:before="1"/>
        <w:ind w:right="313"/>
        <w:rPr>
          <w:b/>
          <w:i/>
          <w:sz w:val="13"/>
          <w:lang w:val="tr-TR"/>
        </w:rPr>
      </w:pPr>
    </w:p>
    <w:p w14:paraId="2C3AC400" w14:textId="6D8D50A3" w:rsidR="003B43FF" w:rsidRPr="00AE2C9D" w:rsidRDefault="00AF525C" w:rsidP="003B43FF">
      <w:pPr>
        <w:tabs>
          <w:tab w:val="left" w:pos="284"/>
        </w:tabs>
        <w:ind w:right="313"/>
        <w:rPr>
          <w:color w:val="A11F1F"/>
          <w:sz w:val="40"/>
          <w:szCs w:val="40"/>
          <w:lang w:val="tr-TR"/>
        </w:rPr>
      </w:pPr>
      <w:r>
        <w:rPr>
          <w:color w:val="A11F1F"/>
          <w:sz w:val="40"/>
          <w:szCs w:val="40"/>
          <w:lang w:val="tr-TR"/>
        </w:rPr>
        <w:t>Siber Güvenlikte Aktif Savunma</w:t>
      </w:r>
    </w:p>
    <w:p w14:paraId="657DFE1A" w14:textId="77777777" w:rsidR="003B43FF" w:rsidRDefault="003B43FF" w:rsidP="003B43FF">
      <w:pPr>
        <w:tabs>
          <w:tab w:val="left" w:pos="284"/>
        </w:tabs>
        <w:ind w:right="313"/>
        <w:rPr>
          <w:rFonts w:ascii="Arial" w:hAnsi="Arial" w:cs="Arial"/>
          <w:lang w:val="tr-TR"/>
        </w:rPr>
      </w:pPr>
    </w:p>
    <w:p w14:paraId="51CC0FC4" w14:textId="7F90537E" w:rsidR="003B43FF" w:rsidRDefault="003B43FF" w:rsidP="003B43FF">
      <w:pPr>
        <w:tabs>
          <w:tab w:val="left" w:pos="284"/>
        </w:tabs>
        <w:ind w:right="313"/>
        <w:rPr>
          <w:rFonts w:ascii="Arial" w:hAnsi="Arial" w:cs="Arial"/>
          <w:sz w:val="20"/>
          <w:szCs w:val="20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 xml:space="preserve"> </w:t>
      </w:r>
      <w:r w:rsidR="00AF525C">
        <w:rPr>
          <w:rFonts w:ascii="Arial" w:hAnsi="Arial" w:cs="Arial"/>
          <w:sz w:val="20"/>
          <w:szCs w:val="20"/>
          <w:lang w:val="tr-TR"/>
        </w:rPr>
        <w:t xml:space="preserve">Bu yazımızda </w:t>
      </w:r>
      <w:r w:rsidR="007446F6">
        <w:rPr>
          <w:rFonts w:ascii="Arial" w:hAnsi="Arial" w:cs="Arial"/>
          <w:sz w:val="20"/>
          <w:szCs w:val="20"/>
          <w:lang w:val="tr-TR"/>
        </w:rPr>
        <w:t>“A</w:t>
      </w:r>
      <w:r w:rsidR="00AF525C">
        <w:rPr>
          <w:rFonts w:ascii="Arial" w:hAnsi="Arial" w:cs="Arial"/>
          <w:sz w:val="20"/>
          <w:szCs w:val="20"/>
          <w:lang w:val="tr-TR"/>
        </w:rPr>
        <w:t xml:space="preserve">ktif </w:t>
      </w:r>
      <w:r w:rsidR="007446F6">
        <w:rPr>
          <w:rFonts w:ascii="Arial" w:hAnsi="Arial" w:cs="Arial"/>
          <w:sz w:val="20"/>
          <w:szCs w:val="20"/>
          <w:lang w:val="tr-TR"/>
        </w:rPr>
        <w:t>S</w:t>
      </w:r>
      <w:r w:rsidR="00AF525C">
        <w:rPr>
          <w:rFonts w:ascii="Arial" w:hAnsi="Arial" w:cs="Arial"/>
          <w:sz w:val="20"/>
          <w:szCs w:val="20"/>
          <w:lang w:val="tr-TR"/>
        </w:rPr>
        <w:t>avunma</w:t>
      </w:r>
      <w:r w:rsidR="007446F6">
        <w:rPr>
          <w:rFonts w:ascii="Arial" w:hAnsi="Arial" w:cs="Arial"/>
          <w:sz w:val="20"/>
          <w:szCs w:val="20"/>
          <w:lang w:val="tr-TR"/>
        </w:rPr>
        <w:t>”</w:t>
      </w:r>
      <w:r w:rsidR="00AF525C">
        <w:rPr>
          <w:rFonts w:ascii="Arial" w:hAnsi="Arial" w:cs="Arial"/>
          <w:sz w:val="20"/>
          <w:szCs w:val="20"/>
          <w:lang w:val="tr-TR"/>
        </w:rPr>
        <w:t xml:space="preserve"> ve genellikle karıştırılan “Karşı </w:t>
      </w:r>
      <w:r w:rsidR="007446F6">
        <w:rPr>
          <w:rFonts w:ascii="Arial" w:hAnsi="Arial" w:cs="Arial"/>
          <w:sz w:val="20"/>
          <w:szCs w:val="20"/>
          <w:lang w:val="tr-TR"/>
        </w:rPr>
        <w:t>Sızma/</w:t>
      </w:r>
      <w:proofErr w:type="spellStart"/>
      <w:r w:rsidR="007446F6">
        <w:rPr>
          <w:rFonts w:ascii="Arial" w:hAnsi="Arial" w:cs="Arial"/>
          <w:sz w:val="20"/>
          <w:szCs w:val="20"/>
          <w:lang w:val="tr-TR"/>
        </w:rPr>
        <w:t>Hackleme</w:t>
      </w:r>
      <w:proofErr w:type="spellEnd"/>
      <w:r w:rsidR="00AF525C">
        <w:rPr>
          <w:rFonts w:ascii="Arial" w:hAnsi="Arial" w:cs="Arial"/>
          <w:sz w:val="20"/>
          <w:szCs w:val="20"/>
          <w:lang w:val="tr-TR"/>
        </w:rPr>
        <w:t xml:space="preserve">” </w:t>
      </w:r>
      <w:r w:rsidR="00E658AA">
        <w:rPr>
          <w:rFonts w:ascii="Arial" w:hAnsi="Arial" w:cs="Arial"/>
          <w:sz w:val="20"/>
          <w:szCs w:val="20"/>
          <w:lang w:val="tr-TR"/>
        </w:rPr>
        <w:t>kavramlarından</w:t>
      </w:r>
      <w:r w:rsidR="00AF525C">
        <w:rPr>
          <w:rFonts w:ascii="Arial" w:hAnsi="Arial" w:cs="Arial"/>
          <w:sz w:val="20"/>
          <w:szCs w:val="20"/>
          <w:lang w:val="tr-TR"/>
        </w:rPr>
        <w:t xml:space="preserve"> bahsedilecektir.</w:t>
      </w:r>
    </w:p>
    <w:p w14:paraId="7E1F5294" w14:textId="77777777" w:rsidR="00EE1783" w:rsidRDefault="00EE1783" w:rsidP="003B43FF">
      <w:pPr>
        <w:tabs>
          <w:tab w:val="left" w:pos="284"/>
        </w:tabs>
        <w:ind w:right="313"/>
        <w:rPr>
          <w:rFonts w:ascii="Arial" w:hAnsi="Arial" w:cs="Arial"/>
          <w:sz w:val="20"/>
          <w:szCs w:val="20"/>
          <w:lang w:val="tr-TR"/>
        </w:rPr>
      </w:pPr>
    </w:p>
    <w:p w14:paraId="607D48EE" w14:textId="12AFFD4A" w:rsidR="0013796C" w:rsidRDefault="00EE1783" w:rsidP="003B43FF">
      <w:pPr>
        <w:tabs>
          <w:tab w:val="left" w:pos="284"/>
        </w:tabs>
        <w:ind w:right="313"/>
        <w:rPr>
          <w:rFonts w:ascii="Arial" w:hAnsi="Arial" w:cs="Arial"/>
          <w:sz w:val="20"/>
          <w:szCs w:val="20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 xml:space="preserve"> </w:t>
      </w:r>
      <w:r w:rsidR="0013796C">
        <w:rPr>
          <w:rFonts w:ascii="Arial" w:hAnsi="Arial" w:cs="Arial"/>
          <w:sz w:val="20"/>
          <w:szCs w:val="20"/>
          <w:lang w:val="tr-TR"/>
        </w:rPr>
        <w:t xml:space="preserve">Savunma konusunu aktif ve pasif olarak ayırabilmekteyiz. Kurumlarda kullanılan güvenlik duvarları, IPS/IDS gibi sistemlerin/yapıların bütününe “pasif güvenlik” denmekte. Aktif güvenlik ise pasif güvenliğin ardından güvenliği daha efektif sağlamak adına yapılan çalışmaları kapsamaktadır. </w:t>
      </w:r>
    </w:p>
    <w:p w14:paraId="014AB9BE" w14:textId="5D949110" w:rsidR="0013796C" w:rsidRDefault="005E2FC7" w:rsidP="003B43FF">
      <w:pPr>
        <w:tabs>
          <w:tab w:val="left" w:pos="284"/>
        </w:tabs>
        <w:ind w:right="313"/>
        <w:rPr>
          <w:rFonts w:ascii="Arial" w:hAnsi="Arial" w:cs="Arial"/>
          <w:sz w:val="20"/>
          <w:szCs w:val="20"/>
          <w:lang w:val="tr-T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305F7E0" wp14:editId="087F7826">
            <wp:simplePos x="0" y="0"/>
            <wp:positionH relativeFrom="column">
              <wp:posOffset>635</wp:posOffset>
            </wp:positionH>
            <wp:positionV relativeFrom="paragraph">
              <wp:posOffset>98425</wp:posOffset>
            </wp:positionV>
            <wp:extent cx="3123565" cy="2486660"/>
            <wp:effectExtent l="0" t="0" r="0" b="8890"/>
            <wp:wrapSquare wrapText="bothSides"/>
            <wp:docPr id="2" name="Resim 2" descr="ICS Cybersecurity Requires Passive and Active Defense | ARC Advisor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S Cybersecurity Requires Passive and Active Defense | ARC Advisory Grou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7CA1C2" w14:textId="2BC5C7F3" w:rsidR="00E658AA" w:rsidRDefault="00E658AA" w:rsidP="003B43FF">
      <w:pPr>
        <w:tabs>
          <w:tab w:val="left" w:pos="284"/>
        </w:tabs>
        <w:ind w:right="313"/>
        <w:rPr>
          <w:rFonts w:ascii="Arial" w:hAnsi="Arial" w:cs="Arial"/>
          <w:sz w:val="20"/>
          <w:szCs w:val="20"/>
          <w:lang w:val="tr-TR"/>
        </w:rPr>
      </w:pPr>
    </w:p>
    <w:p w14:paraId="690C5E26" w14:textId="14C40136" w:rsidR="00DF2469" w:rsidRDefault="00D6466B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  <w:r>
        <w:rPr>
          <w:rFonts w:ascii="Arial" w:hAnsi="Arial" w:cs="Arial"/>
          <w:bCs/>
          <w:iCs/>
          <w:sz w:val="20"/>
          <w:lang w:val="tr-TR"/>
        </w:rPr>
        <w:t xml:space="preserve"> </w:t>
      </w:r>
      <w:r w:rsidR="0013796C">
        <w:rPr>
          <w:rFonts w:ascii="Arial" w:hAnsi="Arial" w:cs="Arial"/>
          <w:bCs/>
          <w:iCs/>
          <w:sz w:val="20"/>
          <w:lang w:val="tr-TR"/>
        </w:rPr>
        <w:t xml:space="preserve">SIEM, Anomali algılama, istihbarat, olay müdahale gibi </w:t>
      </w:r>
      <w:r w:rsidR="005E2FC7">
        <w:rPr>
          <w:rFonts w:ascii="Arial" w:hAnsi="Arial" w:cs="Arial"/>
          <w:bCs/>
          <w:iCs/>
          <w:sz w:val="20"/>
          <w:lang w:val="tr-TR"/>
        </w:rPr>
        <w:t>kavramlar</w:t>
      </w:r>
      <w:r w:rsidR="0013796C">
        <w:rPr>
          <w:rFonts w:ascii="Arial" w:hAnsi="Arial" w:cs="Arial"/>
          <w:bCs/>
          <w:iCs/>
          <w:sz w:val="20"/>
          <w:lang w:val="tr-TR"/>
        </w:rPr>
        <w:t xml:space="preserve"> aktif güvenliğin altında ele alınabilir</w:t>
      </w:r>
      <w:r w:rsidR="005E2FC7">
        <w:rPr>
          <w:rFonts w:ascii="Arial" w:hAnsi="Arial" w:cs="Arial"/>
          <w:bCs/>
          <w:iCs/>
          <w:sz w:val="20"/>
          <w:lang w:val="tr-TR"/>
        </w:rPr>
        <w:t>. Aktif güvenliğin</w:t>
      </w:r>
      <w:r w:rsidR="0013796C">
        <w:rPr>
          <w:rFonts w:ascii="Arial" w:hAnsi="Arial" w:cs="Arial"/>
          <w:bCs/>
          <w:iCs/>
          <w:sz w:val="20"/>
          <w:lang w:val="tr-TR"/>
        </w:rPr>
        <w:t xml:space="preserve"> amacı kurumlardaki pasif güvenliğin yeterli olmaması </w:t>
      </w:r>
      <w:r w:rsidR="005E2FC7">
        <w:rPr>
          <w:rFonts w:ascii="Arial" w:hAnsi="Arial" w:cs="Arial"/>
          <w:bCs/>
          <w:iCs/>
          <w:sz w:val="20"/>
          <w:lang w:val="tr-TR"/>
        </w:rPr>
        <w:t xml:space="preserve">üzerine, güvenliğin daha dinamik sağlanması ve saldırganlara karşı korunma stratejileri </w:t>
      </w:r>
      <w:proofErr w:type="gramStart"/>
      <w:r w:rsidR="005E2FC7">
        <w:rPr>
          <w:rFonts w:ascii="Arial" w:hAnsi="Arial" w:cs="Arial"/>
          <w:bCs/>
          <w:iCs/>
          <w:sz w:val="20"/>
          <w:lang w:val="tr-TR"/>
        </w:rPr>
        <w:t>ile birlikte</w:t>
      </w:r>
      <w:proofErr w:type="gramEnd"/>
      <w:r w:rsidR="005E2FC7">
        <w:rPr>
          <w:rFonts w:ascii="Arial" w:hAnsi="Arial" w:cs="Arial"/>
          <w:bCs/>
          <w:iCs/>
          <w:sz w:val="20"/>
          <w:lang w:val="tr-TR"/>
        </w:rPr>
        <w:t xml:space="preserve"> bu korunma başarısının artmasını sağlamaktır.</w:t>
      </w:r>
      <w:r w:rsidR="00682031">
        <w:rPr>
          <w:rFonts w:ascii="Arial" w:hAnsi="Arial" w:cs="Arial"/>
          <w:bCs/>
          <w:iCs/>
          <w:sz w:val="20"/>
          <w:lang w:val="tr-TR"/>
        </w:rPr>
        <w:t xml:space="preserve"> </w:t>
      </w:r>
    </w:p>
    <w:p w14:paraId="285F63A2" w14:textId="6E7E09C0" w:rsidR="00EE1783" w:rsidRDefault="00EE1783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</w:p>
    <w:p w14:paraId="74490B06" w14:textId="5D95BB3D" w:rsidR="00EE1783" w:rsidRDefault="00D6466B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  <w:r>
        <w:rPr>
          <w:rFonts w:ascii="Arial" w:hAnsi="Arial" w:cs="Arial"/>
          <w:bCs/>
          <w:iCs/>
          <w:sz w:val="20"/>
          <w:lang w:val="tr-TR"/>
        </w:rPr>
        <w:t xml:space="preserve"> </w:t>
      </w:r>
      <w:r w:rsidR="00EE1783">
        <w:rPr>
          <w:rFonts w:ascii="Arial" w:hAnsi="Arial" w:cs="Arial"/>
          <w:bCs/>
          <w:iCs/>
          <w:sz w:val="20"/>
          <w:lang w:val="tr-TR"/>
        </w:rPr>
        <w:t>Kurumlar içinde kurulan “Olay Tespit ve Müdah</w:t>
      </w:r>
      <w:r w:rsidR="007446F6">
        <w:rPr>
          <w:rFonts w:ascii="Arial" w:hAnsi="Arial" w:cs="Arial"/>
          <w:bCs/>
          <w:iCs/>
          <w:sz w:val="20"/>
          <w:lang w:val="tr-TR"/>
        </w:rPr>
        <w:t>a</w:t>
      </w:r>
      <w:r w:rsidR="00EE1783">
        <w:rPr>
          <w:rFonts w:ascii="Arial" w:hAnsi="Arial" w:cs="Arial"/>
          <w:bCs/>
          <w:iCs/>
          <w:sz w:val="20"/>
          <w:lang w:val="tr-TR"/>
        </w:rPr>
        <w:t xml:space="preserve">le Ekipleri” veya hizmetleri, </w:t>
      </w:r>
      <w:proofErr w:type="spellStart"/>
      <w:proofErr w:type="gramStart"/>
      <w:r w:rsidR="00EE1783">
        <w:rPr>
          <w:rFonts w:ascii="Arial" w:hAnsi="Arial" w:cs="Arial"/>
          <w:bCs/>
          <w:iCs/>
          <w:sz w:val="20"/>
          <w:lang w:val="tr-TR"/>
        </w:rPr>
        <w:t>balküp</w:t>
      </w:r>
      <w:proofErr w:type="spellEnd"/>
      <w:r w:rsidR="00EE1783">
        <w:rPr>
          <w:rFonts w:ascii="Arial" w:hAnsi="Arial" w:cs="Arial"/>
          <w:bCs/>
          <w:iCs/>
          <w:sz w:val="20"/>
          <w:lang w:val="tr-TR"/>
        </w:rPr>
        <w:t>(</w:t>
      </w:r>
      <w:proofErr w:type="spellStart"/>
      <w:proofErr w:type="gramEnd"/>
      <w:r w:rsidR="00EE1783">
        <w:rPr>
          <w:rFonts w:ascii="Arial" w:hAnsi="Arial" w:cs="Arial"/>
          <w:bCs/>
          <w:iCs/>
          <w:sz w:val="20"/>
          <w:lang w:val="tr-TR"/>
        </w:rPr>
        <w:t>honeypot</w:t>
      </w:r>
      <w:proofErr w:type="spellEnd"/>
      <w:r w:rsidR="00EE1783">
        <w:rPr>
          <w:rFonts w:ascii="Arial" w:hAnsi="Arial" w:cs="Arial"/>
          <w:bCs/>
          <w:iCs/>
          <w:sz w:val="20"/>
          <w:lang w:val="tr-TR"/>
        </w:rPr>
        <w:t>)</w:t>
      </w:r>
      <w:proofErr w:type="spellStart"/>
      <w:r w:rsidR="00EE1783">
        <w:rPr>
          <w:rFonts w:ascii="Arial" w:hAnsi="Arial" w:cs="Arial"/>
          <w:bCs/>
          <w:iCs/>
          <w:sz w:val="20"/>
          <w:lang w:val="tr-TR"/>
        </w:rPr>
        <w:t>leri</w:t>
      </w:r>
      <w:proofErr w:type="spellEnd"/>
      <w:r w:rsidR="00EE1783">
        <w:rPr>
          <w:rFonts w:ascii="Arial" w:hAnsi="Arial" w:cs="Arial"/>
          <w:bCs/>
          <w:iCs/>
          <w:sz w:val="20"/>
          <w:lang w:val="tr-TR"/>
        </w:rPr>
        <w:t xml:space="preserve">, </w:t>
      </w:r>
      <w:proofErr w:type="spellStart"/>
      <w:r w:rsidR="007446F6">
        <w:rPr>
          <w:rFonts w:ascii="Arial" w:hAnsi="Arial" w:cs="Arial"/>
          <w:bCs/>
          <w:iCs/>
          <w:sz w:val="20"/>
          <w:lang w:val="tr-TR"/>
        </w:rPr>
        <w:t>log</w:t>
      </w:r>
      <w:proofErr w:type="spellEnd"/>
      <w:r w:rsidR="00EE1783">
        <w:rPr>
          <w:rFonts w:ascii="Arial" w:hAnsi="Arial" w:cs="Arial"/>
          <w:bCs/>
          <w:iCs/>
          <w:sz w:val="20"/>
          <w:lang w:val="tr-TR"/>
        </w:rPr>
        <w:t xml:space="preserve"> toplama araçları, siber istihbarat çözümleri, belirli aralıklarla yapılan güvenlik testleri ve kırmızı takım çalışmaları gibi çeşitli işlerin tamamı kurumların güvenliğin</w:t>
      </w:r>
      <w:r w:rsidR="007446F6">
        <w:rPr>
          <w:rFonts w:ascii="Arial" w:hAnsi="Arial" w:cs="Arial"/>
          <w:bCs/>
          <w:iCs/>
          <w:sz w:val="20"/>
          <w:lang w:val="tr-TR"/>
        </w:rPr>
        <w:t>in</w:t>
      </w:r>
      <w:r w:rsidR="00EE1783">
        <w:rPr>
          <w:rFonts w:ascii="Arial" w:hAnsi="Arial" w:cs="Arial"/>
          <w:bCs/>
          <w:iCs/>
          <w:sz w:val="20"/>
          <w:lang w:val="tr-TR"/>
        </w:rPr>
        <w:t xml:space="preserve"> sağlanması adına büyük rol </w:t>
      </w:r>
      <w:r w:rsidR="007446F6">
        <w:rPr>
          <w:rFonts w:ascii="Arial" w:hAnsi="Arial" w:cs="Arial"/>
          <w:bCs/>
          <w:iCs/>
          <w:sz w:val="20"/>
          <w:lang w:val="tr-TR"/>
        </w:rPr>
        <w:t>oynamaktadır.</w:t>
      </w:r>
    </w:p>
    <w:p w14:paraId="5BBCB46A" w14:textId="71623121" w:rsidR="007446F6" w:rsidRDefault="007446F6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</w:p>
    <w:p w14:paraId="5474D8D0" w14:textId="77777777" w:rsidR="00267314" w:rsidRDefault="00D6466B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  <w:r>
        <w:rPr>
          <w:rFonts w:ascii="Arial" w:hAnsi="Arial" w:cs="Arial"/>
          <w:bCs/>
          <w:iCs/>
          <w:sz w:val="20"/>
          <w:lang w:val="tr-TR"/>
        </w:rPr>
        <w:t xml:space="preserve"> </w:t>
      </w:r>
      <w:r w:rsidR="007446F6">
        <w:rPr>
          <w:rFonts w:ascii="Arial" w:hAnsi="Arial" w:cs="Arial"/>
          <w:bCs/>
          <w:iCs/>
          <w:sz w:val="20"/>
          <w:lang w:val="tr-TR"/>
        </w:rPr>
        <w:t xml:space="preserve">Yapılan bu çalışmaların geri dönütlerinin uygulanması, bu süreçlerin izlenmesi, takip edilmesi gibi işler de </w:t>
      </w:r>
    </w:p>
    <w:p w14:paraId="58B7A883" w14:textId="5624DB27" w:rsidR="00267314" w:rsidRDefault="007446F6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  <w:proofErr w:type="gramStart"/>
      <w:r>
        <w:rPr>
          <w:rFonts w:ascii="Arial" w:hAnsi="Arial" w:cs="Arial"/>
          <w:bCs/>
          <w:iCs/>
          <w:sz w:val="20"/>
          <w:lang w:val="tr-TR"/>
        </w:rPr>
        <w:t>aktif</w:t>
      </w:r>
      <w:proofErr w:type="gramEnd"/>
      <w:r w:rsidR="00267314">
        <w:rPr>
          <w:rFonts w:ascii="Arial" w:hAnsi="Arial" w:cs="Arial"/>
          <w:bCs/>
          <w:iCs/>
          <w:sz w:val="20"/>
          <w:lang w:val="tr-TR"/>
        </w:rPr>
        <w:t xml:space="preserve"> </w:t>
      </w:r>
      <w:r>
        <w:rPr>
          <w:rFonts w:ascii="Arial" w:hAnsi="Arial" w:cs="Arial"/>
          <w:bCs/>
          <w:iCs/>
          <w:sz w:val="20"/>
          <w:lang w:val="tr-TR"/>
        </w:rPr>
        <w:t xml:space="preserve">savunmanın önemli adımlarındandır. Güvenliği genel olarak bir süreç olarak ele almamız gerektiğini düşündüğümüzde bu adımların birinin veya birkaçının atlanması kurum açıdan oluşabilecek riskleri artırabilmektedir. </w:t>
      </w:r>
      <w:r w:rsidR="00267314">
        <w:rPr>
          <w:rFonts w:ascii="Arial" w:hAnsi="Arial" w:cs="Arial"/>
          <w:bCs/>
          <w:iCs/>
          <w:sz w:val="20"/>
          <w:lang w:val="tr-TR"/>
        </w:rPr>
        <w:t>Aktif güvenliği, insan sağlığı gibi kurumsal güvenlik sağlığı olarak ele alabilmekte ve benzetebilmekteyiz. Sağlığımızı korumak adına yaptığımız şeyler nasıl süreklilik gerektiriyorsa</w:t>
      </w:r>
    </w:p>
    <w:p w14:paraId="5F03AB09" w14:textId="240249D5" w:rsidR="007446F6" w:rsidRDefault="00267314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  <w:proofErr w:type="gramStart"/>
      <w:r>
        <w:rPr>
          <w:rFonts w:ascii="Arial" w:hAnsi="Arial" w:cs="Arial"/>
          <w:bCs/>
          <w:iCs/>
          <w:sz w:val="20"/>
          <w:lang w:val="tr-TR"/>
        </w:rPr>
        <w:t>p</w:t>
      </w:r>
      <w:r w:rsidR="007446F6">
        <w:rPr>
          <w:rFonts w:ascii="Arial" w:hAnsi="Arial" w:cs="Arial"/>
          <w:bCs/>
          <w:iCs/>
          <w:sz w:val="20"/>
          <w:lang w:val="tr-TR"/>
        </w:rPr>
        <w:t>asif</w:t>
      </w:r>
      <w:proofErr w:type="gramEnd"/>
      <w:r w:rsidR="007446F6">
        <w:rPr>
          <w:rFonts w:ascii="Arial" w:hAnsi="Arial" w:cs="Arial"/>
          <w:bCs/>
          <w:iCs/>
          <w:sz w:val="20"/>
          <w:lang w:val="tr-TR"/>
        </w:rPr>
        <w:t xml:space="preserve"> güvenliğin yanında aktif güvenliğinde sıkı bir şekilde ilerletilmesi ve sürekliliğinin sağlanması gerekmektedir.</w:t>
      </w:r>
      <w:r>
        <w:rPr>
          <w:rFonts w:ascii="Arial" w:hAnsi="Arial" w:cs="Arial"/>
          <w:bCs/>
          <w:iCs/>
          <w:sz w:val="20"/>
          <w:lang w:val="tr-TR"/>
        </w:rPr>
        <w:t xml:space="preserve"> </w:t>
      </w:r>
    </w:p>
    <w:p w14:paraId="717183A9" w14:textId="77777777" w:rsidR="00DF2469" w:rsidRDefault="00DF2469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</w:p>
    <w:p w14:paraId="7DEA304E" w14:textId="0BA8EE8A" w:rsidR="00E658AA" w:rsidRDefault="00D6466B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  <w:r>
        <w:rPr>
          <w:rFonts w:ascii="Arial" w:hAnsi="Arial" w:cs="Arial"/>
          <w:bCs/>
          <w:iCs/>
          <w:sz w:val="20"/>
          <w:lang w:val="tr-TR"/>
        </w:rPr>
        <w:t xml:space="preserve"> </w:t>
      </w:r>
      <w:r w:rsidR="005E2FC7">
        <w:rPr>
          <w:rFonts w:ascii="Arial" w:hAnsi="Arial" w:cs="Arial"/>
          <w:bCs/>
          <w:iCs/>
          <w:sz w:val="20"/>
          <w:lang w:val="tr-TR"/>
        </w:rPr>
        <w:t xml:space="preserve">Kurumların çoğu günün sonunda </w:t>
      </w:r>
      <w:r w:rsidR="007446F6">
        <w:rPr>
          <w:rFonts w:ascii="Arial" w:hAnsi="Arial" w:cs="Arial"/>
          <w:sz w:val="20"/>
          <w:szCs w:val="20"/>
          <w:lang w:val="tr-TR"/>
        </w:rPr>
        <w:t xml:space="preserve">“Aktif Savunma” </w:t>
      </w:r>
      <w:r w:rsidR="005E2FC7">
        <w:rPr>
          <w:rFonts w:ascii="Arial" w:hAnsi="Arial" w:cs="Arial"/>
          <w:bCs/>
          <w:iCs/>
          <w:sz w:val="20"/>
          <w:lang w:val="tr-TR"/>
        </w:rPr>
        <w:t>kavramı</w:t>
      </w:r>
      <w:r w:rsidR="007446F6">
        <w:rPr>
          <w:rFonts w:ascii="Arial" w:hAnsi="Arial" w:cs="Arial"/>
          <w:bCs/>
          <w:iCs/>
          <w:sz w:val="20"/>
          <w:lang w:val="tr-TR"/>
        </w:rPr>
        <w:t>nı</w:t>
      </w:r>
      <w:r w:rsidR="005E2FC7">
        <w:rPr>
          <w:rFonts w:ascii="Arial" w:hAnsi="Arial" w:cs="Arial"/>
          <w:bCs/>
          <w:iCs/>
          <w:sz w:val="20"/>
          <w:lang w:val="tr-TR"/>
        </w:rPr>
        <w:t xml:space="preserve"> yakından takip ediyor ve kullanıyor olsa da </w:t>
      </w:r>
      <w:r w:rsidR="007446F6">
        <w:rPr>
          <w:rFonts w:ascii="Arial" w:hAnsi="Arial" w:cs="Arial"/>
          <w:bCs/>
          <w:iCs/>
          <w:sz w:val="20"/>
          <w:lang w:val="tr-TR"/>
        </w:rPr>
        <w:t>kavram olarak</w:t>
      </w:r>
      <w:r w:rsidR="005E2FC7">
        <w:rPr>
          <w:rFonts w:ascii="Arial" w:hAnsi="Arial" w:cs="Arial"/>
          <w:bCs/>
          <w:iCs/>
          <w:sz w:val="20"/>
          <w:lang w:val="tr-TR"/>
        </w:rPr>
        <w:t xml:space="preserve"> kimi zaman “Karşı </w:t>
      </w:r>
      <w:r w:rsidR="007446F6">
        <w:rPr>
          <w:rFonts w:ascii="Arial" w:hAnsi="Arial" w:cs="Arial"/>
          <w:sz w:val="20"/>
          <w:szCs w:val="20"/>
          <w:lang w:val="tr-TR"/>
        </w:rPr>
        <w:t>Sızma/</w:t>
      </w:r>
      <w:proofErr w:type="spellStart"/>
      <w:r w:rsidR="007446F6">
        <w:rPr>
          <w:rFonts w:ascii="Arial" w:hAnsi="Arial" w:cs="Arial"/>
          <w:sz w:val="20"/>
          <w:szCs w:val="20"/>
          <w:lang w:val="tr-TR"/>
        </w:rPr>
        <w:t>Hackleme</w:t>
      </w:r>
      <w:proofErr w:type="spellEnd"/>
      <w:r w:rsidR="005E2FC7">
        <w:rPr>
          <w:rFonts w:ascii="Arial" w:hAnsi="Arial" w:cs="Arial"/>
          <w:bCs/>
          <w:iCs/>
          <w:sz w:val="20"/>
          <w:lang w:val="tr-TR"/>
        </w:rPr>
        <w:t>” ile karıştırılmaktadır.</w:t>
      </w:r>
    </w:p>
    <w:p w14:paraId="78E5022F" w14:textId="0491AD3A" w:rsidR="005E2FC7" w:rsidRDefault="005E2FC7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</w:p>
    <w:p w14:paraId="63AF5020" w14:textId="1D7AD0CC" w:rsidR="005E2FC7" w:rsidRDefault="00D6466B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  <w:r>
        <w:rPr>
          <w:rFonts w:ascii="Arial" w:hAnsi="Arial" w:cs="Arial"/>
          <w:bCs/>
          <w:iCs/>
          <w:sz w:val="20"/>
          <w:lang w:val="tr-TR"/>
        </w:rPr>
        <w:t xml:space="preserve"> </w:t>
      </w:r>
      <w:r w:rsidR="005E2FC7">
        <w:rPr>
          <w:rFonts w:ascii="Arial" w:hAnsi="Arial" w:cs="Arial"/>
          <w:bCs/>
          <w:iCs/>
          <w:sz w:val="20"/>
          <w:lang w:val="tr-TR"/>
        </w:rPr>
        <w:t>Saldırganlar sisteme sızmayı başardıktan ve fark edildikten sonra kurumlar bir karşılık vermek istemekte ve kimi zaman ne yapacakları konusunda fikirleri olmamaktadır.</w:t>
      </w:r>
    </w:p>
    <w:p w14:paraId="3C000309" w14:textId="67814CF4" w:rsidR="005E2FC7" w:rsidRDefault="005E2FC7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</w:p>
    <w:p w14:paraId="667220ED" w14:textId="43B4F4F7" w:rsidR="005E2FC7" w:rsidRDefault="00F94300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B99801" wp14:editId="7FBCA6C7">
            <wp:simplePos x="0" y="0"/>
            <wp:positionH relativeFrom="column">
              <wp:posOffset>914</wp:posOffset>
            </wp:positionH>
            <wp:positionV relativeFrom="paragraph">
              <wp:posOffset>-2540</wp:posOffset>
            </wp:positionV>
            <wp:extent cx="2618740" cy="1741170"/>
            <wp:effectExtent l="0" t="0" r="0" b="0"/>
            <wp:wrapSquare wrapText="bothSides"/>
            <wp:docPr id="4" name="Resim 4" descr="Active Defence System ADS tested on Fuchs/Fox - RP Def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e Defence System ADS tested on Fuchs/Fox - RP Defen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66B">
        <w:rPr>
          <w:rFonts w:ascii="Arial" w:hAnsi="Arial" w:cs="Arial"/>
          <w:bCs/>
          <w:iCs/>
          <w:sz w:val="20"/>
          <w:lang w:val="tr-TR"/>
        </w:rPr>
        <w:t xml:space="preserve"> </w:t>
      </w:r>
      <w:proofErr w:type="spellStart"/>
      <w:r w:rsidR="005E2FC7">
        <w:rPr>
          <w:rFonts w:ascii="Arial" w:hAnsi="Arial" w:cs="Arial"/>
          <w:bCs/>
          <w:iCs/>
          <w:sz w:val="20"/>
          <w:lang w:val="tr-TR"/>
        </w:rPr>
        <w:t>Hacklenen</w:t>
      </w:r>
      <w:proofErr w:type="spellEnd"/>
      <w:r w:rsidR="005E2FC7">
        <w:rPr>
          <w:rFonts w:ascii="Arial" w:hAnsi="Arial" w:cs="Arial"/>
          <w:bCs/>
          <w:iCs/>
          <w:sz w:val="20"/>
          <w:lang w:val="tr-TR"/>
        </w:rPr>
        <w:t xml:space="preserve"> kurum kimi zaman</w:t>
      </w:r>
      <w:r w:rsidR="00EE1783">
        <w:rPr>
          <w:rFonts w:ascii="Arial" w:hAnsi="Arial" w:cs="Arial"/>
          <w:bCs/>
          <w:iCs/>
          <w:sz w:val="20"/>
          <w:lang w:val="tr-TR"/>
        </w:rPr>
        <w:t xml:space="preserve"> bir şeyler yapmak istemekte ve</w:t>
      </w:r>
      <w:r w:rsidR="005E2FC7">
        <w:rPr>
          <w:rFonts w:ascii="Arial" w:hAnsi="Arial" w:cs="Arial"/>
          <w:bCs/>
          <w:iCs/>
          <w:sz w:val="20"/>
          <w:lang w:val="tr-TR"/>
        </w:rPr>
        <w:t xml:space="preserve"> ateşe ateşle karşılık vermeye çalışmaktadır. </w:t>
      </w:r>
      <w:r w:rsidR="00DF2469">
        <w:rPr>
          <w:rFonts w:ascii="Arial" w:hAnsi="Arial" w:cs="Arial"/>
          <w:bCs/>
          <w:iCs/>
          <w:sz w:val="20"/>
          <w:lang w:val="tr-TR"/>
        </w:rPr>
        <w:t xml:space="preserve">Burada “Karşı </w:t>
      </w:r>
      <w:r w:rsidR="007446F6">
        <w:rPr>
          <w:rFonts w:ascii="Arial" w:hAnsi="Arial" w:cs="Arial"/>
          <w:sz w:val="20"/>
          <w:szCs w:val="20"/>
          <w:lang w:val="tr-TR"/>
        </w:rPr>
        <w:t>Sızma/</w:t>
      </w:r>
      <w:proofErr w:type="spellStart"/>
      <w:r w:rsidR="007446F6">
        <w:rPr>
          <w:rFonts w:ascii="Arial" w:hAnsi="Arial" w:cs="Arial"/>
          <w:sz w:val="20"/>
          <w:szCs w:val="20"/>
          <w:lang w:val="tr-TR"/>
        </w:rPr>
        <w:t>Hackleme</w:t>
      </w:r>
      <w:r w:rsidR="00DF2469">
        <w:rPr>
          <w:rFonts w:ascii="Arial" w:hAnsi="Arial" w:cs="Arial"/>
          <w:bCs/>
          <w:iCs/>
          <w:sz w:val="20"/>
          <w:lang w:val="tr-TR"/>
        </w:rPr>
        <w:t>”den</w:t>
      </w:r>
      <w:proofErr w:type="spellEnd"/>
      <w:r w:rsidR="00DF2469">
        <w:rPr>
          <w:rFonts w:ascii="Arial" w:hAnsi="Arial" w:cs="Arial"/>
          <w:bCs/>
          <w:iCs/>
          <w:sz w:val="20"/>
          <w:lang w:val="tr-TR"/>
        </w:rPr>
        <w:t xml:space="preserve"> bahsedebilmekteyiz. Bu eylem fırlatılan bir füzeyi </w:t>
      </w:r>
      <w:r w:rsidR="00906BB7">
        <w:rPr>
          <w:rFonts w:ascii="Arial" w:hAnsi="Arial" w:cs="Arial"/>
          <w:bCs/>
          <w:iCs/>
          <w:sz w:val="20"/>
          <w:lang w:val="tr-TR"/>
        </w:rPr>
        <w:t>başka bir</w:t>
      </w:r>
      <w:r w:rsidR="00DF2469">
        <w:rPr>
          <w:rFonts w:ascii="Arial" w:hAnsi="Arial" w:cs="Arial"/>
          <w:bCs/>
          <w:iCs/>
          <w:sz w:val="20"/>
          <w:lang w:val="tr-TR"/>
        </w:rPr>
        <w:t xml:space="preserve"> füze ile etkisiz hale getirmeye benzetilebilmekte. Burada yapılanın aslında bir angajman kuralına uygun olması gerektiği ve çoğu zaman bunun bir suç olduğunu belirtmemiz gerekir. </w:t>
      </w:r>
      <w:r w:rsidR="00EE1783">
        <w:rPr>
          <w:rFonts w:ascii="Arial" w:hAnsi="Arial" w:cs="Arial"/>
          <w:bCs/>
          <w:iCs/>
          <w:sz w:val="20"/>
          <w:lang w:val="tr-TR"/>
        </w:rPr>
        <w:t>G</w:t>
      </w:r>
      <w:r w:rsidR="00DF2469">
        <w:rPr>
          <w:rFonts w:ascii="Arial" w:hAnsi="Arial" w:cs="Arial"/>
          <w:bCs/>
          <w:iCs/>
          <w:sz w:val="20"/>
          <w:lang w:val="tr-TR"/>
        </w:rPr>
        <w:t>enel olarak karşıdan istihbarat toplamak, bu sızma eylemi yapanları tespit edebilmek, verilerin ne kadar çalındığını tespit etmek, kullanılan araçları veya yeni yöntemleri tespit edebilmek gibi amaçlar güdülebilmektedir.</w:t>
      </w:r>
    </w:p>
    <w:p w14:paraId="77FD104C" w14:textId="77777777" w:rsidR="00576271" w:rsidRDefault="00576271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</w:p>
    <w:p w14:paraId="469AD474" w14:textId="4425C4D6" w:rsidR="00F94300" w:rsidRDefault="00F94300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  <w:r>
        <w:rPr>
          <w:rFonts w:ascii="Arial" w:hAnsi="Arial" w:cs="Arial"/>
          <w:bCs/>
          <w:iCs/>
          <w:noProof/>
          <w:sz w:val="20"/>
          <w:lang w:val="tr-TR"/>
        </w:rPr>
        <w:lastRenderedPageBreak/>
        <w:drawing>
          <wp:anchor distT="0" distB="0" distL="114300" distR="114300" simplePos="0" relativeHeight="251662336" behindDoc="0" locked="0" layoutInCell="1" allowOverlap="1" wp14:anchorId="45A0EC31" wp14:editId="54869DDB">
            <wp:simplePos x="0" y="0"/>
            <wp:positionH relativeFrom="column">
              <wp:posOffset>3795395</wp:posOffset>
            </wp:positionH>
            <wp:positionV relativeFrom="paragraph">
              <wp:posOffset>128905</wp:posOffset>
            </wp:positionV>
            <wp:extent cx="2092325" cy="1414145"/>
            <wp:effectExtent l="0" t="0" r="317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BC693" w14:textId="3840BEF2" w:rsidR="00682031" w:rsidRDefault="00576271" w:rsidP="005E2FC7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  <w:r>
        <w:rPr>
          <w:rFonts w:ascii="Arial" w:hAnsi="Arial" w:cs="Arial"/>
          <w:bCs/>
          <w:iCs/>
          <w:sz w:val="20"/>
          <w:lang w:val="tr-TR"/>
        </w:rPr>
        <w:t xml:space="preserve"> </w:t>
      </w:r>
      <w:r w:rsidR="00EE1783">
        <w:rPr>
          <w:rFonts w:ascii="Arial" w:hAnsi="Arial" w:cs="Arial"/>
          <w:bCs/>
          <w:iCs/>
          <w:sz w:val="20"/>
          <w:lang w:val="tr-TR"/>
        </w:rPr>
        <w:t xml:space="preserve">Örnek olarak geçmiş zamanda bir ülkede gerçekleşen veri kaçırma eylemini bulmak için indirilen dosyalar içine gömülen bir zararlı verilebilir. Zararlı dosyayı da diğerleri </w:t>
      </w:r>
      <w:proofErr w:type="gramStart"/>
      <w:r w:rsidR="00EE1783">
        <w:rPr>
          <w:rFonts w:ascii="Arial" w:hAnsi="Arial" w:cs="Arial"/>
          <w:bCs/>
          <w:iCs/>
          <w:sz w:val="20"/>
          <w:lang w:val="tr-TR"/>
        </w:rPr>
        <w:t>ile birlikte</w:t>
      </w:r>
      <w:proofErr w:type="gramEnd"/>
      <w:r w:rsidR="00EE1783">
        <w:rPr>
          <w:rFonts w:ascii="Arial" w:hAnsi="Arial" w:cs="Arial"/>
          <w:bCs/>
          <w:iCs/>
          <w:sz w:val="20"/>
          <w:lang w:val="tr-TR"/>
        </w:rPr>
        <w:t xml:space="preserve"> açıp inceleyen </w:t>
      </w:r>
      <w:r w:rsidR="00906BB7">
        <w:rPr>
          <w:rFonts w:ascii="Arial" w:hAnsi="Arial" w:cs="Arial"/>
          <w:bCs/>
          <w:iCs/>
          <w:sz w:val="20"/>
          <w:lang w:val="tr-TR"/>
        </w:rPr>
        <w:t xml:space="preserve">ve kamera görüntüsü alınan </w:t>
      </w:r>
      <w:r w:rsidR="00EE1783">
        <w:rPr>
          <w:rFonts w:ascii="Arial" w:hAnsi="Arial" w:cs="Arial"/>
          <w:bCs/>
          <w:iCs/>
          <w:sz w:val="20"/>
          <w:lang w:val="tr-TR"/>
        </w:rPr>
        <w:t xml:space="preserve">saldırgan bu sayede yakalanabilmiştir. </w:t>
      </w:r>
    </w:p>
    <w:p w14:paraId="1A60310D" w14:textId="55424608" w:rsidR="005E2FC7" w:rsidRDefault="005E2FC7" w:rsidP="00267314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</w:p>
    <w:p w14:paraId="47E8DF86" w14:textId="10661190" w:rsidR="00576271" w:rsidRDefault="00576271" w:rsidP="00267314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  <w:r>
        <w:rPr>
          <w:rFonts w:ascii="Arial" w:hAnsi="Arial" w:cs="Arial"/>
          <w:bCs/>
          <w:iCs/>
          <w:sz w:val="20"/>
          <w:lang w:val="tr-TR"/>
        </w:rPr>
        <w:t xml:space="preserve">“Aktif Savunma” ve “Karşı </w:t>
      </w:r>
      <w:proofErr w:type="spellStart"/>
      <w:r>
        <w:rPr>
          <w:rFonts w:ascii="Arial" w:hAnsi="Arial" w:cs="Arial"/>
          <w:bCs/>
          <w:iCs/>
          <w:sz w:val="20"/>
          <w:lang w:val="tr-TR"/>
        </w:rPr>
        <w:t>Hackleme</w:t>
      </w:r>
      <w:proofErr w:type="spellEnd"/>
      <w:r>
        <w:rPr>
          <w:rFonts w:ascii="Arial" w:hAnsi="Arial" w:cs="Arial"/>
          <w:bCs/>
          <w:iCs/>
          <w:sz w:val="20"/>
          <w:lang w:val="tr-TR"/>
        </w:rPr>
        <w:t>/Sızma” konusundaki yaptırımlar ve hukuksal konular ise</w:t>
      </w:r>
      <w:r w:rsidR="00906BB7">
        <w:rPr>
          <w:rFonts w:ascii="Arial" w:hAnsi="Arial" w:cs="Arial"/>
          <w:bCs/>
          <w:iCs/>
          <w:sz w:val="20"/>
          <w:lang w:val="tr-TR"/>
        </w:rPr>
        <w:t xml:space="preserve"> bağlı bulunan regülasyonlara,</w:t>
      </w:r>
      <w:r>
        <w:rPr>
          <w:rFonts w:ascii="Arial" w:hAnsi="Arial" w:cs="Arial"/>
          <w:bCs/>
          <w:iCs/>
          <w:sz w:val="20"/>
          <w:lang w:val="tr-TR"/>
        </w:rPr>
        <w:t xml:space="preserve"> ülkelere ve ülkelerin politikalarına göre değişmektedir.</w:t>
      </w:r>
      <w:r w:rsidR="00906BB7">
        <w:rPr>
          <w:rFonts w:ascii="Arial" w:hAnsi="Arial" w:cs="Arial"/>
          <w:bCs/>
          <w:iCs/>
          <w:sz w:val="20"/>
          <w:lang w:val="tr-TR"/>
        </w:rPr>
        <w:t xml:space="preserve"> Bu noktada yapılacak çalışmalar ilgili ülke veya regülasyon kurallarına göre yapılmak zorundadır.</w:t>
      </w:r>
    </w:p>
    <w:p w14:paraId="36BC7936" w14:textId="7782D36C" w:rsidR="00906BB7" w:rsidRDefault="00906BB7" w:rsidP="00267314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</w:p>
    <w:p w14:paraId="70F5C906" w14:textId="5673EF9A" w:rsidR="00906BB7" w:rsidRDefault="00906BB7" w:rsidP="00267314">
      <w:pPr>
        <w:tabs>
          <w:tab w:val="left" w:pos="1417"/>
        </w:tabs>
        <w:ind w:right="313"/>
        <w:rPr>
          <w:rFonts w:ascii="Arial" w:hAnsi="Arial" w:cs="Arial"/>
          <w:bCs/>
          <w:iCs/>
          <w:sz w:val="20"/>
          <w:lang w:val="tr-TR"/>
        </w:rPr>
      </w:pPr>
      <w:r>
        <w:rPr>
          <w:rFonts w:ascii="Arial" w:hAnsi="Arial" w:cs="Arial"/>
          <w:bCs/>
          <w:iCs/>
          <w:sz w:val="20"/>
          <w:lang w:val="tr-TR"/>
        </w:rPr>
        <w:t xml:space="preserve"> Kurumların güvenliklerinin sağlanması ve sürdürülebilmesi için bu ve benzeri kavramların anlaşılması ve benimsenmesi önemlidir. Ayrıca hukuki tarafta da kurum </w:t>
      </w:r>
      <w:r w:rsidR="00B55239">
        <w:rPr>
          <w:rFonts w:ascii="Arial" w:hAnsi="Arial" w:cs="Arial"/>
          <w:bCs/>
          <w:iCs/>
          <w:sz w:val="20"/>
          <w:lang w:val="tr-TR"/>
        </w:rPr>
        <w:t>için</w:t>
      </w:r>
      <w:r>
        <w:rPr>
          <w:rFonts w:ascii="Arial" w:hAnsi="Arial" w:cs="Arial"/>
          <w:bCs/>
          <w:iCs/>
          <w:sz w:val="20"/>
          <w:lang w:val="tr-TR"/>
        </w:rPr>
        <w:t xml:space="preserve"> bir problem yaratmamak adına dikkatli davranmak, kurallara uymak gerekir. </w:t>
      </w:r>
    </w:p>
    <w:p w14:paraId="3649C834" w14:textId="4CDB6D0C" w:rsidR="0013796C" w:rsidRDefault="0013796C" w:rsidP="003B43FF">
      <w:pPr>
        <w:tabs>
          <w:tab w:val="left" w:pos="284"/>
        </w:tabs>
        <w:ind w:right="313"/>
        <w:rPr>
          <w:rFonts w:ascii="Arial" w:hAnsi="Arial" w:cs="Arial"/>
          <w:b/>
          <w:i/>
          <w:sz w:val="20"/>
          <w:lang w:val="tr-TR"/>
        </w:rPr>
      </w:pPr>
    </w:p>
    <w:p w14:paraId="18F346B2" w14:textId="77777777" w:rsidR="00F94300" w:rsidRDefault="00F94300" w:rsidP="003B43FF">
      <w:pPr>
        <w:tabs>
          <w:tab w:val="left" w:pos="284"/>
        </w:tabs>
        <w:ind w:right="313"/>
        <w:rPr>
          <w:rFonts w:ascii="Arial" w:hAnsi="Arial" w:cs="Arial"/>
          <w:b/>
          <w:i/>
          <w:sz w:val="20"/>
          <w:lang w:val="tr-TR"/>
        </w:rPr>
      </w:pPr>
    </w:p>
    <w:p w14:paraId="1C85C299" w14:textId="3A0D963F" w:rsidR="003B43FF" w:rsidRPr="005462E6" w:rsidRDefault="003B43FF" w:rsidP="003B43FF">
      <w:pPr>
        <w:tabs>
          <w:tab w:val="left" w:pos="284"/>
        </w:tabs>
        <w:ind w:right="313"/>
        <w:rPr>
          <w:rFonts w:ascii="Arial" w:hAnsi="Arial" w:cs="Arial"/>
          <w:b/>
          <w:i/>
          <w:sz w:val="20"/>
          <w:lang w:val="tr-TR"/>
        </w:rPr>
      </w:pPr>
      <w:r>
        <w:rPr>
          <w:rFonts w:ascii="Arial" w:hAnsi="Arial" w:cs="Arial"/>
          <w:b/>
          <w:i/>
          <w:sz w:val="20"/>
          <w:lang w:val="tr-TR"/>
        </w:rPr>
        <w:t>Berk KIRAS</w:t>
      </w:r>
    </w:p>
    <w:p w14:paraId="52872CBD" w14:textId="26B66DC6" w:rsidR="003B43FF" w:rsidRPr="005462E6" w:rsidRDefault="003B43FF" w:rsidP="003B43FF">
      <w:pPr>
        <w:pStyle w:val="GvdeMetni"/>
        <w:tabs>
          <w:tab w:val="left" w:pos="284"/>
        </w:tabs>
        <w:spacing w:before="1"/>
        <w:ind w:right="313"/>
        <w:rPr>
          <w:rFonts w:ascii="Arial" w:hAnsi="Arial" w:cs="Arial"/>
          <w:lang w:val="tr-TR"/>
        </w:rPr>
      </w:pPr>
      <w:proofErr w:type="spellStart"/>
      <w:r w:rsidRPr="005462E6">
        <w:rPr>
          <w:rFonts w:ascii="Arial" w:hAnsi="Arial" w:cs="Arial"/>
          <w:lang w:val="tr-TR"/>
        </w:rPr>
        <w:t>Cyber</w:t>
      </w:r>
      <w:proofErr w:type="spellEnd"/>
      <w:r w:rsidRPr="005462E6">
        <w:rPr>
          <w:rFonts w:ascii="Arial" w:hAnsi="Arial" w:cs="Arial"/>
          <w:lang w:val="tr-TR"/>
        </w:rPr>
        <w:t xml:space="preserve"> Security, </w:t>
      </w:r>
      <w:r w:rsidR="00AF525C">
        <w:rPr>
          <w:rFonts w:ascii="Arial" w:hAnsi="Arial" w:cs="Arial"/>
          <w:lang w:val="tr-TR"/>
        </w:rPr>
        <w:t>Consultant</w:t>
      </w:r>
    </w:p>
    <w:p w14:paraId="26CC419A" w14:textId="77777777" w:rsidR="003B43FF" w:rsidRPr="005462E6" w:rsidRDefault="003B43FF" w:rsidP="003B43FF">
      <w:pPr>
        <w:pStyle w:val="GvdeMetni"/>
        <w:tabs>
          <w:tab w:val="left" w:pos="284"/>
        </w:tabs>
        <w:spacing w:before="1"/>
        <w:ind w:right="313"/>
        <w:rPr>
          <w:rFonts w:ascii="Arial" w:hAnsi="Arial" w:cs="Arial"/>
          <w:lang w:val="tr-TR"/>
        </w:rPr>
      </w:pPr>
      <w:proofErr w:type="spellStart"/>
      <w:r w:rsidRPr="005462E6">
        <w:rPr>
          <w:rFonts w:ascii="Arial" w:hAnsi="Arial" w:cs="Arial"/>
          <w:lang w:val="tr-TR"/>
        </w:rPr>
        <w:t>Email</w:t>
      </w:r>
      <w:proofErr w:type="spellEnd"/>
      <w:r w:rsidRPr="005462E6">
        <w:rPr>
          <w:rFonts w:ascii="Arial" w:hAnsi="Arial" w:cs="Arial"/>
          <w:lang w:val="tr-TR"/>
        </w:rPr>
        <w:t xml:space="preserve">: </w:t>
      </w:r>
      <w:r>
        <w:rPr>
          <w:rFonts w:ascii="Arial" w:hAnsi="Arial" w:cs="Arial"/>
          <w:color w:val="920000"/>
          <w:u w:val="single" w:color="920000"/>
          <w:lang w:val="tr-TR"/>
        </w:rPr>
        <w:t>berk.kiras</w:t>
      </w:r>
      <w:r w:rsidRPr="005462E6">
        <w:rPr>
          <w:rFonts w:ascii="Arial" w:hAnsi="Arial" w:cs="Arial"/>
          <w:color w:val="920000"/>
          <w:u w:val="single" w:color="920000"/>
          <w:lang w:val="tr-TR"/>
        </w:rPr>
        <w:t>@pwc.com</w:t>
      </w:r>
    </w:p>
    <w:p w14:paraId="04FD7CDA" w14:textId="77777777" w:rsidR="003B43FF" w:rsidRPr="005462E6" w:rsidRDefault="003B43FF" w:rsidP="003B43FF">
      <w:pPr>
        <w:pStyle w:val="GvdeMetni"/>
        <w:tabs>
          <w:tab w:val="left" w:pos="284"/>
        </w:tabs>
        <w:ind w:right="313"/>
        <w:rPr>
          <w:rFonts w:ascii="Arial" w:hAnsi="Arial" w:cs="Arial"/>
          <w:lang w:val="tr-TR"/>
        </w:rPr>
      </w:pPr>
    </w:p>
    <w:p w14:paraId="0BAB6AC0" w14:textId="0A7D931A" w:rsidR="003B43FF" w:rsidRPr="005462E6" w:rsidRDefault="003B43FF" w:rsidP="003B43FF">
      <w:pPr>
        <w:pStyle w:val="GvdeMetni"/>
        <w:tabs>
          <w:tab w:val="left" w:pos="284"/>
        </w:tabs>
        <w:ind w:right="313"/>
        <w:rPr>
          <w:rFonts w:ascii="Arial" w:hAnsi="Arial" w:cs="Arial"/>
          <w:color w:val="595959" w:themeColor="text1" w:themeTint="A6"/>
          <w:lang w:val="tr-TR"/>
        </w:rPr>
      </w:pPr>
      <w:r w:rsidRPr="005462E6">
        <w:rPr>
          <w:rFonts w:ascii="Arial" w:hAnsi="Arial" w:cs="Arial"/>
          <w:color w:val="595959" w:themeColor="text1" w:themeTint="A6"/>
          <w:lang w:val="tr-TR"/>
        </w:rPr>
        <w:t>Referanslar</w:t>
      </w:r>
      <w:r w:rsidR="007446F6">
        <w:rPr>
          <w:rFonts w:ascii="Arial" w:hAnsi="Arial" w:cs="Arial"/>
          <w:color w:val="595959" w:themeColor="text1" w:themeTint="A6"/>
          <w:lang w:val="tr-TR"/>
        </w:rPr>
        <w:t xml:space="preserve"> ve Okuma Listesi</w:t>
      </w:r>
    </w:p>
    <w:p w14:paraId="4A2AFA07" w14:textId="77777777" w:rsidR="003B43FF" w:rsidRPr="005462E6" w:rsidRDefault="003B43FF" w:rsidP="003B43FF">
      <w:pPr>
        <w:pStyle w:val="GvdeMetni"/>
        <w:tabs>
          <w:tab w:val="left" w:pos="284"/>
        </w:tabs>
        <w:ind w:right="313"/>
        <w:rPr>
          <w:rFonts w:ascii="Arial" w:hAnsi="Arial" w:cs="Arial"/>
          <w:lang w:val="tr-TR"/>
        </w:rPr>
      </w:pPr>
    </w:p>
    <w:p w14:paraId="6A78F121" w14:textId="77777777" w:rsidR="00F94300" w:rsidRDefault="003B43FF" w:rsidP="003B43FF">
      <w:pPr>
        <w:pStyle w:val="GvdeMetni"/>
        <w:tabs>
          <w:tab w:val="left" w:pos="284"/>
        </w:tabs>
        <w:ind w:right="313"/>
        <w:rPr>
          <w:rStyle w:val="Kpr"/>
          <w:rFonts w:ascii="Arial" w:hAnsi="Arial" w:cs="Arial"/>
          <w:lang w:val="tr-TR"/>
        </w:rPr>
      </w:pPr>
      <w:r w:rsidRPr="005462E6">
        <w:rPr>
          <w:rFonts w:ascii="Arial" w:hAnsi="Arial" w:cs="Arial"/>
          <w:lang w:val="tr-TR"/>
        </w:rPr>
        <w:t>[1]-</w:t>
      </w:r>
      <w:proofErr w:type="spellStart"/>
      <w:proofErr w:type="gramStart"/>
      <w:r w:rsidR="00F94300">
        <w:rPr>
          <w:rFonts w:ascii="Arial" w:hAnsi="Arial" w:cs="Arial"/>
          <w:lang w:val="tr-TR"/>
        </w:rPr>
        <w:t>Fortigate</w:t>
      </w:r>
      <w:proofErr w:type="spellEnd"/>
      <w:r w:rsidRPr="005462E6">
        <w:rPr>
          <w:rFonts w:ascii="Arial" w:hAnsi="Arial" w:cs="Arial"/>
          <w:lang w:val="tr-TR"/>
        </w:rPr>
        <w:t xml:space="preserve"> -</w:t>
      </w:r>
      <w:proofErr w:type="gramEnd"/>
      <w:r w:rsidRPr="005462E6">
        <w:rPr>
          <w:rFonts w:ascii="Arial" w:hAnsi="Arial" w:cs="Arial"/>
          <w:lang w:val="tr-TR"/>
        </w:rPr>
        <w:t xml:space="preserve"> </w:t>
      </w:r>
      <w:r w:rsidR="00F94300" w:rsidRPr="00F94300">
        <w:rPr>
          <w:rStyle w:val="Kpr"/>
          <w:rFonts w:ascii="Arial" w:hAnsi="Arial" w:cs="Arial"/>
          <w:lang w:val="tr-TR"/>
        </w:rPr>
        <w:t xml:space="preserve">https://www.fortinet.com/resources/cyberglossary/active-defense </w:t>
      </w:r>
    </w:p>
    <w:p w14:paraId="7AED0129" w14:textId="593F69BC" w:rsidR="003B43FF" w:rsidRDefault="003B43FF" w:rsidP="003B43FF">
      <w:pPr>
        <w:pStyle w:val="GvdeMetni"/>
        <w:tabs>
          <w:tab w:val="left" w:pos="284"/>
        </w:tabs>
        <w:ind w:right="313"/>
        <w:rPr>
          <w:rFonts w:ascii="Arial" w:hAnsi="Arial" w:cs="Arial"/>
          <w:lang w:val="tr-TR"/>
        </w:rPr>
      </w:pPr>
      <w:r w:rsidRPr="005462E6">
        <w:rPr>
          <w:rFonts w:ascii="Arial" w:hAnsi="Arial" w:cs="Arial"/>
          <w:lang w:val="tr-TR"/>
        </w:rPr>
        <w:t>[2]-</w:t>
      </w:r>
      <w:r w:rsidR="00F94300">
        <w:rPr>
          <w:rFonts w:ascii="Arial" w:hAnsi="Arial" w:cs="Arial"/>
          <w:lang w:val="tr-TR"/>
        </w:rPr>
        <w:t xml:space="preserve">SANS </w:t>
      </w:r>
      <w:hyperlink r:id="rId9" w:history="1">
        <w:r w:rsidR="00F94300" w:rsidRPr="00191C67">
          <w:rPr>
            <w:rStyle w:val="Kpr"/>
            <w:rFonts w:ascii="Arial" w:hAnsi="Arial" w:cs="Arial"/>
            <w:lang w:val="tr-TR"/>
          </w:rPr>
          <w:t>https://www.mitre.org/publications/technical-papers/active-defense-strategy-for-cyber</w:t>
        </w:r>
      </w:hyperlink>
    </w:p>
    <w:p w14:paraId="3F0BC09C" w14:textId="01FE2121" w:rsidR="00F94300" w:rsidRDefault="003B43FF" w:rsidP="003B43FF">
      <w:pPr>
        <w:pStyle w:val="GvdeMetni"/>
        <w:tabs>
          <w:tab w:val="left" w:pos="284"/>
        </w:tabs>
        <w:ind w:right="313"/>
      </w:pPr>
      <w:r>
        <w:rPr>
          <w:rFonts w:ascii="Arial" w:hAnsi="Arial" w:cs="Arial"/>
          <w:lang w:val="tr-TR"/>
        </w:rPr>
        <w:t>[3]-</w:t>
      </w:r>
      <w:r w:rsidRPr="008875FC">
        <w:t xml:space="preserve"> </w:t>
      </w:r>
      <w:proofErr w:type="gramStart"/>
      <w:r w:rsidR="00F94300">
        <w:t>ACSC</w:t>
      </w:r>
      <w:r>
        <w:t xml:space="preserve"> -</w:t>
      </w:r>
      <w:proofErr w:type="gramEnd"/>
      <w:r>
        <w:t xml:space="preserve"> </w:t>
      </w:r>
      <w:hyperlink r:id="rId10" w:history="1">
        <w:r w:rsidR="00F94300" w:rsidRPr="00191C67">
          <w:rPr>
            <w:rStyle w:val="Kpr"/>
          </w:rPr>
          <w:t>https://www.cyber.gov.au/acsc/view-all-content/glossary/active-defence</w:t>
        </w:r>
      </w:hyperlink>
    </w:p>
    <w:p w14:paraId="5A89FD68" w14:textId="7D89FCD1" w:rsidR="00F94300" w:rsidRDefault="003B43FF" w:rsidP="003B43FF">
      <w:pPr>
        <w:pStyle w:val="GvdeMetni"/>
        <w:tabs>
          <w:tab w:val="left" w:pos="284"/>
        </w:tabs>
        <w:ind w:right="313"/>
      </w:pPr>
      <w:r>
        <w:rPr>
          <w:lang w:val="tr-TR"/>
        </w:rPr>
        <w:t>[4]-</w:t>
      </w:r>
      <w:r w:rsidR="00F94300">
        <w:rPr>
          <w:lang w:val="tr-TR"/>
        </w:rPr>
        <w:t xml:space="preserve">Aktif Siber Savunma ve Performans </w:t>
      </w:r>
      <w:proofErr w:type="gramStart"/>
      <w:r w:rsidR="00F94300">
        <w:rPr>
          <w:lang w:val="tr-TR"/>
        </w:rPr>
        <w:t>Analizi</w:t>
      </w:r>
      <w:r>
        <w:rPr>
          <w:lang w:val="tr-TR"/>
        </w:rPr>
        <w:t xml:space="preserve"> -</w:t>
      </w:r>
      <w:proofErr w:type="gramEnd"/>
      <w:r>
        <w:rPr>
          <w:lang w:val="tr-TR"/>
        </w:rPr>
        <w:t xml:space="preserve"> </w:t>
      </w:r>
      <w:hyperlink r:id="rId11" w:history="1">
        <w:r w:rsidR="00F94300" w:rsidRPr="00191C67">
          <w:rPr>
            <w:rStyle w:val="Kpr"/>
          </w:rPr>
          <w:t>https://acikerisim.aku.edu.tr/xmlui/bitstream/handle/11630/6234/10066729.pdf</w:t>
        </w:r>
      </w:hyperlink>
    </w:p>
    <w:p w14:paraId="613688EF" w14:textId="77777777" w:rsidR="003B43FF" w:rsidRPr="0091345E" w:rsidRDefault="003B43FF" w:rsidP="003B43FF">
      <w:pPr>
        <w:pStyle w:val="GvdeMetni"/>
        <w:tabs>
          <w:tab w:val="left" w:pos="284"/>
        </w:tabs>
        <w:ind w:right="313"/>
        <w:rPr>
          <w:sz w:val="14"/>
          <w:lang w:val="tr-TR"/>
        </w:rPr>
      </w:pPr>
    </w:p>
    <w:p w14:paraId="043019C9" w14:textId="77777777" w:rsidR="003B43FF" w:rsidRPr="0091345E" w:rsidRDefault="003B43FF" w:rsidP="003B43FF">
      <w:pPr>
        <w:pStyle w:val="GvdeMetni"/>
        <w:tabs>
          <w:tab w:val="left" w:pos="284"/>
        </w:tabs>
        <w:ind w:right="313"/>
        <w:rPr>
          <w:sz w:val="14"/>
          <w:lang w:val="tr-TR"/>
        </w:rPr>
      </w:pPr>
      <w:r w:rsidRPr="0091345E"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63CBB03" wp14:editId="52DF3C9A">
            <wp:simplePos x="0" y="0"/>
            <wp:positionH relativeFrom="page">
              <wp:posOffset>823504</wp:posOffset>
            </wp:positionH>
            <wp:positionV relativeFrom="paragraph">
              <wp:posOffset>83820</wp:posOffset>
            </wp:positionV>
            <wp:extent cx="812800" cy="6229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9E925" w14:textId="77777777" w:rsidR="003B43FF" w:rsidRPr="0091345E" w:rsidRDefault="003B43FF" w:rsidP="003B43FF">
      <w:pPr>
        <w:pStyle w:val="GvdeMetni"/>
        <w:tabs>
          <w:tab w:val="left" w:pos="284"/>
        </w:tabs>
        <w:ind w:right="313"/>
        <w:rPr>
          <w:sz w:val="14"/>
          <w:lang w:val="tr-TR"/>
        </w:rPr>
      </w:pPr>
    </w:p>
    <w:p w14:paraId="485201F7" w14:textId="77777777" w:rsidR="003B43FF" w:rsidRPr="0091345E" w:rsidRDefault="003B43FF" w:rsidP="003B43FF">
      <w:pPr>
        <w:pStyle w:val="GvdeMetni"/>
        <w:tabs>
          <w:tab w:val="left" w:pos="284"/>
        </w:tabs>
        <w:ind w:left="1276" w:right="313"/>
        <w:rPr>
          <w:sz w:val="14"/>
          <w:lang w:val="tr-TR"/>
        </w:rPr>
      </w:pPr>
    </w:p>
    <w:p w14:paraId="0D222C30" w14:textId="77777777" w:rsidR="003B43FF" w:rsidRPr="0091345E" w:rsidRDefault="003B43FF" w:rsidP="003B43FF">
      <w:pPr>
        <w:tabs>
          <w:tab w:val="left" w:pos="284"/>
        </w:tabs>
        <w:spacing w:before="116"/>
        <w:ind w:left="1276" w:right="313"/>
        <w:rPr>
          <w:sz w:val="12"/>
          <w:lang w:val="tr-TR"/>
        </w:rPr>
      </w:pPr>
      <w:r w:rsidRPr="0091345E">
        <w:rPr>
          <w:sz w:val="12"/>
          <w:lang w:val="tr-TR"/>
        </w:rPr>
        <w:t xml:space="preserve">© 2018 </w:t>
      </w:r>
      <w:proofErr w:type="spellStart"/>
      <w:r w:rsidRPr="0091345E">
        <w:rPr>
          <w:sz w:val="12"/>
          <w:lang w:val="tr-TR"/>
        </w:rPr>
        <w:t>PwC</w:t>
      </w:r>
      <w:proofErr w:type="spellEnd"/>
      <w:r w:rsidRPr="0091345E">
        <w:rPr>
          <w:sz w:val="12"/>
          <w:lang w:val="tr-TR"/>
        </w:rPr>
        <w:t xml:space="preserve"> Türkiye. Tüm hakları saklıdır. Bu belgede </w:t>
      </w:r>
      <w:proofErr w:type="spellStart"/>
      <w:r w:rsidRPr="0091345E">
        <w:rPr>
          <w:sz w:val="12"/>
          <w:lang w:val="tr-TR"/>
        </w:rPr>
        <w:t>PwC</w:t>
      </w:r>
      <w:proofErr w:type="spellEnd"/>
      <w:r w:rsidRPr="0091345E">
        <w:rPr>
          <w:sz w:val="12"/>
          <w:lang w:val="tr-TR"/>
        </w:rPr>
        <w:t xml:space="preserve"> ifadesi, </w:t>
      </w:r>
      <w:proofErr w:type="spellStart"/>
      <w:r w:rsidRPr="0091345E">
        <w:rPr>
          <w:sz w:val="12"/>
          <w:lang w:val="tr-TR"/>
        </w:rPr>
        <w:t>PwC</w:t>
      </w:r>
      <w:proofErr w:type="spellEnd"/>
      <w:r w:rsidRPr="0091345E">
        <w:rPr>
          <w:sz w:val="12"/>
          <w:lang w:val="tr-TR"/>
        </w:rPr>
        <w:t xml:space="preserve"> ağını veya </w:t>
      </w:r>
      <w:proofErr w:type="spellStart"/>
      <w:r w:rsidRPr="0091345E">
        <w:rPr>
          <w:sz w:val="12"/>
          <w:lang w:val="tr-TR"/>
        </w:rPr>
        <w:t>PwC</w:t>
      </w:r>
      <w:proofErr w:type="spellEnd"/>
      <w:r w:rsidRPr="0091345E">
        <w:rPr>
          <w:sz w:val="12"/>
          <w:lang w:val="tr-TR"/>
        </w:rPr>
        <w:t xml:space="preserve"> ağının üyesi olan bağımsız ve farklı tüzel kişiliklerden oluşan </w:t>
      </w:r>
      <w:proofErr w:type="spellStart"/>
      <w:r w:rsidRPr="0091345E">
        <w:rPr>
          <w:sz w:val="12"/>
          <w:lang w:val="tr-TR"/>
        </w:rPr>
        <w:t>PwC</w:t>
      </w:r>
      <w:proofErr w:type="spellEnd"/>
      <w:r w:rsidRPr="0091345E">
        <w:rPr>
          <w:sz w:val="12"/>
          <w:lang w:val="tr-TR"/>
        </w:rPr>
        <w:t xml:space="preserve"> Türkiye’yi ifade etmektedir. Daha detaylı bilgi için </w:t>
      </w:r>
      <w:hyperlink r:id="rId13">
        <w:r w:rsidRPr="0091345E">
          <w:rPr>
            <w:sz w:val="12"/>
            <w:lang w:val="tr-TR"/>
          </w:rPr>
          <w:t xml:space="preserve">www.pwc.com/structure </w:t>
        </w:r>
      </w:hyperlink>
      <w:r w:rsidRPr="0091345E">
        <w:rPr>
          <w:sz w:val="12"/>
          <w:lang w:val="tr-TR"/>
        </w:rPr>
        <w:t>adresini ziyaret edebilirsiniz.</w:t>
      </w:r>
    </w:p>
    <w:p w14:paraId="7305DD8A" w14:textId="77777777" w:rsidR="003B43FF" w:rsidRPr="0091345E" w:rsidRDefault="003B43FF" w:rsidP="003B43FF">
      <w:pPr>
        <w:tabs>
          <w:tab w:val="left" w:pos="284"/>
        </w:tabs>
        <w:spacing w:before="98"/>
        <w:ind w:left="1276" w:right="313"/>
        <w:rPr>
          <w:sz w:val="12"/>
          <w:lang w:val="tr-TR"/>
        </w:rPr>
      </w:pPr>
      <w:r w:rsidRPr="0091345E">
        <w:rPr>
          <w:sz w:val="12"/>
          <w:lang w:val="tr-TR"/>
        </w:rPr>
        <w:t>Bu içerik sadece genel bilgi verme amacı taşır ve profesyonel danışmanlardan alınacak hizmetin yerine geçmez.</w:t>
      </w:r>
    </w:p>
    <w:p w14:paraId="0DC8B221" w14:textId="77777777" w:rsidR="0039589A" w:rsidRDefault="00B55239"/>
    <w:sectPr w:rsidR="0039589A" w:rsidSect="006311CC">
      <w:pgSz w:w="11920" w:h="16850"/>
      <w:pgMar w:top="890" w:right="280" w:bottom="0" w:left="140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0A74"/>
    <w:multiLevelType w:val="hybridMultilevel"/>
    <w:tmpl w:val="88523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0E"/>
    <w:rsid w:val="000C0800"/>
    <w:rsid w:val="0013796C"/>
    <w:rsid w:val="001C0E8B"/>
    <w:rsid w:val="00267314"/>
    <w:rsid w:val="003B43FF"/>
    <w:rsid w:val="00576271"/>
    <w:rsid w:val="005E2FC7"/>
    <w:rsid w:val="006465A7"/>
    <w:rsid w:val="00655A0E"/>
    <w:rsid w:val="00682031"/>
    <w:rsid w:val="007446F6"/>
    <w:rsid w:val="00785DFC"/>
    <w:rsid w:val="00906BB7"/>
    <w:rsid w:val="00AE2C9D"/>
    <w:rsid w:val="00AE6C58"/>
    <w:rsid w:val="00AF525C"/>
    <w:rsid w:val="00B55239"/>
    <w:rsid w:val="00C51DB6"/>
    <w:rsid w:val="00C57B20"/>
    <w:rsid w:val="00D6466B"/>
    <w:rsid w:val="00D9370A"/>
    <w:rsid w:val="00DB4E57"/>
    <w:rsid w:val="00DF2469"/>
    <w:rsid w:val="00E658AA"/>
    <w:rsid w:val="00EE1783"/>
    <w:rsid w:val="00F177E0"/>
    <w:rsid w:val="00F9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F610"/>
  <w15:chartTrackingRefBased/>
  <w15:docId w15:val="{BDCC9C94-3E20-4A45-9867-EC2F6147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3F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bidi="en-US"/>
    </w:rPr>
  </w:style>
  <w:style w:type="paragraph" w:styleId="Balk1">
    <w:name w:val="heading 1"/>
    <w:basedOn w:val="Normal"/>
    <w:link w:val="Balk1Char"/>
    <w:uiPriority w:val="9"/>
    <w:qFormat/>
    <w:rsid w:val="003B43FF"/>
    <w:pPr>
      <w:ind w:left="723"/>
      <w:outlineLvl w:val="0"/>
    </w:pPr>
    <w:rPr>
      <w:b/>
      <w:bCs/>
      <w:i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B43FF"/>
    <w:rPr>
      <w:rFonts w:ascii="Georgia" w:eastAsia="Georgia" w:hAnsi="Georgia" w:cs="Georgia"/>
      <w:b/>
      <w:bCs/>
      <w:i/>
      <w:sz w:val="20"/>
      <w:szCs w:val="20"/>
      <w:lang w:bidi="en-US"/>
    </w:rPr>
  </w:style>
  <w:style w:type="paragraph" w:styleId="GvdeMetni">
    <w:name w:val="Body Text"/>
    <w:basedOn w:val="Normal"/>
    <w:link w:val="GvdeMetniChar"/>
    <w:uiPriority w:val="1"/>
    <w:qFormat/>
    <w:rsid w:val="003B43FF"/>
    <w:rPr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3B43FF"/>
    <w:rPr>
      <w:rFonts w:ascii="Georgia" w:eastAsia="Georgia" w:hAnsi="Georgia" w:cs="Georgia"/>
      <w:sz w:val="20"/>
      <w:szCs w:val="20"/>
      <w:lang w:bidi="en-US"/>
    </w:rPr>
  </w:style>
  <w:style w:type="character" w:styleId="Kpr">
    <w:name w:val="Hyperlink"/>
    <w:basedOn w:val="VarsaylanParagrafYazTipi"/>
    <w:uiPriority w:val="99"/>
    <w:unhideWhenUsed/>
    <w:rsid w:val="003B43F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94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wc.com/struct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cikerisim.aku.edu.tr/xmlui/bitstream/handle/11630/6234/10066729.pdf" TargetMode="External"/><Relationship Id="rId5" Type="http://schemas.openxmlformats.org/officeDocument/2006/relationships/hyperlink" Target="http://www.pwc.com.t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yber.gov.au/acsc/view-all-content/glossary/active-def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tre.org/publications/technical-papers/active-defense-strategy-for-cyb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kıras</dc:creator>
  <cp:keywords/>
  <dc:description/>
  <cp:lastModifiedBy>berk kıras</cp:lastModifiedBy>
  <cp:revision>6</cp:revision>
  <dcterms:created xsi:type="dcterms:W3CDTF">2020-04-12T15:00:00Z</dcterms:created>
  <dcterms:modified xsi:type="dcterms:W3CDTF">2021-05-23T15:09:00Z</dcterms:modified>
</cp:coreProperties>
</file>