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6"/>
          <w:szCs w:val="56"/>
        </w:rPr>
        <w:t xml:space="preserve">Portfolio Risk Analysis</w:t>
      </w:r>
    </w:p>
    <w:p>
      <w:pPr>
        <w:spacing w:after="80"/>
        <w:jc w:val="center"/>
      </w:pPr>
      <w:r>
        <w:rPr>
          <w:rFonts w:ascii="Arial" w:cs="Arial" w:eastAsia="Arial" w:hAnsi="Arial"/>
          <w:color w:val="5A7AB5"/>
          <w:sz w:val="24"/>
          <w:szCs w:val="24"/>
        </w:rPr>
        <w:t xml:space="preserve">AAPL · MSFT · TSLA · SPY  |  January 2020 – December 2025</w:t>
      </w:r>
    </w:p>
    <w:p>
      <w:pPr>
        <w:spacing w:after="480"/>
        <w:jc w:val="center"/>
      </w:pPr>
      <w:r>
        <w:rPr>
          <w:rFonts w:ascii="Arial" w:cs="Arial" w:eastAsia="Arial" w:hAnsi="Arial"/>
          <w:color w:val="888888"/>
          <w:sz w:val="20"/>
          <w:szCs w:val="20"/>
        </w:rPr>
        <w:t xml:space="preserve">Quantitative Risk Management — Python Implementation</w:t>
      </w:r>
    </w:p>
    <w:p>
      <w:pPr>
        <w:pStyle w:val="Heading1"/>
      </w:pPr>
      <w:r>
        <w:rPr>
          <w:rFonts w:ascii="Arial" w:cs="Arial" w:eastAsia="Arial" w:hAnsi="Arial"/>
          <w:b/>
          <w:bCs/>
          <w:color w:val="1F3864"/>
          <w:sz w:val="32"/>
          <w:szCs w:val="32"/>
        </w:rPr>
        <w:t xml:space="preserve">1. Introduction</w:t>
      </w:r>
    </w:p>
    <w:p>
      <w:pPr>
        <w:spacing w:after="120"/>
      </w:pPr>
      <w:r>
        <w:rPr>
          <w:rFonts w:ascii="Arial" w:cs="Arial" w:eastAsia="Arial" w:hAnsi="Arial"/>
          <w:sz w:val="22"/>
          <w:szCs w:val="22"/>
        </w:rPr>
        <w:t xml:space="preserve">This project applies quantitative methods to analyze the risk profile of a multi-asset equity portfolio, simulating the approach used by large institutional investors and asset managers. Using Python and real historical market data, we answer a fundamental question in finance:</w:t>
      </w:r>
    </w:p>
    <w:p>
      <w:pPr>
        <w:spacing w:after="160"/>
      </w:pPr>
      <w:r>
        <w:t xml:space="preserve"/>
      </w:r>
    </w:p>
    <w:p>
      <w:pPr>
        <w:spacing w:after="120" w:before="120"/>
        <w:ind w:left="720" w:right="720"/>
      </w:pPr>
      <w:r>
        <w:rPr>
          <w:rFonts w:ascii="Arial" w:cs="Arial" w:eastAsia="Arial" w:hAnsi="Arial"/>
          <w:i/>
          <w:iCs/>
          <w:color w:val="2E5F8A"/>
          <w:sz w:val="22"/>
          <w:szCs w:val="22"/>
        </w:rPr>
        <w:t xml:space="preserve">"How much could this portfolio potentially lose under normal and extreme market conditions?"</w:t>
      </w:r>
    </w:p>
    <w:p>
      <w:pPr>
        <w:spacing w:after="160"/>
      </w:pPr>
      <w:r>
        <w:t xml:space="preserve"/>
      </w:r>
    </w:p>
    <w:p>
      <w:pPr>
        <w:spacing w:after="120"/>
      </w:pPr>
      <w:r>
        <w:rPr>
          <w:rFonts w:ascii="Arial" w:cs="Arial" w:eastAsia="Arial" w:hAnsi="Arial"/>
          <w:sz w:val="22"/>
          <w:szCs w:val="22"/>
        </w:rPr>
        <w:t xml:space="preserve">The portfolio consists of four assets chosen to represent both high-growth technology equities and a broad market index:</w:t>
      </w:r>
    </w:p>
    <w:p>
      <w:pPr>
        <w:pStyle w:val="ListParagraph"/>
        <w:numPr>
          <w:ilvl w:val="0"/>
          <w:numId w:val="2"/>
        </w:numPr>
        <w:spacing w:after="80"/>
      </w:pPr>
      <w:r>
        <w:rPr>
          <w:rFonts w:ascii="Arial" w:cs="Arial" w:eastAsia="Arial" w:hAnsi="Arial"/>
          <w:sz w:val="22"/>
          <w:szCs w:val="22"/>
        </w:rPr>
        <w:t xml:space="preserve">Apple Inc. (AAPL) — 30% weight</w:t>
      </w:r>
    </w:p>
    <w:p>
      <w:pPr>
        <w:pStyle w:val="ListParagraph"/>
        <w:numPr>
          <w:ilvl w:val="0"/>
          <w:numId w:val="2"/>
        </w:numPr>
        <w:spacing w:after="80"/>
      </w:pPr>
      <w:r>
        <w:rPr>
          <w:rFonts w:ascii="Arial" w:cs="Arial" w:eastAsia="Arial" w:hAnsi="Arial"/>
          <w:sz w:val="22"/>
          <w:szCs w:val="22"/>
        </w:rPr>
        <w:t xml:space="preserve">Microsoft Corporation (MSFT) — 25% weight</w:t>
      </w:r>
    </w:p>
    <w:p>
      <w:pPr>
        <w:pStyle w:val="ListParagraph"/>
        <w:numPr>
          <w:ilvl w:val="0"/>
          <w:numId w:val="2"/>
        </w:numPr>
        <w:spacing w:after="80"/>
      </w:pPr>
      <w:r>
        <w:rPr>
          <w:rFonts w:ascii="Arial" w:cs="Arial" w:eastAsia="Arial" w:hAnsi="Arial"/>
          <w:sz w:val="22"/>
          <w:szCs w:val="22"/>
        </w:rPr>
        <w:t xml:space="preserve">Tesla Inc. (TSLA) — 20% weight</w:t>
      </w:r>
    </w:p>
    <w:p>
      <w:pPr>
        <w:pStyle w:val="ListParagraph"/>
        <w:numPr>
          <w:ilvl w:val="0"/>
          <w:numId w:val="2"/>
        </w:numPr>
        <w:spacing w:after="80"/>
      </w:pPr>
      <w:r>
        <w:rPr>
          <w:rFonts w:ascii="Arial" w:cs="Arial" w:eastAsia="Arial" w:hAnsi="Arial"/>
          <w:sz w:val="22"/>
          <w:szCs w:val="22"/>
        </w:rPr>
        <w:t xml:space="preserve">S&amp;P 500 ETF (SPY) — 25% weight</w:t>
      </w:r>
    </w:p>
    <w:p>
      <w:pPr>
        <w:spacing w:after="160"/>
      </w:pPr>
      <w:r>
        <w:t xml:space="preserve"/>
      </w:r>
    </w:p>
    <w:p>
      <w:pPr>
        <w:spacing w:after="120"/>
      </w:pPr>
      <w:r>
        <w:rPr>
          <w:rFonts w:ascii="Arial" w:cs="Arial" w:eastAsia="Arial" w:hAnsi="Arial"/>
          <w:sz w:val="22"/>
          <w:szCs w:val="22"/>
        </w:rPr>
        <w:t xml:space="preserve">The analysis covers January 2020 to December 2025, a period deliberately chosen to include the COVID-19 market crash, the 2021 bull run, the 2022 bear market, and the 2024–2025 AI-driven recovery — providing a complete market cycle for robust risk estimation.</w:t>
      </w:r>
    </w:p>
    <w:p>
      <w:pPr>
        <w:spacing w:after="160"/>
      </w:pPr>
      <w:r>
        <w:t xml:space="preserve"/>
      </w:r>
    </w:p>
    <w:p>
      <w:pPr>
        <w:pStyle w:val="Heading1"/>
      </w:pPr>
      <w:r>
        <w:rPr>
          <w:rFonts w:ascii="Arial" w:cs="Arial" w:eastAsia="Arial" w:hAnsi="Arial"/>
          <w:b/>
          <w:bCs/>
          <w:color w:val="1F3864"/>
          <w:sz w:val="32"/>
          <w:szCs w:val="32"/>
        </w:rPr>
        <w:t xml:space="preserve">2. Methodology</w:t>
      </w:r>
    </w:p>
    <w:p>
      <w:pPr>
        <w:pStyle w:val="Heading2"/>
      </w:pPr>
      <w:r>
        <w:rPr>
          <w:rFonts w:ascii="Arial" w:cs="Arial" w:eastAsia="Arial" w:hAnsi="Arial"/>
          <w:b/>
          <w:bCs/>
          <w:color w:val="2E5F8A"/>
          <w:sz w:val="26"/>
          <w:szCs w:val="26"/>
        </w:rPr>
        <w:t xml:space="preserve">2.1  Data Collection</w:t>
      </w:r>
    </w:p>
    <w:p>
      <w:pPr>
        <w:spacing w:after="120"/>
      </w:pPr>
      <w:r>
        <w:rPr>
          <w:rFonts w:ascii="Arial" w:cs="Arial" w:eastAsia="Arial" w:hAnsi="Arial"/>
          <w:sz w:val="22"/>
          <w:szCs w:val="22"/>
        </w:rPr>
        <w:t xml:space="preserve">Daily adjusted closing prices were downloaded programmatically using the yfinance library, which retrieves data directly from Yahoo Finance. Adjusted prices account for stock splits and dividends, ensuring consistency across the 1,506 trading days in the dataset.</w:t>
      </w:r>
    </w:p>
    <w:p>
      <w:pPr>
        <w:pStyle w:val="Heading2"/>
      </w:pPr>
      <w:r>
        <w:rPr>
          <w:rFonts w:ascii="Arial" w:cs="Arial" w:eastAsia="Arial" w:hAnsi="Arial"/>
          <w:b/>
          <w:bCs/>
          <w:color w:val="2E5F8A"/>
          <w:sz w:val="26"/>
          <w:szCs w:val="26"/>
        </w:rPr>
        <w:t xml:space="preserve">2.2  Return Calculation</w:t>
      </w:r>
    </w:p>
    <w:p>
      <w:pPr>
        <w:spacing w:after="120"/>
      </w:pPr>
      <w:r>
        <w:rPr>
          <w:rFonts w:ascii="Arial" w:cs="Arial" w:eastAsia="Arial" w:hAnsi="Arial"/>
          <w:sz w:val="22"/>
          <w:szCs w:val="22"/>
        </w:rPr>
        <w:t xml:space="preserve">Price data was transformed into daily percentage returns using the formula:</w:t>
      </w:r>
    </w:p>
    <w:p>
      <w:pPr>
        <w:spacing w:after="120" w:before="120"/>
        <w:jc w:val="center"/>
      </w:pPr>
      <w:r>
        <w:rPr>
          <w:rFonts w:ascii="Courier New" w:cs="Courier New" w:eastAsia="Courier New" w:hAnsi="Courier New"/>
          <w:color w:val="1F3864"/>
          <w:sz w:val="22"/>
          <w:szCs w:val="22"/>
        </w:rPr>
        <w:t xml:space="preserve">Return(t) = [ Price(t) − Price(t−1) ] ÷ Price(t−1)</w:t>
      </w:r>
    </w:p>
    <w:p>
      <w:pPr>
        <w:spacing w:after="120"/>
      </w:pPr>
      <w:r>
        <w:rPr>
          <w:rFonts w:ascii="Arial" w:cs="Arial" w:eastAsia="Arial" w:hAnsi="Arial"/>
          <w:sz w:val="22"/>
          <w:szCs w:val="22"/>
        </w:rPr>
        <w:t xml:space="preserve">Returns are more appropriate than raw prices for risk analysis because they are comparable across assets regardless of absolute price levels, and they can be meaningfully averaged and statistically analyzed.</w:t>
      </w:r>
    </w:p>
    <w:p>
      <w:pPr>
        <w:pStyle w:val="Heading2"/>
      </w:pPr>
      <w:r>
        <w:rPr>
          <w:rFonts w:ascii="Arial" w:cs="Arial" w:eastAsia="Arial" w:hAnsi="Arial"/>
          <w:b/>
          <w:bCs/>
          <w:color w:val="2E5F8A"/>
          <w:sz w:val="26"/>
          <w:szCs w:val="26"/>
        </w:rPr>
        <w:t xml:space="preserve">2.3  Portfolio Construction</w:t>
      </w:r>
    </w:p>
    <w:p>
      <w:pPr>
        <w:spacing w:after="120"/>
      </w:pPr>
      <w:r>
        <w:rPr>
          <w:rFonts w:ascii="Arial" w:cs="Arial" w:eastAsia="Arial" w:hAnsi="Arial"/>
          <w:sz w:val="22"/>
          <w:szCs w:val="22"/>
        </w:rPr>
        <w:t xml:space="preserve">A weighted portfolio was constructed by multiplying each asset's daily return by its assigned weight and summing across all four assets. This produces a single daily return series representing the portfolio as a whole.</w:t>
      </w:r>
    </w:p>
    <w:p>
      <w:pPr>
        <w:pStyle w:val="Heading2"/>
      </w:pPr>
      <w:r>
        <w:rPr>
          <w:rFonts w:ascii="Arial" w:cs="Arial" w:eastAsia="Arial" w:hAnsi="Arial"/>
          <w:b/>
          <w:bCs/>
          <w:color w:val="2E5F8A"/>
          <w:sz w:val="26"/>
          <w:szCs w:val="26"/>
        </w:rPr>
        <w:t xml:space="preserve">2.4  Risk Metrics</w:t>
      </w:r>
    </w:p>
    <w:p>
      <w:pPr>
        <w:spacing w:after="120"/>
      </w:pPr>
      <w:r>
        <w:rPr>
          <w:rFonts w:ascii="Arial" w:cs="Arial" w:eastAsia="Arial" w:hAnsi="Arial"/>
          <w:sz w:val="22"/>
          <w:szCs w:val="22"/>
        </w:rPr>
        <w:t xml:space="preserve">The following metrics were computed from the portfolio return series:</w:t>
      </w:r>
    </w:p>
    <w:p>
      <w:pPr>
        <w:pStyle w:val="ListParagraph"/>
        <w:numPr>
          <w:ilvl w:val="0"/>
          <w:numId w:val="2"/>
        </w:numPr>
        <w:spacing w:after="80"/>
      </w:pPr>
      <w:r>
        <w:rPr>
          <w:rFonts w:ascii="Arial" w:cs="Arial" w:eastAsia="Arial" w:hAnsi="Arial"/>
          <w:sz w:val="22"/>
          <w:szCs w:val="22"/>
        </w:rPr>
        <w:t xml:space="preserve">Average daily return and annualized return (daily × 252 trading days)</w:t>
      </w:r>
    </w:p>
    <w:p>
      <w:pPr>
        <w:pStyle w:val="ListParagraph"/>
        <w:numPr>
          <w:ilvl w:val="0"/>
          <w:numId w:val="2"/>
        </w:numPr>
        <w:spacing w:after="80"/>
      </w:pPr>
      <w:r>
        <w:rPr>
          <w:rFonts w:ascii="Arial" w:cs="Arial" w:eastAsia="Arial" w:hAnsi="Arial"/>
          <w:sz w:val="22"/>
          <w:szCs w:val="22"/>
        </w:rPr>
        <w:t xml:space="preserve">Daily volatility (standard deviation) and annualized volatility (daily × √252)</w:t>
      </w:r>
    </w:p>
    <w:p>
      <w:pPr>
        <w:pStyle w:val="ListParagraph"/>
        <w:numPr>
          <w:ilvl w:val="0"/>
          <w:numId w:val="2"/>
        </w:numPr>
        <w:spacing w:after="80"/>
      </w:pPr>
      <w:r>
        <w:rPr>
          <w:rFonts w:ascii="Arial" w:cs="Arial" w:eastAsia="Arial" w:hAnsi="Arial"/>
          <w:sz w:val="22"/>
          <w:szCs w:val="22"/>
        </w:rPr>
        <w:t xml:space="preserve">95% Parametric VaR — assumes normally distributed returns</w:t>
      </w:r>
    </w:p>
    <w:p>
      <w:pPr>
        <w:pStyle w:val="ListParagraph"/>
        <w:numPr>
          <w:ilvl w:val="0"/>
          <w:numId w:val="2"/>
        </w:numPr>
        <w:spacing w:after="80"/>
      </w:pPr>
      <w:r>
        <w:rPr>
          <w:rFonts w:ascii="Arial" w:cs="Arial" w:eastAsia="Arial" w:hAnsi="Arial"/>
          <w:sz w:val="22"/>
          <w:szCs w:val="22"/>
        </w:rPr>
        <w:t xml:space="preserve">95% Historical VaR — uses the empirical 5th percentile of actual returns</w:t>
      </w:r>
    </w:p>
    <w:p>
      <w:pPr>
        <w:pStyle w:val="Heading2"/>
      </w:pPr>
      <w:r>
        <w:rPr>
          <w:rFonts w:ascii="Arial" w:cs="Arial" w:eastAsia="Arial" w:hAnsi="Arial"/>
          <w:b/>
          <w:bCs/>
          <w:color w:val="2E5F8A"/>
          <w:sz w:val="26"/>
          <w:szCs w:val="26"/>
        </w:rPr>
        <w:t xml:space="preserve">2.5  Stress Testing</w:t>
      </w:r>
    </w:p>
    <w:p>
      <w:pPr>
        <w:spacing w:after="120"/>
      </w:pPr>
      <w:r>
        <w:rPr>
          <w:rFonts w:ascii="Arial" w:cs="Arial" w:eastAsia="Arial" w:hAnsi="Arial"/>
          <w:sz w:val="22"/>
          <w:szCs w:val="22"/>
        </w:rPr>
        <w:t xml:space="preserve">The COVID-19 crash period (February 20 – March 23, 2020) was isolated to measure actual portfolio losses during an extreme tail event, allowing direct comparison against VaR predictions.</w:t>
      </w:r>
    </w:p>
    <w:p>
      <w:pPr>
        <w:spacing w:after="160"/>
      </w:pPr>
      <w:r>
        <w:t xml:space="preserve"/>
      </w:r>
    </w:p>
    <w:p>
      <w:pPr>
        <w:pStyle w:val="Heading1"/>
      </w:pPr>
      <w:r>
        <w:rPr>
          <w:rFonts w:ascii="Arial" w:cs="Arial" w:eastAsia="Arial" w:hAnsi="Arial"/>
          <w:b/>
          <w:bCs/>
          <w:color w:val="1F3864"/>
          <w:sz w:val="32"/>
          <w:szCs w:val="32"/>
        </w:rPr>
        <w:t xml:space="preserve">3. Results</w:t>
      </w:r>
    </w:p>
    <w:p>
      <w:pPr>
        <w:pStyle w:val="Heading2"/>
      </w:pPr>
      <w:r>
        <w:rPr>
          <w:rFonts w:ascii="Arial" w:cs="Arial" w:eastAsia="Arial" w:hAnsi="Arial"/>
          <w:b/>
          <w:bCs/>
          <w:color w:val="2E5F8A"/>
          <w:sz w:val="26"/>
          <w:szCs w:val="26"/>
        </w:rPr>
        <w:t xml:space="preserve">3.1  Key Risk Metrics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Annualized Return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Exceptional vs. 10% S&amp;P avg</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Annualized Volatility</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31.48%</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High risk — tech-heavy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Parametric VaR (95%)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 daily loss (normal)</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Historical VaR (95%)</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-3.04%</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Empirical 5th percentile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COVID Crash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Over 23 trading days</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Worst Single Day</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-14.38%</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4.6× worse than VaR</w:t>
            </w:r>
          </w:p>
        </w:tc>
      </w:tr>
    </w:tbl>
    <w:p>
      <w:pPr>
        <w:spacing w:after="160"/>
      </w:pPr>
      <w:r>
        <w:t xml:space="preserve"/>
      </w:r>
    </w:p>
    <w:p>
      <w:pPr>
        <w:pStyle w:val="Heading2"/>
      </w:pPr>
      <w:r>
        <w:rPr>
          <w:rFonts w:ascii="Arial" w:cs="Arial" w:eastAsia="Arial" w:hAnsi="Arial"/>
          <w:b/>
          <w:bCs/>
          <w:color w:val="2E5F8A"/>
          <w:sz w:val="26"/>
          <w:szCs w:val="26"/>
        </w:rPr>
        <w:t xml:space="preserve">3.2  Performance Analysis</w:t>
      </w:r>
    </w:p>
    <w:p>
      <w:pPr>
        <w:spacing w:after="120"/>
      </w:pPr>
      <w:r>
        <w:rPr>
          <w:rFonts w:ascii="Arial" w:cs="Arial" w:eastAsia="Arial" w:hAnsi="Arial"/>
          <w:sz w:val="22"/>
          <w:szCs w:val="22"/>
        </w:rPr>
        <w:t xml:space="preserve">The portfolio generated an annualized return of 34.44% — approximately 3.4 times the historical S&amp;P 500 average of ~10% per year. The cumulative growth chart shows $1 invested in January 2020 growing to approximately $6 by December 2025, representing a 500% total return over six years.</w:t>
      </w:r>
    </w:p>
    <w:p>
      <w:pPr>
        <w:spacing w:after="120"/>
      </w:pPr>
      <w:r>
        <w:rPr>
          <w:rFonts w:ascii="Arial" w:cs="Arial" w:eastAsia="Arial" w:hAnsi="Arial"/>
          <w:sz w:val="22"/>
          <w:szCs w:val="22"/>
        </w:rPr>
        <w:t xml:space="preserve">However, this exceptional return came with correspondingly high risk: annualized volatility of 31.48%, compared to approximately 15–18% for the S&amp;P 500 alone. This reflects the heavy concentration in high-volatility technology stocks, particularly Tesla (TSLA), which contributed disproportionately to both returns and risk.</w:t>
      </w:r>
    </w:p>
    <w:p>
      <w:pPr>
        <w:pStyle w:val="Heading2"/>
      </w:pPr>
      <w:r>
        <w:rPr>
          <w:rFonts w:ascii="Arial" w:cs="Arial" w:eastAsia="Arial" w:hAnsi="Arial"/>
          <w:b/>
          <w:bCs/>
          <w:color w:val="2E5F8A"/>
          <w:sz w:val="26"/>
          <w:szCs w:val="26"/>
        </w:rPr>
        <w:t xml:space="preserve">3.3  Value at Risk</w:t>
      </w:r>
    </w:p>
    <w:p>
      <w:pPr>
        <w:spacing w:after="120"/>
      </w:pPr>
      <w:r>
        <w:rPr>
          <w:rFonts w:ascii="Arial" w:cs="Arial" w:eastAsia="Arial" w:hAnsi="Arial"/>
          <w:sz w:val="22"/>
          <w:szCs w:val="22"/>
        </w:rPr>
        <w:t xml:space="preserve">At 95% confidence, both VaR methods produced similar estimates:</w:t>
      </w:r>
    </w:p>
    <w:p>
      <w:pPr>
        <w:pStyle w:val="ListParagraph"/>
        <w:numPr>
          <w:ilvl w:val="0"/>
          <w:numId w:val="2"/>
        </w:numPr>
        <w:spacing w:after="80"/>
      </w:pPr>
      <w:r>
        <w:rPr>
          <w:rFonts w:ascii="Arial" w:cs="Arial" w:eastAsia="Arial" w:hAnsi="Arial"/>
          <w:sz w:val="22"/>
          <w:szCs w:val="22"/>
        </w:rPr>
        <w:t xml:space="preserve">Parametric VaR: -3.12% per day (uses bell curve formula on average and volatility)</w:t>
      </w:r>
    </w:p>
    <w:p>
      <w:pPr>
        <w:pStyle w:val="ListParagraph"/>
        <w:numPr>
          <w:ilvl w:val="0"/>
          <w:numId w:val="2"/>
        </w:numPr>
        <w:spacing w:after="80"/>
      </w:pPr>
      <w:r>
        <w:rPr>
          <w:rFonts w:ascii="Arial" w:cs="Arial" w:eastAsia="Arial" w:hAnsi="Arial"/>
          <w:sz w:val="22"/>
          <w:szCs w:val="22"/>
        </w:rPr>
        <w:t xml:space="preserve">Historical VaR: -3.04% per day (uses empirical 5th percentile of actual data)</w:t>
      </w:r>
    </w:p>
    <w:p>
      <w:pPr>
        <w:spacing w:after="120"/>
      </w:pPr>
      <w:r>
        <w:rPr>
          <w:rFonts w:ascii="Arial" w:cs="Arial" w:eastAsia="Arial" w:hAnsi="Arial"/>
          <w:sz w:val="22"/>
          <w:szCs w:val="22"/>
        </w:rPr>
        <w:t xml:space="preserve">The close agreement between the two methods indicates that under normal market conditions, the portfolio's returns approximate a normal distribution. On a $1,000,000 portfolio, this implies a maximum expected daily loss of approximately $31,200 on 95% of trading days.</w:t>
      </w:r>
    </w:p>
    <w:p>
      <w:pPr>
        <w:pStyle w:val="Heading2"/>
      </w:pPr>
      <w:r>
        <w:rPr>
          <w:rFonts w:ascii="Arial" w:cs="Arial" w:eastAsia="Arial" w:hAnsi="Arial"/>
          <w:b/>
          <w:bCs/>
          <w:color w:val="2E5F8A"/>
          <w:sz w:val="26"/>
          <w:szCs w:val="26"/>
        </w:rPr>
        <w:t xml:space="preserve">3.4  Stress Test — COVID-19 Crash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Loss</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Worst Day</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COVID-19 Crash (Feb–Mar 2020)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A32D2D"/>
                <w:sz w:val="20"/>
                <w:szCs w:val="20"/>
              </w:rPr>
              <w:t xml:space="preserve">-40.66%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A32D2D"/>
                <w:sz w:val="20"/>
                <w:szCs w:val="20"/>
              </w:rPr>
              <w:t xml:space="preserve">-14.38%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23</w:t>
            </w:r>
          </w:p>
        </w:tc>
      </w:tr>
      <w:tr>
        <w:tc>
          <w:tcPr>
            <w:tcW w:type="dxa" w:w="3600"/>
            <w:tcBorders>
              <w:top w:val="single" w:color="CCCCCC" w:sz="1"/>
              <w:left w:val="single" w:color="CCCCCC" w:sz="1"/>
              <w:bottom w:val="single" w:color="CCCCCC" w:sz="1"/>
              <w:right w:val="single" w:color="CCCCCC" w:sz="1"/>
            </w:tcBorders>
            <w:shd w:fill="FDF3F3" w:val="clear"/>
            <w:tcMar>
              <w:top w:type="dxa" w:w="80"/>
              <w:left w:type="dxa" w:w="120"/>
              <w:bottom w:type="dxa" w:w="80"/>
              <w:right w:type="dxa" w:w="120"/>
            </w:tcMar>
          </w:tcPr>
          <w:p>
            <w:pPr>
              <w:jc w:val="center"/>
            </w:pPr>
            <w:r>
              <w:rPr>
                <w:rFonts w:ascii="Arial" w:cs="Arial" w:eastAsia="Arial" w:hAnsi="Arial"/>
                <w:color w:val="000000"/>
                <w:sz w:val="20"/>
                <w:szCs w:val="20"/>
              </w:rPr>
              <w:t xml:space="preserve">VaR Prediction (95% confidence)</w:t>
            </w:r>
          </w:p>
        </w:tc>
        <w:tc>
          <w:tcPr>
            <w:tcW w:type="dxa" w:w="1920"/>
            <w:tcBorders>
              <w:top w:val="single" w:color="CCCCCC" w:sz="1"/>
              <w:left w:val="single" w:color="CCCCCC" w:sz="1"/>
              <w:bottom w:val="single" w:color="CCCCCC" w:sz="1"/>
              <w:right w:val="single" w:color="CCCCCC" w:sz="1"/>
            </w:tcBorders>
            <w:shd w:fill="FDF3F3" w:val="clear"/>
            <w:tcMar>
              <w:top w:type="dxa" w:w="80"/>
              <w:left w:type="dxa" w:w="120"/>
              <w:bottom w:type="dxa" w:w="80"/>
              <w:right w:type="dxa" w:w="120"/>
            </w:tcMar>
          </w:tcPr>
          <w:p>
            <w:pPr>
              <w:jc w:val="center"/>
            </w:pPr>
            <w:r>
              <w:rPr>
                <w:rFonts w:ascii="Arial" w:cs="Arial" w:eastAsia="Arial" w:hAnsi="Arial"/>
                <w:color w:val="000000"/>
                <w:sz w:val="20"/>
                <w:szCs w:val="20"/>
              </w:rPr>
              <w:t xml:space="preserve">-3.12%</w:t>
            </w:r>
          </w:p>
        </w:tc>
        <w:tc>
          <w:tcPr>
            <w:tcW w:type="dxa" w:w="1920"/>
            <w:tcBorders>
              <w:top w:val="single" w:color="CCCCCC" w:sz="1"/>
              <w:left w:val="single" w:color="CCCCCC" w:sz="1"/>
              <w:bottom w:val="single" w:color="CCCCCC" w:sz="1"/>
              <w:right w:val="single" w:color="CCCCCC" w:sz="1"/>
            </w:tcBorders>
            <w:shd w:fill="FDF3F3" w:val="clear"/>
            <w:tcMar>
              <w:top w:type="dxa" w:w="80"/>
              <w:left w:type="dxa" w:w="120"/>
              <w:bottom w:type="dxa" w:w="80"/>
              <w:right w:type="dxa" w:w="120"/>
            </w:tcMar>
          </w:tcPr>
          <w:p>
            <w:pPr>
              <w:jc w:val="center"/>
            </w:pPr>
            <w:r>
              <w:rPr>
                <w:rFonts w:ascii="Arial" w:cs="Arial" w:eastAsia="Arial" w:hAnsi="Arial"/>
                <w:color w:val="000000"/>
                <w:sz w:val="20"/>
                <w:szCs w:val="20"/>
              </w:rPr>
              <w:t xml:space="preserve">N/A</w:t>
            </w:r>
          </w:p>
        </w:tc>
        <w:tc>
          <w:tcPr>
            <w:tcW w:type="dxa" w:w="1920"/>
            <w:tcBorders>
              <w:top w:val="single" w:color="CCCCCC" w:sz="1"/>
              <w:left w:val="single" w:color="CCCCCC" w:sz="1"/>
              <w:bottom w:val="single" w:color="CCCCCC" w:sz="1"/>
              <w:right w:val="single" w:color="CCCCCC" w:sz="1"/>
            </w:tcBorders>
            <w:shd w:fill="FDF3F3" w:val="clear"/>
            <w:tcMar>
              <w:top w:type="dxa" w:w="80"/>
              <w:left w:type="dxa" w:w="120"/>
              <w:bottom w:type="dxa" w:w="80"/>
              <w:right w:type="dxa" w:w="120"/>
            </w:tcMar>
          </w:tcPr>
          <w:p>
            <w:pPr>
              <w:jc w:val="center"/>
            </w:pPr>
            <w:r>
              <w:rPr>
                <w:rFonts w:ascii="Arial" w:cs="Arial" w:eastAsia="Arial" w:hAnsi="Arial"/>
                <w:color w:val="000000"/>
                <w:sz w:val="20"/>
                <w:szCs w:val="20"/>
              </w:rPr>
              <w:t xml:space="preserve">1-day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Gap (actual vs. predicted)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A32D2D"/>
                <w:sz w:val="20"/>
                <w:szCs w:val="20"/>
              </w:rPr>
              <w:t xml:space="preserve">13.0× worse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A32D2D"/>
                <w:sz w:val="20"/>
                <w:szCs w:val="20"/>
              </w:rPr>
              <w:t xml:space="preserve">4.6× worse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w:t>
            </w:r>
          </w:p>
        </w:tc>
      </w:tr>
    </w:tbl>
    <w:p>
      <w:pPr>
        <w:spacing w:after="160"/>
      </w:pPr>
      <w:r>
        <w:t xml:space="preserve"/>
      </w:r>
    </w:p>
    <w:p>
      <w:pPr>
        <w:spacing w:after="120"/>
      </w:pPr>
      <w:r>
        <w:rPr>
          <w:rFonts w:ascii="Arial" w:cs="Arial" w:eastAsia="Arial" w:hAnsi="Arial"/>
          <w:sz w:val="22"/>
          <w:szCs w:val="22"/>
        </w:rPr>
        <w:t xml:space="preserve">The COVID-19 stress test reveals the critical limitation of VaR models. During just 23 trading days, the portfolio lost 40.66% of its value. The worst single day recorded a loss of -14.38% — 4.6 times worse than the parametric VaR threshold. This demonstrates that VaR systematically underestimates tail risk during extreme market events.</w:t>
      </w:r>
    </w:p>
    <w:p>
      <w:pPr>
        <w:spacing w:after="160"/>
      </w:pPr>
      <w:r>
        <w:t xml:space="preserve"/>
      </w:r>
    </w:p>
    <w:p>
      <w:pPr>
        <w:pStyle w:val="Heading1"/>
      </w:pPr>
      <w:r>
        <w:rPr>
          <w:rFonts w:ascii="Arial" w:cs="Arial" w:eastAsia="Arial" w:hAnsi="Arial"/>
          <w:b/>
          <w:bCs/>
          <w:color w:val="1F3864"/>
          <w:sz w:val="32"/>
          <w:szCs w:val="32"/>
        </w:rPr>
        <w:t xml:space="preserve">4. Visualization Findings</w:t>
      </w:r>
    </w:p>
    <w:p>
      <w:pPr>
        <w:pStyle w:val="Heading2"/>
      </w:pPr>
      <w:r>
        <w:rPr>
          <w:rFonts w:ascii="Arial" w:cs="Arial" w:eastAsia="Arial" w:hAnsi="Arial"/>
          <w:b/>
          <w:bCs/>
          <w:color w:val="2E5F8A"/>
          <w:sz w:val="26"/>
          <w:szCs w:val="26"/>
        </w:rPr>
        <w:t xml:space="preserve">4.1  Cumulative Portfolio Growth</w:t>
      </w:r>
    </w:p>
    <w:p>
      <w:pPr>
        <w:spacing w:after="120"/>
      </w:pPr>
      <w:r>
        <w:rPr>
          <w:rFonts w:ascii="Arial" w:cs="Arial" w:eastAsia="Arial" w:hAnsi="Arial"/>
          <w:sz w:val="22"/>
          <w:szCs w:val="22"/>
        </w:rPr>
        <w:t xml:space="preserve">The growth chart reveals the portfolio's full journey: a brief dip below the initial investment level during the COVID crash in early 2020, followed by a strong recovery through 2021, a period of consolidation and decline during the 2022 bear market, and a powerful multi-year surge through 2024–2025 driven by the AI technology boom. The final value of approximately 6× the starting investment demonstrates the compounding power of high-growth equities over a full market cycle.</w:t>
      </w:r>
    </w:p>
    <w:p>
      <w:pPr>
        <w:pStyle w:val="Heading2"/>
      </w:pPr>
      <w:r>
        <w:rPr>
          <w:rFonts w:ascii="Arial" w:cs="Arial" w:eastAsia="Arial" w:hAnsi="Arial"/>
          <w:b/>
          <w:bCs/>
          <w:color w:val="2E5F8A"/>
          <w:sz w:val="26"/>
          <w:szCs w:val="26"/>
        </w:rPr>
        <w:t xml:space="preserve">4.2  Return Distribution</w:t>
      </w:r>
    </w:p>
    <w:p>
      <w:pPr>
        <w:spacing w:after="120"/>
      </w:pPr>
      <w:r>
        <w:rPr>
          <w:rFonts w:ascii="Arial" w:cs="Arial" w:eastAsia="Arial" w:hAnsi="Arial"/>
          <w:sz w:val="22"/>
          <w:szCs w:val="22"/>
        </w:rPr>
        <w:t xml:space="preserve">The histogram of daily returns shows a bell-shaped distribution centered near zero, consistent with a normal distribution. The two VaR threshold lines (red and orange) are visible in the left tail, marking the boundary beyond which only 5% of days fall. Notably, several bars extend to -15%, far beyond the VaR threshold — these represent the COVID crash days. This visual confirms the presence of fat tails: extreme losses occur more frequently than a perfect normal distribution would predict.</w:t>
      </w:r>
    </w:p>
    <w:p>
      <w:pPr>
        <w:pStyle w:val="Heading2"/>
      </w:pPr>
      <w:r>
        <w:rPr>
          <w:rFonts w:ascii="Arial" w:cs="Arial" w:eastAsia="Arial" w:hAnsi="Arial"/>
          <w:b/>
          <w:bCs/>
          <w:color w:val="2E5F8A"/>
          <w:sz w:val="26"/>
          <w:szCs w:val="26"/>
        </w:rPr>
        <w:t xml:space="preserve">4.3  Rolling Volatility</w:t>
      </w:r>
    </w:p>
    <w:p>
      <w:pPr>
        <w:spacing w:after="120"/>
      </w:pPr>
      <w:r>
        <w:rPr>
          <w:rFonts w:ascii="Arial" w:cs="Arial" w:eastAsia="Arial" w:hAnsi="Arial"/>
          <w:sz w:val="22"/>
          <w:szCs w:val="22"/>
        </w:rPr>
        <w:t xml:space="preserve">The rolling 30-day volatility chart is the most striking visualization. Volatility spiked to approximately 90% (annualized) during the COVID crash in March 2020 — compared to a baseline of 15–25% during calm periods. A secondary spike of approximately 65% appeared in early 2025 during market turbulence driven by tariff announcements and AI sector repricing. This chart conclusively demonstrates that risk is time-varying, not constant — a fundamental assumption violated by static VaR models.</w:t>
      </w:r>
    </w:p>
    <w:p>
      <w:pPr>
        <w:spacing w:after="160"/>
      </w:pPr>
      <w:r>
        <w:t xml:space="preserve"/>
      </w:r>
    </w:p>
    <w:p>
      <w:pPr>
        <w:pStyle w:val="Heading1"/>
      </w:pPr>
      <w:r>
        <w:rPr>
          <w:rFonts w:ascii="Arial" w:cs="Arial" w:eastAsia="Arial" w:hAnsi="Arial"/>
          <w:b/>
          <w:bCs/>
          <w:color w:val="1F3864"/>
          <w:sz w:val="32"/>
          <w:szCs w:val="32"/>
        </w:rPr>
        <w:t xml:space="preserve">5. Discussion</w:t>
      </w:r>
    </w:p>
    <w:p>
      <w:pPr>
        <w:pStyle w:val="Heading2"/>
      </w:pPr>
      <w:r>
        <w:rPr>
          <w:rFonts w:ascii="Arial" w:cs="Arial" w:eastAsia="Arial" w:hAnsi="Arial"/>
          <w:b/>
          <w:bCs/>
          <w:color w:val="2E5F8A"/>
          <w:sz w:val="26"/>
          <w:szCs w:val="26"/>
        </w:rPr>
        <w:t xml:space="preserve">5.1  Model Limitations</w:t>
      </w:r>
    </w:p>
    <w:p>
      <w:pPr>
        <w:spacing w:after="120"/>
      </w:pPr>
      <w:r>
        <w:rPr>
          <w:rFonts w:ascii="Arial" w:cs="Arial" w:eastAsia="Arial" w:hAnsi="Arial"/>
          <w:sz w:val="22"/>
          <w:szCs w:val="22"/>
        </w:rPr>
        <w:t xml:space="preserve">The 4.6× gap between predicted and actual losses during COVID illustrates the most widely discussed limitation of VaR: it measures risk under normal conditions only. Both parametric and historical VaR are backward-looking and assume that future market behavior resembles the historical period used for calibration. During structural breaks — pandemics, financial crises, geopolitical shocks — this assumption fails.</w:t>
      </w:r>
    </w:p>
    <w:p>
      <w:pPr>
        <w:spacing w:after="120"/>
      </w:pPr>
      <w:r>
        <w:rPr>
          <w:rFonts w:ascii="Arial" w:cs="Arial" w:eastAsia="Arial" w:hAnsi="Arial"/>
          <w:sz w:val="22"/>
          <w:szCs w:val="22"/>
        </w:rPr>
        <w:t xml:space="preserve">Parametric VaR additionally assumes a normal distribution, which underweights tail events (fat tails). The negative skewness and excess kurtosis observed in the portfolio's return distribution confirm that losses are both more extreme and more frequent on the downside than a bell curve predicts.</w:t>
      </w:r>
    </w:p>
    <w:p>
      <w:pPr>
        <w:pStyle w:val="Heading2"/>
      </w:pPr>
      <w:r>
        <w:rPr>
          <w:rFonts w:ascii="Arial" w:cs="Arial" w:eastAsia="Arial" w:hAnsi="Arial"/>
          <w:b/>
          <w:bCs/>
          <w:color w:val="2E5F8A"/>
          <w:sz w:val="26"/>
          <w:szCs w:val="26"/>
        </w:rPr>
        <w:t xml:space="preserve">5.2  Diversification Analysis</w:t>
      </w:r>
    </w:p>
    <w:p>
      <w:pPr>
        <w:spacing w:after="120"/>
      </w:pPr>
      <w:r>
        <w:rPr>
          <w:rFonts w:ascii="Arial" w:cs="Arial" w:eastAsia="Arial" w:hAnsi="Arial"/>
          <w:sz w:val="22"/>
          <w:szCs w:val="22"/>
        </w:rPr>
        <w:t xml:space="preserve">While the portfolio holds four assets, three of them (AAPL, MSFT, TSLA) are technology companies with high return correlations. During normal periods, SPY provides partial diversification, dampening volatility. However, during the COVID crash, correlations across all assets converged toward 1.0 — all assets fell simultaneously, eliminating the diversification benefit exactly when it was needed most. This is a well-documented phenomenon known as correlation breakdown in crisis periods.</w:t>
      </w:r>
    </w:p>
    <w:p>
      <w:pPr>
        <w:spacing w:after="120"/>
      </w:pPr>
      <w:r>
        <w:rPr>
          <w:rFonts w:ascii="Arial" w:cs="Arial" w:eastAsia="Arial" w:hAnsi="Arial"/>
          <w:sz w:val="22"/>
          <w:szCs w:val="22"/>
        </w:rPr>
        <w:t xml:space="preserve">TSLA, at only 20% of portfolio weight, contributes disproportionately to total portfolio variance due to its extreme individual volatility (~62% annualized). A risk-aware portfolio manager would likely reduce TSLA exposure or add genuinely uncorrelated assets such as bonds, commodities, or real estate to achieve more robust diversification.</w:t>
      </w:r>
    </w:p>
    <w:p>
      <w:pPr>
        <w:pStyle w:val="Heading2"/>
      </w:pPr>
      <w:r>
        <w:rPr>
          <w:rFonts w:ascii="Arial" w:cs="Arial" w:eastAsia="Arial" w:hAnsi="Arial"/>
          <w:b/>
          <w:bCs/>
          <w:color w:val="2E5F8A"/>
          <w:sz w:val="26"/>
          <w:szCs w:val="26"/>
        </w:rPr>
        <w:t xml:space="preserve">5.3  Implications for Risk Management</w:t>
      </w:r>
    </w:p>
    <w:p>
      <w:pPr>
        <w:spacing w:after="120"/>
      </w:pPr>
      <w:r>
        <w:rPr>
          <w:rFonts w:ascii="Arial" w:cs="Arial" w:eastAsia="Arial" w:hAnsi="Arial"/>
          <w:sz w:val="22"/>
          <w:szCs w:val="22"/>
        </w:rPr>
        <w:t xml:space="preserve">This analysis demonstrates why institutional investors use multiple complementary risk frameworks rather than relying on any single metric:</w:t>
      </w:r>
    </w:p>
    <w:p>
      <w:pPr>
        <w:pStyle w:val="ListParagraph"/>
        <w:numPr>
          <w:ilvl w:val="0"/>
          <w:numId w:val="2"/>
        </w:numPr>
        <w:spacing w:after="80"/>
      </w:pPr>
      <w:r>
        <w:rPr>
          <w:rFonts w:ascii="Arial" w:cs="Arial" w:eastAsia="Arial" w:hAnsi="Arial"/>
          <w:sz w:val="22"/>
          <w:szCs w:val="22"/>
        </w:rPr>
        <w:t xml:space="preserve">VaR quantifies everyday risk under normal conditions</w:t>
      </w:r>
    </w:p>
    <w:p>
      <w:pPr>
        <w:pStyle w:val="ListParagraph"/>
        <w:numPr>
          <w:ilvl w:val="0"/>
          <w:numId w:val="2"/>
        </w:numPr>
        <w:spacing w:after="80"/>
      </w:pPr>
      <w:r>
        <w:rPr>
          <w:rFonts w:ascii="Arial" w:cs="Arial" w:eastAsia="Arial" w:hAnsi="Arial"/>
          <w:sz w:val="22"/>
          <w:szCs w:val="22"/>
        </w:rPr>
        <w:t xml:space="preserve">Stress testing reveals vulnerability to extreme tail events</w:t>
      </w:r>
    </w:p>
    <w:p>
      <w:pPr>
        <w:pStyle w:val="ListParagraph"/>
        <w:numPr>
          <w:ilvl w:val="0"/>
          <w:numId w:val="2"/>
        </w:numPr>
        <w:spacing w:after="80"/>
      </w:pPr>
      <w:r>
        <w:rPr>
          <w:rFonts w:ascii="Arial" w:cs="Arial" w:eastAsia="Arial" w:hAnsi="Arial"/>
          <w:sz w:val="22"/>
          <w:szCs w:val="22"/>
        </w:rPr>
        <w:t xml:space="preserve">Rolling volatility shows how risk changes over time</w:t>
      </w:r>
    </w:p>
    <w:p>
      <w:pPr>
        <w:pStyle w:val="ListParagraph"/>
        <w:numPr>
          <w:ilvl w:val="0"/>
          <w:numId w:val="2"/>
        </w:numPr>
        <w:spacing w:after="80"/>
      </w:pPr>
      <w:r>
        <w:rPr>
          <w:rFonts w:ascii="Arial" w:cs="Arial" w:eastAsia="Arial" w:hAnsi="Arial"/>
          <w:sz w:val="22"/>
          <w:szCs w:val="22"/>
        </w:rPr>
        <w:t xml:space="preserve">Correlation analysis exposes hidden concentration risk</w:t>
      </w:r>
    </w:p>
    <w:p>
      <w:pPr>
        <w:spacing w:after="120"/>
      </w:pPr>
      <w:r>
        <w:rPr>
          <w:rFonts w:ascii="Arial" w:cs="Arial" w:eastAsia="Arial" w:hAnsi="Arial"/>
          <w:sz w:val="22"/>
          <w:szCs w:val="22"/>
        </w:rPr>
        <w:t xml:space="preserve">The COVID crash stress test showed a $406,600 loss on a $1,000,000 portfolio in 23 days — a scenario that VaR alone would never have predicted. This underscores why large institutional funds maintain dedicated stress testing programs that simulate historical crises and hypothetical shock scenarios alongside standard quantitative risk models.</w:t>
      </w:r>
    </w:p>
    <w:p>
      <w:pPr>
        <w:spacing w:after="160"/>
      </w:pPr>
      <w:r>
        <w:t xml:space="preserve"/>
      </w:r>
    </w:p>
    <w:p>
      <w:pPr>
        <w:pStyle w:val="Heading1"/>
      </w:pPr>
      <w:r>
        <w:rPr>
          <w:rFonts w:ascii="Arial" w:cs="Arial" w:eastAsia="Arial" w:hAnsi="Arial"/>
          <w:b/>
          <w:bCs/>
          <w:color w:val="1F3864"/>
          <w:sz w:val="32"/>
          <w:szCs w:val="32"/>
        </w:rPr>
        <w:t xml:space="preserve">6. Conclusion</w:t>
      </w:r>
    </w:p>
    <w:p>
      <w:pPr>
        <w:spacing w:after="120"/>
      </w:pPr>
      <w:r>
        <w:rPr>
          <w:rFonts w:ascii="Arial" w:cs="Arial" w:eastAsia="Arial" w:hAnsi="Arial"/>
          <w:sz w:val="22"/>
          <w:szCs w:val="22"/>
        </w:rPr>
        <w:t xml:space="preserve">This project successfully implemented a complete portfolio risk analysis pipeline using Python, covering data acquisition, return calculation, portfolio construction, Value at Risk estimation, stress testing, and visualization. All analysis was performed on real historical market data spanning six years and four assets.</w:t>
      </w:r>
    </w:p>
    <w:p>
      <w:pPr>
        <w:spacing w:after="120"/>
      </w:pPr>
      <w:r>
        <w:rPr>
          <w:rFonts w:ascii="Arial" w:cs="Arial" w:eastAsia="Arial" w:hAnsi="Arial"/>
          <w:sz w:val="22"/>
          <w:szCs w:val="22"/>
        </w:rPr>
        <w:t xml:space="preserve">The key findings are:</w:t>
      </w:r>
    </w:p>
    <w:p>
      <w:pPr>
        <w:pStyle w:val="ListParagraph"/>
        <w:numPr>
          <w:ilvl w:val="0"/>
          <w:numId w:val="2"/>
        </w:numPr>
        <w:spacing w:after="80"/>
      </w:pPr>
      <w:r>
        <w:rPr>
          <w:rFonts w:ascii="Arial" w:cs="Arial" w:eastAsia="Arial" w:hAnsi="Arial"/>
          <w:sz w:val="22"/>
          <w:szCs w:val="22"/>
        </w:rPr>
        <w:t xml:space="preserve">The portfolio generated strong returns (34.44% annualized) but with substantial risk (31.48% volatility), reflecting its technology-heavy composition</w:t>
      </w:r>
    </w:p>
    <w:p>
      <w:pPr>
        <w:pStyle w:val="ListParagraph"/>
        <w:numPr>
          <w:ilvl w:val="0"/>
          <w:numId w:val="2"/>
        </w:numPr>
        <w:spacing w:after="80"/>
      </w:pPr>
      <w:r>
        <w:rPr>
          <w:rFonts w:ascii="Arial" w:cs="Arial" w:eastAsia="Arial" w:hAnsi="Arial"/>
          <w:sz w:val="22"/>
          <w:szCs w:val="22"/>
        </w:rPr>
        <w:t xml:space="preserve">Both VaR methods produced consistent estimates (~-3.1%), suggesting normally distributed returns under ordinary market conditions</w:t>
      </w:r>
    </w:p>
    <w:p>
      <w:pPr>
        <w:pStyle w:val="ListParagraph"/>
        <w:numPr>
          <w:ilvl w:val="0"/>
          <w:numId w:val="2"/>
        </w:numPr>
        <w:spacing w:after="80"/>
      </w:pPr>
      <w:r>
        <w:rPr>
          <w:rFonts w:ascii="Arial" w:cs="Arial" w:eastAsia="Arial" w:hAnsi="Arial"/>
          <w:sz w:val="22"/>
          <w:szCs w:val="22"/>
        </w:rPr>
        <w:t xml:space="preserve">The COVID-19 stress test revealed losses 4.6× worse than VaR predicted on the worst single day, and 13× worse in total — conclusively demonstrating VaR's inability to capture tail risk</w:t>
      </w:r>
    </w:p>
    <w:p>
      <w:pPr>
        <w:pStyle w:val="ListParagraph"/>
        <w:numPr>
          <w:ilvl w:val="0"/>
          <w:numId w:val="2"/>
        </w:numPr>
        <w:spacing w:after="80"/>
      </w:pPr>
      <w:r>
        <w:rPr>
          <w:rFonts w:ascii="Arial" w:cs="Arial" w:eastAsia="Arial" w:hAnsi="Arial"/>
          <w:sz w:val="22"/>
          <w:szCs w:val="22"/>
        </w:rPr>
        <w:t xml:space="preserve">Rolling volatility analysis confirmed that risk is time-varying, invalidating static risk model assumptions</w:t>
      </w:r>
    </w:p>
    <w:p>
      <w:pPr>
        <w:pStyle w:val="ListParagraph"/>
        <w:numPr>
          <w:ilvl w:val="0"/>
          <w:numId w:val="2"/>
        </w:numPr>
        <w:spacing w:after="80"/>
      </w:pPr>
      <w:r>
        <w:rPr>
          <w:rFonts w:ascii="Arial" w:cs="Arial" w:eastAsia="Arial" w:hAnsi="Arial"/>
          <w:sz w:val="22"/>
          <w:szCs w:val="22"/>
        </w:rPr>
        <w:t xml:space="preserve">Diversification benefits are limited due to high intra-portfolio correlations, and disappear entirely during market crises</w:t>
      </w:r>
    </w:p>
    <w:p>
      <w:pPr>
        <w:spacing w:after="120"/>
      </w:pPr>
      <w:r>
        <w:rPr>
          <w:rFonts w:ascii="Arial" w:cs="Arial" w:eastAsia="Arial" w:hAnsi="Arial"/>
          <w:sz w:val="22"/>
          <w:szCs w:val="22"/>
        </w:rPr>
        <w:t xml:space="preserve">The fundamental lesson is that quantitative risk models are powerful tools but must always be complemented by stress testing, scenario analysis, and qualitative judgment. No single metric captures the full complexity of financial risk — a principle that underpins modern institutional risk management practice.</w:t>
      </w:r>
    </w:p>
    <w:p>
      <w:pPr>
        <w:spacing w:after="160"/>
      </w:pPr>
      <w:r>
        <w:t xml:space="preserve"/>
      </w:r>
    </w:p>
    <w:p>
      <w:pPr>
        <w:pStyle w:val="Heading1"/>
      </w:pPr>
      <w:r>
        <w:rPr>
          <w:rFonts w:ascii="Arial" w:cs="Arial" w:eastAsia="Arial" w:hAnsi="Arial"/>
          <w:b/>
          <w:bCs/>
          <w:color w:val="1F3864"/>
          <w:sz w:val="32"/>
          <w:szCs w:val="32"/>
        </w:rPr>
        <w:t xml:space="preserve">7. Technical Appendix</w:t>
      </w:r>
    </w:p>
    <w:p>
      <w:pPr>
        <w:pStyle w:val="Heading2"/>
      </w:pPr>
      <w:r>
        <w:rPr>
          <w:rFonts w:ascii="Arial" w:cs="Arial" w:eastAsia="Arial" w:hAnsi="Arial"/>
          <w:b/>
          <w:bCs/>
          <w:color w:val="2E5F8A"/>
          <w:sz w:val="26"/>
          <w:szCs w:val="26"/>
        </w:rPr>
        <w:t xml:space="preserve">Libraries Used</w:t>
      </w:r>
    </w:p>
    <w:p>
      <w:pPr>
        <w:pStyle w:val="ListParagraph"/>
        <w:numPr>
          <w:ilvl w:val="0"/>
          <w:numId w:val="2"/>
        </w:numPr>
        <w:spacing w:after="80"/>
      </w:pPr>
      <w:r>
        <w:rPr>
          <w:rFonts w:ascii="Arial" w:cs="Arial" w:eastAsia="Arial" w:hAnsi="Arial"/>
          <w:sz w:val="22"/>
          <w:szCs w:val="22"/>
        </w:rPr>
        <w:t xml:space="preserve">yfinance 1.4.1 — market data retrieval from Yahoo Finance</w:t>
      </w:r>
    </w:p>
    <w:p>
      <w:pPr>
        <w:pStyle w:val="ListParagraph"/>
        <w:numPr>
          <w:ilvl w:val="0"/>
          <w:numId w:val="2"/>
        </w:numPr>
        <w:spacing w:after="80"/>
      </w:pPr>
      <w:r>
        <w:rPr>
          <w:rFonts w:ascii="Arial" w:cs="Arial" w:eastAsia="Arial" w:hAnsi="Arial"/>
          <w:sz w:val="22"/>
          <w:szCs w:val="22"/>
        </w:rPr>
        <w:t xml:space="preserve">pandas 3.0.3 — data manipulation and time series analysis</w:t>
      </w:r>
    </w:p>
    <w:p>
      <w:pPr>
        <w:pStyle w:val="ListParagraph"/>
        <w:numPr>
          <w:ilvl w:val="0"/>
          <w:numId w:val="2"/>
        </w:numPr>
        <w:spacing w:after="80"/>
      </w:pPr>
      <w:r>
        <w:rPr>
          <w:rFonts w:ascii="Arial" w:cs="Arial" w:eastAsia="Arial" w:hAnsi="Arial"/>
          <w:sz w:val="22"/>
          <w:szCs w:val="22"/>
        </w:rPr>
        <w:t xml:space="preserve">numpy 2.4.6 — numerical computation and array operations</w:t>
      </w:r>
    </w:p>
    <w:p>
      <w:pPr>
        <w:pStyle w:val="ListParagraph"/>
        <w:numPr>
          <w:ilvl w:val="0"/>
          <w:numId w:val="2"/>
        </w:numPr>
        <w:spacing w:after="80"/>
      </w:pPr>
      <w:r>
        <w:rPr>
          <w:rFonts w:ascii="Arial" w:cs="Arial" w:eastAsia="Arial" w:hAnsi="Arial"/>
          <w:sz w:val="22"/>
          <w:szCs w:val="22"/>
        </w:rPr>
        <w:t xml:space="preserve">matplotlib 3.10.9 — data visualization and chart generation</w:t>
      </w:r>
    </w:p>
    <w:p>
      <w:pPr>
        <w:pStyle w:val="ListParagraph"/>
        <w:numPr>
          <w:ilvl w:val="0"/>
          <w:numId w:val="2"/>
        </w:numPr>
        <w:spacing w:after="80"/>
      </w:pPr>
      <w:r>
        <w:rPr>
          <w:rFonts w:ascii="Arial" w:cs="Arial" w:eastAsia="Arial" w:hAnsi="Arial"/>
          <w:sz w:val="22"/>
          <w:szCs w:val="22"/>
        </w:rPr>
        <w:t xml:space="preserve">scipy 1.17.1 — statistical functions including normal distribution</w:t>
      </w:r>
    </w:p>
    <w:p>
      <w:pPr>
        <w:pStyle w:val="Heading2"/>
      </w:pPr>
      <w:r>
        <w:rPr>
          <w:rFonts w:ascii="Arial" w:cs="Arial" w:eastAsia="Arial" w:hAnsi="Arial"/>
          <w:b/>
          <w:bCs/>
          <w:color w:val="2E5F8A"/>
          <w:sz w:val="26"/>
          <w:szCs w:val="26"/>
        </w:rPr>
        <w:t xml:space="preserve">Key Formulas</w:t>
      </w:r>
    </w:p>
    <w:p>
      <w:pPr>
        <w:spacing w:after="60" w:before="80"/>
      </w:pPr>
      <w:r>
        <w:rPr>
          <w:rFonts w:ascii="Courier New" w:cs="Courier New" w:eastAsia="Courier New" w:hAnsi="Courier New"/>
          <w:sz w:val="20"/>
          <w:szCs w:val="20"/>
        </w:rPr>
        <w:t xml:space="preserve">Annualized Return  =  Daily Return × 252</w:t>
      </w:r>
    </w:p>
    <w:p>
      <w:pPr>
        <w:spacing w:after="60"/>
      </w:pPr>
      <w:r>
        <w:rPr>
          <w:rFonts w:ascii="Courier New" w:cs="Courier New" w:eastAsia="Courier New" w:hAnsi="Courier New"/>
          <w:sz w:val="20"/>
          <w:szCs w:val="20"/>
        </w:rPr>
        <w:t xml:space="preserve">Annualized Volatility  =  Daily Std Dev × √252</w:t>
      </w:r>
    </w:p>
    <w:p>
      <w:pPr>
        <w:spacing w:after="60"/>
      </w:pPr>
      <w:r>
        <w:rPr>
          <w:rFonts w:ascii="Courier New" w:cs="Courier New" w:eastAsia="Courier New" w:hAnsi="Courier New"/>
          <w:sz w:val="20"/>
          <w:szCs w:val="20"/>
        </w:rPr>
        <w:t xml:space="preserve">Parametric VaR  =  norm.ppf(0.05, mean, std)</w:t>
      </w:r>
    </w:p>
    <w:p>
      <w:pPr>
        <w:spacing w:after="60"/>
      </w:pPr>
      <w:r>
        <w:rPr>
          <w:rFonts w:ascii="Courier New" w:cs="Courier New" w:eastAsia="Courier New" w:hAnsi="Courier New"/>
          <w:sz w:val="20"/>
          <w:szCs w:val="20"/>
        </w:rPr>
        <w:t xml:space="preserve">Historical VaR  =  percentile(returns, 5)</w:t>
      </w:r>
    </w:p>
    <w:p>
      <w:pPr>
        <w:pStyle w:val="Heading2"/>
      </w:pPr>
      <w:r>
        <w:rPr>
          <w:rFonts w:ascii="Arial" w:cs="Arial" w:eastAsia="Arial" w:hAnsi="Arial"/>
          <w:b/>
          <w:bCs/>
          <w:color w:val="2E5F8A"/>
          <w:sz w:val="26"/>
          <w:szCs w:val="26"/>
        </w:rPr>
        <w:t xml:space="preserve">Python Version</w:t>
      </w:r>
    </w:p>
    <w:p>
      <w:pPr>
        <w:spacing w:after="120"/>
      </w:pPr>
      <w:r>
        <w:rPr>
          <w:rFonts w:ascii="Arial" w:cs="Arial" w:eastAsia="Arial" w:hAnsi="Arial"/>
          <w:sz w:val="22"/>
          <w:szCs w:val="22"/>
        </w:rPr>
        <w:t xml:space="preserve">Python 3.14.2 on macOS, developed in Visual Studio Code.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Portfolio Risk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2026-06-06T15:59:35.568Z</dcterms:created>
  <dcterms:modified xsi:type="dcterms:W3CDTF">2026-06-06T15:59:35.584Z</dcterms:modified>
</cp:coreProperties>
</file>

<file path=docProps/custom.xml><?xml version="1.0" encoding="utf-8"?>
<Properties xmlns="http://schemas.openxmlformats.org/officeDocument/2006/custom-properties" xmlns:vt="http://schemas.openxmlformats.org/officeDocument/2006/docPropsVTypes"/>
</file>