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pPr w:leftFromText="180" w:rightFromText="180" w:vertAnchor="page" w:horzAnchor="page" w:tblpXSpec="center" w:tblpY="643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12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98"/>
        <w:gridCol w:w="1395"/>
        <w:gridCol w:w="1485"/>
        <w:gridCol w:w="1316"/>
        <w:gridCol w:w="1778"/>
      </w:tblGrid>
      <w:tr w14:paraId="4157E162">
        <w:tblPrEx>
          <w:tblBorders>
            <w:top w:val="single" w:color="auto" w:sz="4" w:space="0"/>
            <w:left w:val="single" w:color="auto" w:sz="4" w:space="0"/>
            <w:bottom w:val="single" w:color="auto" w:sz="12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3" w:hRule="atLeast"/>
          <w:jc w:val="center"/>
        </w:trPr>
        <w:tc>
          <w:tcPr>
            <w:tcW w:w="3598" w:type="dxa"/>
            <w:vMerge w:val="restart"/>
            <w:tcBorders>
              <w:top w:val="single" w:color="auto" w:sz="12" w:space="0"/>
              <w:left w:val="nil"/>
            </w:tcBorders>
            <w:shd w:val="clear" w:color="auto" w:fill="D7D7D7"/>
            <w:noWrap w:val="0"/>
            <w:vAlign w:val="center"/>
          </w:tcPr>
          <w:p w14:paraId="0E36B6FE">
            <w:pPr>
              <w:pStyle w:val="5"/>
              <w:keepNext w:val="0"/>
              <w:keepLines w:val="0"/>
              <w:pageBreakBefore w:val="0"/>
              <w:widowControl w:val="0"/>
              <w:pBdr>
                <w:bottom w:val="none" w:color="auto" w:sz="0" w:space="0"/>
              </w:pBd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afterAutospacing="0" w:line="240" w:lineRule="auto"/>
              <w:ind w:firstLine="420" w:firstLineChars="200"/>
              <w:textAlignment w:val="auto"/>
              <w:rPr>
                <w:rFonts w:hint="eastAsia" w:ascii="微软雅黑" w:hAnsi="微软雅黑" w:eastAsia="微软雅黑" w:cs="微软雅黑"/>
                <w:b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695960" cy="711835"/>
                  <wp:effectExtent l="0" t="0" r="8890" b="12065"/>
                  <wp:docPr id="3" name="图片 2" descr="图片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 descr="图片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960" cy="711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5" w:type="dxa"/>
            <w:tcBorders>
              <w:top w:val="single" w:color="auto" w:sz="12" w:space="0"/>
            </w:tcBorders>
            <w:noWrap w:val="0"/>
            <w:vAlign w:val="center"/>
          </w:tcPr>
          <w:p w14:paraId="49C24C02">
            <w:pPr>
              <w:pStyle w:val="5"/>
              <w:keepNext w:val="0"/>
              <w:keepLines w:val="0"/>
              <w:pageBreakBefore w:val="0"/>
              <w:widowControl w:val="0"/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afterAutospacing="0" w:line="240" w:lineRule="auto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文件编号</w:t>
            </w:r>
          </w:p>
        </w:tc>
        <w:tc>
          <w:tcPr>
            <w:tcW w:w="1485" w:type="dxa"/>
            <w:tcBorders>
              <w:top w:val="single" w:color="auto" w:sz="12" w:space="0"/>
            </w:tcBorders>
            <w:noWrap w:val="0"/>
            <w:vAlign w:val="center"/>
          </w:tcPr>
          <w:p w14:paraId="1745CD06">
            <w:pPr>
              <w:pStyle w:val="5"/>
              <w:keepNext w:val="0"/>
              <w:keepLines w:val="0"/>
              <w:pageBreakBefore w:val="0"/>
              <w:widowControl w:val="0"/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afterAutospacing="0" w:line="240" w:lineRule="auto"/>
              <w:ind w:firstLine="420" w:firstLineChars="200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316" w:type="dxa"/>
            <w:tcBorders>
              <w:top w:val="single" w:color="auto" w:sz="12" w:space="0"/>
            </w:tcBorders>
            <w:noWrap w:val="0"/>
            <w:vAlign w:val="center"/>
          </w:tcPr>
          <w:p w14:paraId="4D845A7F">
            <w:pPr>
              <w:pStyle w:val="5"/>
              <w:keepNext w:val="0"/>
              <w:keepLines w:val="0"/>
              <w:pageBreakBefore w:val="0"/>
              <w:widowControl w:val="0"/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afterAutospacing="0" w:line="240" w:lineRule="auto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文件密级</w:t>
            </w:r>
          </w:p>
        </w:tc>
        <w:tc>
          <w:tcPr>
            <w:tcW w:w="1778" w:type="dxa"/>
            <w:tcBorders>
              <w:top w:val="single" w:color="auto" w:sz="12" w:space="0"/>
              <w:right w:val="nil"/>
            </w:tcBorders>
            <w:noWrap w:val="0"/>
            <w:vAlign w:val="center"/>
          </w:tcPr>
          <w:p w14:paraId="4CD3C202">
            <w:pPr>
              <w:pStyle w:val="5"/>
              <w:keepNext w:val="0"/>
              <w:keepLines w:val="0"/>
              <w:pageBreakBefore w:val="0"/>
              <w:widowControl w:val="0"/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afterAutospacing="0" w:line="240" w:lineRule="auto"/>
              <w:ind w:firstLine="420" w:firstLineChars="200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 w14:paraId="4B9A0FA5">
        <w:tblPrEx>
          <w:tblBorders>
            <w:top w:val="single" w:color="auto" w:sz="4" w:space="0"/>
            <w:left w:val="single" w:color="auto" w:sz="4" w:space="0"/>
            <w:bottom w:val="single" w:color="auto" w:sz="12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3" w:hRule="atLeast"/>
          <w:jc w:val="center"/>
        </w:trPr>
        <w:tc>
          <w:tcPr>
            <w:tcW w:w="3598" w:type="dxa"/>
            <w:vMerge w:val="continue"/>
            <w:tcBorders>
              <w:left w:val="nil"/>
            </w:tcBorders>
            <w:shd w:val="clear" w:color="auto" w:fill="D7D7D7"/>
            <w:noWrap w:val="0"/>
            <w:vAlign w:val="center"/>
          </w:tcPr>
          <w:p w14:paraId="2BA2C875">
            <w:pPr>
              <w:pStyle w:val="5"/>
              <w:keepNext w:val="0"/>
              <w:keepLines w:val="0"/>
              <w:pageBreakBefore w:val="0"/>
              <w:widowControl w:val="0"/>
              <w:pBdr>
                <w:bottom w:val="none" w:color="auto" w:sz="0" w:space="0"/>
              </w:pBd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afterAutospacing="0" w:line="240" w:lineRule="auto"/>
              <w:ind w:firstLine="420" w:firstLineChars="200"/>
              <w:textAlignment w:val="auto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</w:p>
        </w:tc>
        <w:tc>
          <w:tcPr>
            <w:tcW w:w="1395" w:type="dxa"/>
            <w:noWrap w:val="0"/>
            <w:vAlign w:val="center"/>
          </w:tcPr>
          <w:p w14:paraId="7616810F">
            <w:pPr>
              <w:pStyle w:val="5"/>
              <w:keepNext w:val="0"/>
              <w:keepLines w:val="0"/>
              <w:pageBreakBefore w:val="0"/>
              <w:widowControl w:val="0"/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afterAutospacing="0" w:line="240" w:lineRule="auto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文件版号</w:t>
            </w:r>
          </w:p>
        </w:tc>
        <w:tc>
          <w:tcPr>
            <w:tcW w:w="1485" w:type="dxa"/>
            <w:noWrap w:val="0"/>
            <w:vAlign w:val="center"/>
          </w:tcPr>
          <w:p w14:paraId="4183BD35">
            <w:pPr>
              <w:pStyle w:val="5"/>
              <w:keepNext w:val="0"/>
              <w:keepLines w:val="0"/>
              <w:pageBreakBefore w:val="0"/>
              <w:widowControl w:val="0"/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afterAutospacing="0" w:line="240" w:lineRule="auto"/>
              <w:ind w:firstLine="420" w:firstLineChars="200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316" w:type="dxa"/>
            <w:noWrap w:val="0"/>
            <w:vAlign w:val="center"/>
          </w:tcPr>
          <w:p w14:paraId="6E2ADE4A">
            <w:pPr>
              <w:pStyle w:val="5"/>
              <w:keepNext w:val="0"/>
              <w:keepLines w:val="0"/>
              <w:pageBreakBefore w:val="0"/>
              <w:widowControl w:val="0"/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afterAutospacing="0" w:line="240" w:lineRule="auto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文件状态</w:t>
            </w:r>
          </w:p>
        </w:tc>
        <w:tc>
          <w:tcPr>
            <w:tcW w:w="1778" w:type="dxa"/>
            <w:tcBorders>
              <w:right w:val="nil"/>
            </w:tcBorders>
            <w:noWrap w:val="0"/>
            <w:vAlign w:val="center"/>
          </w:tcPr>
          <w:p w14:paraId="0756A9F6">
            <w:pPr>
              <w:pStyle w:val="5"/>
              <w:keepNext w:val="0"/>
              <w:keepLines w:val="0"/>
              <w:pageBreakBefore w:val="0"/>
              <w:widowControl w:val="0"/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afterAutospacing="0" w:line="240" w:lineRule="auto"/>
              <w:ind w:firstLine="420" w:firstLineChars="200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 w14:paraId="1032A659">
        <w:tblPrEx>
          <w:tblBorders>
            <w:top w:val="single" w:color="auto" w:sz="4" w:space="0"/>
            <w:left w:val="single" w:color="auto" w:sz="4" w:space="0"/>
            <w:bottom w:val="single" w:color="auto" w:sz="12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3" w:hRule="atLeast"/>
          <w:jc w:val="center"/>
        </w:trPr>
        <w:tc>
          <w:tcPr>
            <w:tcW w:w="3598" w:type="dxa"/>
            <w:vMerge w:val="continue"/>
            <w:tcBorders>
              <w:left w:val="nil"/>
            </w:tcBorders>
            <w:shd w:val="clear" w:color="auto" w:fill="D7D7D7"/>
            <w:noWrap w:val="0"/>
            <w:vAlign w:val="center"/>
          </w:tcPr>
          <w:p w14:paraId="7ADCBAEC">
            <w:pPr>
              <w:pStyle w:val="5"/>
              <w:keepNext w:val="0"/>
              <w:keepLines w:val="0"/>
              <w:pageBreakBefore w:val="0"/>
              <w:widowControl w:val="0"/>
              <w:pBdr>
                <w:bottom w:val="none" w:color="auto" w:sz="0" w:space="0"/>
              </w:pBd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afterAutospacing="0" w:line="240" w:lineRule="auto"/>
              <w:ind w:firstLine="420" w:firstLineChars="200"/>
              <w:textAlignment w:val="auto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</w:p>
        </w:tc>
        <w:tc>
          <w:tcPr>
            <w:tcW w:w="1395" w:type="dxa"/>
            <w:noWrap w:val="0"/>
            <w:vAlign w:val="center"/>
          </w:tcPr>
          <w:p w14:paraId="63C3EA7A">
            <w:pPr>
              <w:pStyle w:val="5"/>
              <w:keepNext w:val="0"/>
              <w:keepLines w:val="0"/>
              <w:pageBreakBefore w:val="0"/>
              <w:widowControl w:val="0"/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afterAutospacing="0" w:line="240" w:lineRule="auto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文件页次</w:t>
            </w:r>
          </w:p>
        </w:tc>
        <w:tc>
          <w:tcPr>
            <w:tcW w:w="1485" w:type="dxa"/>
            <w:noWrap w:val="0"/>
            <w:vAlign w:val="center"/>
          </w:tcPr>
          <w:p w14:paraId="7A05060A">
            <w:pPr>
              <w:pStyle w:val="5"/>
              <w:keepNext w:val="0"/>
              <w:keepLines w:val="0"/>
              <w:pageBreakBefore w:val="0"/>
              <w:widowControl w:val="0"/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afterAutospacing="0" w:line="240" w:lineRule="auto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</w:rPr>
              <w:t>共    页</w:t>
            </w:r>
          </w:p>
        </w:tc>
        <w:tc>
          <w:tcPr>
            <w:tcW w:w="1316" w:type="dxa"/>
            <w:noWrap w:val="0"/>
            <w:vAlign w:val="center"/>
          </w:tcPr>
          <w:p w14:paraId="61D89658">
            <w:pPr>
              <w:pStyle w:val="5"/>
              <w:keepNext w:val="0"/>
              <w:keepLines w:val="0"/>
              <w:pageBreakBefore w:val="0"/>
              <w:widowControl w:val="0"/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afterAutospacing="0" w:line="240" w:lineRule="auto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有效期</w:t>
            </w:r>
          </w:p>
        </w:tc>
        <w:tc>
          <w:tcPr>
            <w:tcW w:w="1778" w:type="dxa"/>
            <w:tcBorders>
              <w:right w:val="nil"/>
            </w:tcBorders>
            <w:noWrap w:val="0"/>
            <w:vAlign w:val="center"/>
          </w:tcPr>
          <w:p w14:paraId="178F58AB">
            <w:pPr>
              <w:pStyle w:val="5"/>
              <w:keepNext w:val="0"/>
              <w:keepLines w:val="0"/>
              <w:pageBreakBefore w:val="0"/>
              <w:widowControl w:val="0"/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afterAutospacing="0" w:line="240" w:lineRule="auto"/>
              <w:ind w:firstLine="420" w:firstLineChars="200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 w14:paraId="6AB2B14D">
        <w:tblPrEx>
          <w:tblBorders>
            <w:top w:val="single" w:color="auto" w:sz="4" w:space="0"/>
            <w:left w:val="single" w:color="auto" w:sz="4" w:space="0"/>
            <w:bottom w:val="single" w:color="auto" w:sz="12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1" w:hRule="atLeast"/>
          <w:jc w:val="center"/>
        </w:trPr>
        <w:tc>
          <w:tcPr>
            <w:tcW w:w="4993" w:type="dxa"/>
            <w:gridSpan w:val="2"/>
            <w:vMerge w:val="restart"/>
            <w:tcBorders>
              <w:left w:val="nil"/>
            </w:tcBorders>
            <w:noWrap w:val="0"/>
            <w:vAlign w:val="center"/>
          </w:tcPr>
          <w:p w14:paraId="274725CC">
            <w:pPr>
              <w:pStyle w:val="5"/>
              <w:keepNext w:val="0"/>
              <w:keepLines w:val="0"/>
              <w:pageBreakBefore w:val="0"/>
              <w:widowControl w:val="0"/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afterAutospacing="0" w:line="240" w:lineRule="auto"/>
              <w:ind w:firstLine="420" w:firstLineChars="200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  <w:lang w:val="en-US" w:eastAsia="zh-CN"/>
              </w:rPr>
              <w:t>面试官资格撤销管理制度</w:t>
            </w:r>
          </w:p>
        </w:tc>
        <w:tc>
          <w:tcPr>
            <w:tcW w:w="1485" w:type="dxa"/>
            <w:noWrap w:val="0"/>
            <w:vAlign w:val="center"/>
          </w:tcPr>
          <w:p w14:paraId="64E77C0C">
            <w:pPr>
              <w:pStyle w:val="5"/>
              <w:keepNext w:val="0"/>
              <w:keepLines w:val="0"/>
              <w:pageBreakBefore w:val="0"/>
              <w:widowControl w:val="0"/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afterAutospacing="0" w:line="240" w:lineRule="auto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编制/日期</w:t>
            </w:r>
          </w:p>
        </w:tc>
        <w:tc>
          <w:tcPr>
            <w:tcW w:w="1316" w:type="dxa"/>
            <w:noWrap w:val="0"/>
            <w:vAlign w:val="center"/>
          </w:tcPr>
          <w:p w14:paraId="5E7F18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afterAutospacing="0" w:line="240" w:lineRule="auto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审核/日期</w:t>
            </w:r>
          </w:p>
        </w:tc>
        <w:tc>
          <w:tcPr>
            <w:tcW w:w="1778" w:type="dxa"/>
            <w:tcBorders>
              <w:right w:val="nil"/>
            </w:tcBorders>
            <w:noWrap w:val="0"/>
            <w:vAlign w:val="center"/>
          </w:tcPr>
          <w:p w14:paraId="0AFB39F0">
            <w:pPr>
              <w:pStyle w:val="5"/>
              <w:keepNext w:val="0"/>
              <w:keepLines w:val="0"/>
              <w:pageBreakBefore w:val="0"/>
              <w:widowControl w:val="0"/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afterAutospacing="0" w:line="240" w:lineRule="auto"/>
              <w:ind w:firstLine="420" w:firstLineChars="200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批准/日期</w:t>
            </w:r>
          </w:p>
        </w:tc>
      </w:tr>
      <w:tr w14:paraId="72F8784D">
        <w:tblPrEx>
          <w:tblBorders>
            <w:top w:val="single" w:color="auto" w:sz="4" w:space="0"/>
            <w:left w:val="single" w:color="auto" w:sz="4" w:space="0"/>
            <w:bottom w:val="single" w:color="auto" w:sz="12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9" w:hRule="atLeast"/>
          <w:jc w:val="center"/>
        </w:trPr>
        <w:tc>
          <w:tcPr>
            <w:tcW w:w="4993" w:type="dxa"/>
            <w:gridSpan w:val="2"/>
            <w:vMerge w:val="continue"/>
            <w:tcBorders>
              <w:left w:val="nil"/>
            </w:tcBorders>
            <w:noWrap w:val="0"/>
            <w:vAlign w:val="center"/>
          </w:tcPr>
          <w:p w14:paraId="2FE1654D">
            <w:pPr>
              <w:pStyle w:val="5"/>
              <w:keepNext w:val="0"/>
              <w:keepLines w:val="0"/>
              <w:pageBreakBefore w:val="0"/>
              <w:widowControl w:val="0"/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afterAutospacing="0" w:line="240" w:lineRule="auto"/>
              <w:ind w:firstLine="420" w:firstLineChars="200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485" w:type="dxa"/>
            <w:noWrap w:val="0"/>
            <w:vAlign w:val="center"/>
          </w:tcPr>
          <w:p w14:paraId="3BEE03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afterAutospacing="0" w:line="240" w:lineRule="auto"/>
              <w:ind w:firstLine="420" w:firstLineChars="200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316" w:type="dxa"/>
            <w:noWrap w:val="0"/>
            <w:vAlign w:val="center"/>
          </w:tcPr>
          <w:p w14:paraId="1F27C3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afterAutospacing="0" w:line="240" w:lineRule="auto"/>
              <w:ind w:firstLine="420" w:firstLineChars="200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778" w:type="dxa"/>
            <w:tcBorders>
              <w:right w:val="nil"/>
            </w:tcBorders>
            <w:noWrap w:val="0"/>
            <w:vAlign w:val="center"/>
          </w:tcPr>
          <w:p w14:paraId="765878FE">
            <w:pPr>
              <w:pStyle w:val="5"/>
              <w:keepNext w:val="0"/>
              <w:keepLines w:val="0"/>
              <w:pageBreakBefore w:val="0"/>
              <w:widowControl w:val="0"/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afterAutospacing="0" w:line="240" w:lineRule="auto"/>
              <w:ind w:firstLine="420" w:firstLineChars="200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</w:tbl>
    <w:p w14:paraId="23E2FE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一、目的</w:t>
      </w:r>
    </w:p>
    <w:p w14:paraId="39CCF3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为规范面试官资质管理，强化招聘质量与效率，降低新员工流失率，保障门店用人需求，结合《面试官资格认证管理办法》，特制定本制度。</w:t>
      </w:r>
    </w:p>
    <w:p w14:paraId="26BF59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二、适用范围</w:t>
      </w:r>
    </w:p>
    <w:p w14:paraId="2AB409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本制度适用于公司所有通过认证的面试官（含</w:t>
      </w:r>
      <w:r>
        <w:rPr>
          <w:rFonts w:hint="eastAsia" w:ascii="微软雅黑" w:hAnsi="微软雅黑" w:eastAsia="微软雅黑" w:cs="微软雅黑"/>
          <w:lang w:val="en-US" w:eastAsia="zh-CN"/>
        </w:rPr>
        <w:t>代理</w:t>
      </w:r>
      <w:r>
        <w:rPr>
          <w:rFonts w:hint="eastAsia" w:ascii="微软雅黑" w:hAnsi="微软雅黑" w:eastAsia="微软雅黑" w:cs="微软雅黑"/>
        </w:rPr>
        <w:t>级以上店长</w:t>
      </w:r>
      <w:r>
        <w:rPr>
          <w:rFonts w:hint="eastAsia" w:ascii="微软雅黑" w:hAnsi="微软雅黑" w:eastAsia="微软雅黑" w:cs="微软雅黑"/>
          <w:lang w:val="en-US" w:eastAsia="zh-CN"/>
        </w:rPr>
        <w:t>等</w:t>
      </w:r>
      <w:r>
        <w:rPr>
          <w:rFonts w:hint="eastAsia" w:ascii="微软雅黑" w:hAnsi="微软雅黑" w:eastAsia="微软雅黑" w:cs="微软雅黑"/>
        </w:rPr>
        <w:t>）。</w:t>
      </w:r>
    </w:p>
    <w:p w14:paraId="6FE6DE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微软雅黑" w:hAnsi="微软雅黑" w:eastAsia="微软雅黑" w:cs="微软雅黑"/>
        </w:rPr>
      </w:pPr>
    </w:p>
    <w:p w14:paraId="1798FC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三、资格撤销标准</w:t>
      </w:r>
    </w:p>
    <w:p w14:paraId="1F6350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面试官出现以下情形之一的，将撤销其面试官资格：</w:t>
      </w:r>
    </w:p>
    <w:p w14:paraId="55EFD6A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宋体" w:hAnsi="宋体" w:eastAsia="宋体" w:cs="宋体"/>
          <w:b w:val="0"/>
          <w:bCs/>
          <w:color w:val="auto"/>
          <w:sz w:val="24"/>
          <w:szCs w:val="24"/>
          <w:highlight w:val="none"/>
          <w:lang w:val="en-US"/>
        </w:rPr>
      </w:pPr>
      <w:r>
        <w:rPr>
          <w:rFonts w:hint="eastAsia" w:ascii="宋体" w:hAnsi="宋体" w:eastAsia="宋体" w:cs="宋体"/>
          <w:b w:val="0"/>
          <w:bCs/>
          <w:color w:val="auto"/>
          <w:kern w:val="0"/>
          <w:sz w:val="24"/>
          <w:szCs w:val="24"/>
          <w:highlight w:val="none"/>
          <w:lang w:val="en-US" w:eastAsia="zh-CN"/>
        </w:rPr>
        <w:t>（一）认证通过的面试官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highlight w:val="none"/>
        </w:rPr>
        <w:t>有下列情形之一者，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highlight w:val="none"/>
          <w:lang w:val="en-US" w:eastAsia="zh-CN"/>
        </w:rPr>
        <w:t>人力将发起改善计划：</w:t>
      </w:r>
    </w:p>
    <w:p w14:paraId="2BAA95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招聘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能力不达标</w:t>
      </w:r>
    </w:p>
    <w:p w14:paraId="4D5454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岗位空缺未及时补充：门店存在空缺岗位时，未开展有效招聘动作（如boss平台每日主动打招呼次数低于30次（以套餐限额为准））；且</w:t>
      </w:r>
      <w:r>
        <w:rPr>
          <w:rFonts w:hint="eastAsia" w:ascii="宋体" w:hAnsi="宋体" w:eastAsia="宋体" w:cs="宋体"/>
          <w:sz w:val="24"/>
          <w:szCs w:val="24"/>
        </w:rPr>
        <w:t>门店空缺1人时，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</w:rPr>
        <w:t>个月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未</w:t>
      </w:r>
      <w:r>
        <w:rPr>
          <w:rFonts w:hint="eastAsia" w:ascii="宋体" w:hAnsi="宋体" w:eastAsia="宋体" w:cs="宋体"/>
          <w:sz w:val="24"/>
          <w:szCs w:val="24"/>
        </w:rPr>
        <w:t>补充到位；空缺2人及以上时，连续1个月未完成50%招聘指标的，以此类推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特殊情况除外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人力</w:t>
      </w:r>
      <w:r>
        <w:rPr>
          <w:rFonts w:hint="eastAsia" w:ascii="宋体" w:hAnsi="宋体" w:eastAsia="宋体" w:cs="宋体"/>
          <w:sz w:val="24"/>
          <w:szCs w:val="24"/>
        </w:rPr>
        <w:t>资源部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即发起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面试官招选能力提升计划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表单，</w:t>
      </w:r>
      <w:r>
        <w:rPr>
          <w:rFonts w:hint="eastAsia" w:ascii="宋体" w:hAnsi="宋体" w:eastAsia="宋体" w:cs="宋体"/>
          <w:sz w:val="24"/>
          <w:szCs w:val="24"/>
        </w:rPr>
        <w:t>抽查发现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招聘能力存在下降</w:t>
      </w:r>
      <w:r>
        <w:rPr>
          <w:rFonts w:hint="eastAsia" w:ascii="宋体" w:hAnsi="宋体" w:eastAsia="宋体" w:cs="宋体"/>
          <w:sz w:val="24"/>
          <w:szCs w:val="24"/>
        </w:rPr>
        <w:t>，且经辅导后仍未改善的。</w:t>
      </w:r>
    </w:p>
    <w:p w14:paraId="58A5F9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招聘质量不达标</w:t>
      </w:r>
    </w:p>
    <w:p w14:paraId="4957D5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所招聘新员工（含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面点</w:t>
      </w:r>
      <w:r>
        <w:rPr>
          <w:rFonts w:hint="eastAsia" w:ascii="宋体" w:hAnsi="宋体" w:eastAsia="宋体" w:cs="宋体"/>
          <w:sz w:val="24"/>
          <w:szCs w:val="24"/>
        </w:rPr>
        <w:t>、煮品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收银等岗位）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存在15日内流失</w:t>
      </w:r>
      <w:r>
        <w:rPr>
          <w:rFonts w:hint="eastAsia" w:ascii="宋体" w:hAnsi="宋体" w:eastAsia="宋体" w:cs="宋体"/>
          <w:sz w:val="24"/>
          <w:szCs w:val="24"/>
        </w:rPr>
        <w:t>，经人力资源部核查确认与面试评估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不符，人力</w:t>
      </w:r>
      <w:r>
        <w:rPr>
          <w:rFonts w:hint="eastAsia" w:ascii="宋体" w:hAnsi="宋体" w:eastAsia="宋体" w:cs="宋体"/>
          <w:sz w:val="24"/>
          <w:szCs w:val="24"/>
        </w:rPr>
        <w:t>资源部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即发起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面试官招选能力提升计划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表单，</w:t>
      </w:r>
      <w:r>
        <w:rPr>
          <w:rFonts w:hint="eastAsia" w:ascii="宋体" w:hAnsi="宋体" w:eastAsia="宋体" w:cs="宋体"/>
          <w:sz w:val="24"/>
          <w:szCs w:val="24"/>
        </w:rPr>
        <w:t>抽查面试录音、模拟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面试</w:t>
      </w:r>
      <w:r>
        <w:rPr>
          <w:rFonts w:hint="eastAsia" w:ascii="宋体" w:hAnsi="宋体" w:eastAsia="宋体" w:cs="宋体"/>
          <w:sz w:val="24"/>
          <w:szCs w:val="24"/>
        </w:rPr>
        <w:t>等方式发现面试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官面试能力存在下降</w:t>
      </w:r>
      <w:r>
        <w:rPr>
          <w:rFonts w:hint="eastAsia" w:ascii="宋体" w:hAnsi="宋体" w:eastAsia="宋体" w:cs="宋体"/>
          <w:sz w:val="24"/>
          <w:szCs w:val="24"/>
        </w:rPr>
        <w:t>，且经辅导后仍未改善的。</w:t>
      </w:r>
    </w:p>
    <w:p w14:paraId="101374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若经改善仍不达标的，将给予资格撤销处理。</w:t>
      </w:r>
    </w:p>
    <w:p w14:paraId="5409B6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4B08A7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四、资格撤销后重新认证流程</w:t>
      </w:r>
    </w:p>
    <w:p w14:paraId="31C18F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（一）重新认证流程：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申请人在三个月内重新参加人力资源部组织的面试官理论培训，并通过理论考试+实操考核：</w:t>
      </w:r>
    </w:p>
    <w:p w14:paraId="46585A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（二）终审与认证：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人力资源部汇总培训、考核结果，考核通过后，重新纳入资格管理。</w:t>
      </w:r>
    </w:p>
    <w:p w14:paraId="7FD4BE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（三）二次撤销限制：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若重新认证后1个季度内再次因相同原因（如招聘质量不达标等）被撤销资格，则进行降级处理。</w:t>
      </w:r>
    </w:p>
    <w:p w14:paraId="68BCAB66">
      <w:pPr>
        <w:keepNext w:val="0"/>
        <w:keepLines w:val="0"/>
        <w:pageBreakBefore w:val="0"/>
        <w:numPr>
          <w:ilvl w:val="0"/>
          <w:numId w:val="0"/>
        </w:numPr>
        <w:tabs>
          <w:tab w:val="left" w:pos="5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color w:val="auto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color w:val="auto"/>
          <w:sz w:val="24"/>
          <w:szCs w:val="24"/>
          <w:highlight w:val="none"/>
          <w:lang w:val="en-US" w:eastAsia="zh-CN"/>
        </w:rPr>
        <w:t>八、</w:t>
      </w:r>
      <w:r>
        <w:rPr>
          <w:rFonts w:hint="eastAsia" w:ascii="宋体" w:hAnsi="宋体" w:eastAsia="宋体" w:cs="宋体"/>
          <w:color w:val="auto"/>
          <w:sz w:val="24"/>
          <w:szCs w:val="24"/>
          <w:highlight w:val="none"/>
        </w:rPr>
        <w:t>本规定由人力资源部负责修订、解释，自发文之日起执行。以往规定凡与本规定相抵触的，以本规定为准。</w:t>
      </w:r>
    </w:p>
    <w:p w14:paraId="200D5E83">
      <w:pPr>
        <w:keepNext w:val="0"/>
        <w:keepLines w:val="0"/>
        <w:pageBreakBefore w:val="0"/>
        <w:numPr>
          <w:ilvl w:val="0"/>
          <w:numId w:val="0"/>
        </w:numPr>
        <w:tabs>
          <w:tab w:val="left" w:pos="5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color w:val="auto"/>
          <w:sz w:val="24"/>
          <w:szCs w:val="24"/>
          <w:highlight w:val="none"/>
        </w:rPr>
      </w:pPr>
      <w:bookmarkStart w:id="0" w:name="_GoBack"/>
      <w:bookmarkEnd w:id="0"/>
    </w:p>
    <w:p w14:paraId="064BC0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七、附则</w:t>
      </w:r>
    </w:p>
    <w:p w14:paraId="070F26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本制度自发布之日起执行，由人力资源部负责解释与修订；</w:t>
      </w:r>
    </w:p>
    <w:p w14:paraId="3543AA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原《面试官资格认证管理办法》及《面试官资格撤销管理制度》中与本制度冲突的内容，以本制度为准。</w:t>
      </w:r>
    </w:p>
    <w:sectPr>
      <w:footerReference r:id="rId3" w:type="default"/>
      <w:pgSz w:w="11906" w:h="16838"/>
      <w:pgMar w:top="1134" w:right="1134" w:bottom="1134" w:left="1134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F178C2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B77637D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B77637D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ZhNzE1YjAwNzhhMDVhNGNjMjk4Njk5NzM5YWMxOGIifQ=="/>
  </w:docVars>
  <w:rsids>
    <w:rsidRoot w:val="4759058E"/>
    <w:rsid w:val="045A0714"/>
    <w:rsid w:val="04AF6D5B"/>
    <w:rsid w:val="0CC9374C"/>
    <w:rsid w:val="149363ED"/>
    <w:rsid w:val="15E46F00"/>
    <w:rsid w:val="173A4AD4"/>
    <w:rsid w:val="207705A5"/>
    <w:rsid w:val="2CEA52EC"/>
    <w:rsid w:val="2D30356E"/>
    <w:rsid w:val="323639D7"/>
    <w:rsid w:val="35B97AC3"/>
    <w:rsid w:val="39567866"/>
    <w:rsid w:val="3A8F47FA"/>
    <w:rsid w:val="404E573A"/>
    <w:rsid w:val="40E57890"/>
    <w:rsid w:val="43D47D05"/>
    <w:rsid w:val="4759058E"/>
    <w:rsid w:val="48F154B2"/>
    <w:rsid w:val="4EAA7FE0"/>
    <w:rsid w:val="55197C6D"/>
    <w:rsid w:val="566B7DFC"/>
    <w:rsid w:val="5C875E04"/>
    <w:rsid w:val="611C5D54"/>
    <w:rsid w:val="63927317"/>
    <w:rsid w:val="674566A0"/>
    <w:rsid w:val="6C67530A"/>
    <w:rsid w:val="6CC87EEA"/>
    <w:rsid w:val="6DB354F2"/>
    <w:rsid w:val="71296A8F"/>
    <w:rsid w:val="73117D7E"/>
    <w:rsid w:val="731A2356"/>
    <w:rsid w:val="738224B6"/>
    <w:rsid w:val="74FF07D6"/>
    <w:rsid w:val="75592485"/>
    <w:rsid w:val="78972AD3"/>
    <w:rsid w:val="789D458E"/>
    <w:rsid w:val="79FA5A10"/>
    <w:rsid w:val="7DBC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spacing w:before="100" w:beforeAutospacing="1" w:after="100" w:afterAutospacing="1"/>
      <w:jc w:val="left"/>
      <w:outlineLvl w:val="1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650</Words>
  <Characters>658</Characters>
  <Lines>0</Lines>
  <Paragraphs>0</Paragraphs>
  <TotalTime>0</TotalTime>
  <ScaleCrop>false</ScaleCrop>
  <LinksUpToDate>false</LinksUpToDate>
  <CharactersWithSpaces>662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2025-08-14T01:57:00Z</dcterms:created>
  <dc:creator>Erain.</dc:creator>
  <cp:lastModifiedBy>Erain.</cp:lastModifiedBy>
  <dcterms:modified xsi:type="dcterms:W3CDTF">2026-01-21T13:04:09Z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6737FB5D448E48D08920554F8BC63E24_11</vt:lpwstr>
  </property>
  <property fmtid="{D5CDD505-2E9C-101B-9397-08002B2CF9AE}" pid="4" name="KSOTemplateDocerSaveRecord">
    <vt:lpwstr>eyJoZGlkIjoiNWVlYzY3ZjcwNWU1YzFmZGM1NTQxZTk3NTZkNmQ4MGYiLCJ1c2VySWQiOiI4NzA3MDQ4NjEifQ==</vt:lpwstr>
  </property>
</Properties>
</file>