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6" w:name="comparison-operators"/>
    <w:p>
      <w:pPr>
        <w:pStyle w:val="Heading1"/>
      </w:pPr>
      <w:r>
        <w:t xml:space="preserve">Comparison Operators</w:t>
      </w:r>
    </w:p>
    <w:p>
      <w:pPr>
        <w:pStyle w:val="FirstParagraph"/>
      </w:pPr>
      <w:r>
        <w:t xml:space="preserve">In this lecture we will be learning about Comparison Operators in Python. These operators will allow us to compare variables and output a Boolean value (True or False).</w:t>
      </w:r>
    </w:p>
    <w:p>
      <w:pPr>
        <w:pStyle w:val="BodyText"/>
      </w:pPr>
      <w:r>
        <w:t xml:space="preserve">If you have any sort of background in Math, these operators should be very straight forward.</w:t>
      </w:r>
    </w:p>
    <w:p>
      <w:pPr>
        <w:pStyle w:val="BodyText"/>
      </w:pPr>
      <w:r>
        <w:t xml:space="preserve">First we’ll present a table of the comparison operators and then work through some examples:</w:t>
      </w:r>
    </w:p>
    <w:p>
      <w:pPr>
        <w:pStyle w:val="BodyText"/>
      </w:pPr>
      <w:r>
        <w:t xml:space="preserve">Table of Comparison Operators</w:t>
      </w:r>
    </w:p>
    <w:p>
      <w:pPr>
        <w:pStyle w:val="BodyText"/>
      </w:pPr>
      <w:r>
        <w:t xml:space="preserve">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Let’s now work through quick examples of each of these.</w:t>
      </w:r>
    </w:p>
    <w:bookmarkStart w:id="20" w:name="equal"/>
    <w:p>
      <w:pPr>
        <w:pStyle w:val="Heading4"/>
      </w:pPr>
      <w:r>
        <w:t xml:space="preserve">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Note that</w:t>
      </w:r>
      <w:r>
        <w:t xml:space="preserve"> </w:t>
      </w:r>
      <w:r>
        <w:t xml:space="preserve">==</w:t>
      </w:r>
      <w:r>
        <w:t xml:space="preserve"> </w:t>
      </w:r>
      <w:r>
        <w:t xml:space="preserve">is a</w:t>
      </w:r>
      <w:r>
        <w:t xml:space="preserve"> </w:t>
      </w:r>
      <w:r>
        <w:t xml:space="preserve">comparison</w:t>
      </w:r>
      <w:r>
        <w:t xml:space="preserve"> </w:t>
      </w:r>
      <w:r>
        <w:t xml:space="preserve">operator, while</w:t>
      </w:r>
      <w:r>
        <w:t xml:space="preserve"> </w:t>
      </w:r>
      <w: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t xml:space="preserve">assignment</w:t>
      </w:r>
      <w:r>
        <w:t xml:space="preserve"> </w:t>
      </w:r>
      <w:r>
        <w:t xml:space="preserve">operator.</w:t>
      </w:r>
    </w:p>
    <w:bookmarkEnd w:id="20"/>
    <w:bookmarkStart w:id="21" w:name="not-equal"/>
    <w:p>
      <w:pPr>
        <w:pStyle w:val="Heading4"/>
      </w:pPr>
      <w:r>
        <w:t xml:space="preserve">Not 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eater-than"/>
    <w:p>
      <w:pPr>
        <w:pStyle w:val="Heading4"/>
      </w:pPr>
      <w:r>
        <w:t xml:space="preserve">Greater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less-than"/>
    <w:p>
      <w:pPr>
        <w:pStyle w:val="Heading4"/>
      </w:pPr>
      <w:r>
        <w:t xml:space="preserve">Less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eater-than-or-equal-to"/>
    <w:p>
      <w:pPr>
        <w:pStyle w:val="Heading4"/>
      </w:pPr>
      <w:r>
        <w:t xml:space="preserve">Greater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less-than-or-equal-to"/>
    <w:p>
      <w:pPr>
        <w:pStyle w:val="Heading4"/>
      </w:pPr>
      <w:r>
        <w:t xml:space="preserve">Less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Great! Go over each comparison operator to make sure you understand what each one is saying. But hopefully this was straightforward for you.</w:t>
      </w:r>
    </w:p>
    <w:p>
      <w:pPr>
        <w:pStyle w:val="BodyText"/>
      </w:pPr>
      <w:r>
        <w:t xml:space="preserve">Next we will cover chained comparison operators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2022-04-22T22:37:04Z</dcterms:created>
  <dcterms:modified xsi:type="dcterms:W3CDTF">2022-04-22T22:37:04Z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