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3F718C" w:rsidRDefault="003F718C" w:rsidP="003F718C">
      <w:pPr>
        <w:pStyle w:val="a7"/>
        <w:ind w:left="420" w:firstLineChars="0" w:firstLine="0"/>
        <w:rPr>
          <w:rFonts w:ascii="宋体" w:eastAsia="宋体" w:hAnsi="宋体"/>
          <w:sz w:val="24"/>
          <w:szCs w:val="24"/>
        </w:rPr>
      </w:pP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2945E4"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2945E4"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rsidR="008719CF" w:rsidRPr="008719CF" w:rsidRDefault="002945E4"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Default="002945E4"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2945E4"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2945E4"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lastRenderedPageBreak/>
        <w:t>离散傅里叶</w:t>
      </w:r>
      <w:proofErr w:type="gramEnd"/>
      <w:r>
        <w:rPr>
          <w:rFonts w:ascii="宋体" w:eastAsia="宋体" w:hAnsi="宋体" w:hint="eastAsia"/>
          <w:sz w:val="24"/>
          <w:szCs w:val="24"/>
        </w:rPr>
        <w:t>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rsidR="007B191C" w:rsidRPr="00653EED" w:rsidRDefault="00C879A7" w:rsidP="007B191C">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p>
    <w:p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bookmarkStart w:id="2" w:name="_GoBack"/>
    <w:bookmarkEnd w:id="2"/>
    <w:p w:rsidR="002A5846" w:rsidRDefault="0045075C" w:rsidP="002A5846">
      <w:pPr>
        <w:pStyle w:val="a7"/>
        <w:ind w:left="420" w:firstLineChars="0" w:firstLine="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HYPERLINK "</w:instrText>
      </w:r>
      <w:r w:rsidRPr="0045075C">
        <w:rPr>
          <w:rFonts w:ascii="宋体" w:eastAsia="宋体" w:hAnsi="宋体"/>
          <w:sz w:val="24"/>
          <w:szCs w:val="24"/>
        </w:rPr>
        <w:instrText>https://blog.csdn.net/zsq306650083/article/details/8773996</w:instrText>
      </w:r>
      <w:r>
        <w:rPr>
          <w:rFonts w:ascii="宋体" w:eastAsia="宋体" w:hAnsi="宋体"/>
          <w:sz w:val="24"/>
          <w:szCs w:val="24"/>
        </w:rPr>
        <w:instrText xml:space="preserve">" </w:instrText>
      </w:r>
      <w:r>
        <w:rPr>
          <w:rFonts w:ascii="宋体" w:eastAsia="宋体" w:hAnsi="宋体"/>
          <w:sz w:val="24"/>
          <w:szCs w:val="24"/>
        </w:rPr>
        <w:fldChar w:fldCharType="separate"/>
      </w:r>
      <w:r w:rsidRPr="00474702">
        <w:rPr>
          <w:rStyle w:val="a9"/>
          <w:rFonts w:ascii="宋体" w:eastAsia="宋体" w:hAnsi="宋体"/>
          <w:sz w:val="24"/>
          <w:szCs w:val="24"/>
        </w:rPr>
        <w:t>https://blog.csdn.net/zsq306650083/article/details/8773996</w:t>
      </w:r>
      <w:r>
        <w:rPr>
          <w:rFonts w:ascii="宋体" w:eastAsia="宋体" w:hAnsi="宋体"/>
          <w:sz w:val="24"/>
          <w:szCs w:val="24"/>
        </w:rPr>
        <w:fldChar w:fldCharType="end"/>
      </w:r>
    </w:p>
    <w:p w:rsidR="002A5846" w:rsidRPr="002A5846" w:rsidRDefault="002A5846" w:rsidP="002A5846">
      <w:pPr>
        <w:pStyle w:val="a7"/>
        <w:numPr>
          <w:ilvl w:val="0"/>
          <w:numId w:val="31"/>
        </w:numPr>
        <w:ind w:firstLineChars="0"/>
        <w:rPr>
          <w:rFonts w:ascii="宋体" w:eastAsia="宋体" w:hAnsi="宋体" w:hint="eastAsia"/>
          <w:sz w:val="24"/>
          <w:szCs w:val="24"/>
        </w:rPr>
      </w:pP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EA6D65" w:rsidRDefault="00F62C13" w:rsidP="005F5C80">
      <w:pPr>
        <w:widowControl/>
        <w:rPr>
          <w:rFonts w:ascii="宋体" w:eastAsia="宋体" w:hAnsi="宋体"/>
          <w:sz w:val="24"/>
          <w:szCs w:val="24"/>
        </w:rPr>
      </w:pPr>
      <w:r>
        <w:rPr>
          <w:rFonts w:ascii="宋体" w:eastAsia="宋体" w:hAnsi="宋体"/>
          <w:sz w:val="24"/>
          <w:szCs w:val="24"/>
        </w:rPr>
        <w:t>SVD:</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p>
    <w:p w:rsidR="003D11B9" w:rsidRPr="005F5C80" w:rsidRDefault="002945E4" w:rsidP="005F5C80">
      <w:pPr>
        <w:widowControl/>
        <w:rPr>
          <w:rFonts w:ascii="宋体" w:eastAsia="宋体" w:hAnsi="宋体"/>
          <w:sz w:val="24"/>
          <w:szCs w:val="24"/>
        </w:rPr>
      </w:pPr>
      <w:hyperlink r:id="rId9" w:history="1">
        <w:r w:rsidR="003D11B9" w:rsidRPr="00346CD9">
          <w:rPr>
            <w:rStyle w:val="a9"/>
            <w:rFonts w:ascii="宋体" w:eastAsia="宋体" w:hAnsi="宋体"/>
            <w:sz w:val="24"/>
            <w:szCs w:val="24"/>
          </w:rPr>
          <w:t>https://blog.csdn.net/potxxx/article/details/86761222</w:t>
        </w:r>
      </w:hyperlink>
    </w:p>
    <w:p w:rsidR="00017212" w:rsidRPr="008E5852" w:rsidRDefault="002945E4" w:rsidP="00EA6D65">
      <w:pPr>
        <w:pStyle w:val="a7"/>
        <w:ind w:left="420" w:firstLineChars="0" w:firstLine="0"/>
        <w:rPr>
          <w:rStyle w:val="a9"/>
          <w:rFonts w:ascii="宋体" w:eastAsia="宋体" w:hAnsi="宋体"/>
          <w:color w:val="auto"/>
          <w:sz w:val="24"/>
          <w:szCs w:val="24"/>
          <w:u w:val="none"/>
        </w:rPr>
      </w:pPr>
      <w:hyperlink r:id="rId10" w:history="1">
        <w:r w:rsidR="00EA6D65" w:rsidRPr="004B74E4">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rsidR="008E5852" w:rsidRPr="00137D33" w:rsidRDefault="008E5852" w:rsidP="008E5852">
      <w:pPr>
        <w:rPr>
          <w:rFonts w:ascii="宋体" w:eastAsia="宋体" w:hAnsi="宋体"/>
          <w:sz w:val="24"/>
          <w:szCs w:val="24"/>
        </w:rPr>
      </w:pPr>
    </w:p>
    <w:p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rsidR="00022166" w:rsidRPr="00022166" w:rsidRDefault="002945E4" w:rsidP="00022166">
      <w:pPr>
        <w:pStyle w:val="a7"/>
        <w:ind w:left="420" w:firstLineChars="0" w:firstLine="0"/>
        <w:rPr>
          <w:rFonts w:ascii="宋体" w:eastAsia="宋体" w:hAnsi="宋体"/>
          <w:sz w:val="24"/>
          <w:szCs w:val="24"/>
        </w:rPr>
      </w:pPr>
      <w:hyperlink r:id="rId11" w:history="1">
        <w:r w:rsidR="00022166" w:rsidRPr="00863A70">
          <w:rPr>
            <w:rStyle w:val="a9"/>
            <w:rFonts w:ascii="宋体" w:eastAsia="宋体" w:hAnsi="宋体"/>
            <w:sz w:val="24"/>
            <w:szCs w:val="24"/>
          </w:rPr>
          <w:t>http://blog.sina.com.cn/s/blog_6109b5d00102vdmo.html</w:t>
        </w:r>
      </w:hyperlink>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6"/>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7"/>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8"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9"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2945E4" w:rsidP="00502ACC">
      <w:pPr>
        <w:pStyle w:val="a7"/>
        <w:ind w:left="420" w:firstLineChars="0" w:firstLine="0"/>
        <w:rPr>
          <w:rFonts w:ascii="宋体" w:eastAsia="宋体" w:hAnsi="宋体"/>
          <w:sz w:val="24"/>
          <w:szCs w:val="24"/>
        </w:rPr>
      </w:pPr>
      <w:hyperlink r:id="rId20" w:history="1">
        <w:r w:rsidR="00502ACC" w:rsidRPr="00623CCB">
          <w:rPr>
            <w:rStyle w:val="a9"/>
            <w:rFonts w:ascii="宋体" w:eastAsia="宋体" w:hAnsi="宋体"/>
            <w:sz w:val="24"/>
            <w:szCs w:val="24"/>
          </w:rPr>
          <w:t>https://blog.csdn.net/zhouzi2018/article/details/82118673</w:t>
        </w:r>
      </w:hyperlink>
    </w:p>
    <w:p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1"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lastRenderedPageBreak/>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2945E4" w:rsidP="00675DE8">
      <w:pPr>
        <w:pStyle w:val="a7"/>
        <w:ind w:left="420" w:firstLineChars="0" w:firstLine="0"/>
        <w:rPr>
          <w:rFonts w:ascii="宋体" w:eastAsia="宋体" w:hAnsi="宋体"/>
          <w:sz w:val="24"/>
          <w:szCs w:val="24"/>
        </w:rPr>
      </w:pPr>
      <w:hyperlink r:id="rId22"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rsidR="00FD652B" w:rsidRPr="00FD652B" w:rsidRDefault="002945E4" w:rsidP="00FD652B">
      <w:pPr>
        <w:pStyle w:val="a7"/>
        <w:ind w:left="420" w:firstLineChars="0" w:firstLine="0"/>
        <w:rPr>
          <w:rFonts w:ascii="宋体" w:eastAsia="宋体" w:hAnsi="宋体"/>
          <w:sz w:val="24"/>
          <w:szCs w:val="24"/>
        </w:rPr>
      </w:pPr>
      <w:hyperlink r:id="rId23"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Pr>
          <w:rFonts w:ascii="宋体" w:eastAsia="宋体" w:hAnsi="宋体" w:hint="eastAsia"/>
          <w:sz w:val="24"/>
          <w:szCs w:val="24"/>
        </w:rPr>
        <w:t>元指的</w:t>
      </w:r>
      <w:proofErr w:type="gramEnd"/>
      <w:r w:rsidR="00DF017E">
        <w:rPr>
          <w:rFonts w:ascii="宋体" w:eastAsia="宋体" w:hAnsi="宋体" w:hint="eastAsia"/>
          <w:sz w:val="24"/>
          <w:szCs w:val="24"/>
        </w:rPr>
        <w:t>是矩阵的各个元素，</w:t>
      </w:r>
      <w:proofErr w:type="gramStart"/>
      <w:r w:rsidR="00DF017E">
        <w:rPr>
          <w:rFonts w:ascii="宋体" w:eastAsia="宋体" w:hAnsi="宋体" w:hint="eastAsia"/>
          <w:sz w:val="24"/>
          <w:szCs w:val="24"/>
        </w:rPr>
        <w:t>消元是</w:t>
      </w:r>
      <w:proofErr w:type="gramEnd"/>
      <w:r w:rsidR="00DF017E">
        <w:rPr>
          <w:rFonts w:ascii="宋体" w:eastAsia="宋体" w:hAnsi="宋体" w:hint="eastAsia"/>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lastRenderedPageBreak/>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lastRenderedPageBreak/>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lastRenderedPageBreak/>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5E4" w:rsidRDefault="002945E4" w:rsidP="00AB0300">
      <w:r>
        <w:separator/>
      </w:r>
    </w:p>
  </w:endnote>
  <w:endnote w:type="continuationSeparator" w:id="0">
    <w:p w:rsidR="002945E4" w:rsidRDefault="002945E4"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5E4" w:rsidRDefault="002945E4" w:rsidP="00AB0300">
      <w:r>
        <w:separator/>
      </w:r>
    </w:p>
  </w:footnote>
  <w:footnote w:type="continuationSeparator" w:id="0">
    <w:p w:rsidR="002945E4" w:rsidRDefault="002945E4"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722F90"/>
    <w:multiLevelType w:val="hybridMultilevel"/>
    <w:tmpl w:val="BDDAE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7"/>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9"/>
  </w:num>
  <w:num w:numId="19">
    <w:abstractNumId w:val="19"/>
  </w:num>
  <w:num w:numId="20">
    <w:abstractNumId w:val="30"/>
  </w:num>
  <w:num w:numId="21">
    <w:abstractNumId w:val="11"/>
  </w:num>
  <w:num w:numId="22">
    <w:abstractNumId w:val="2"/>
  </w:num>
  <w:num w:numId="23">
    <w:abstractNumId w:val="14"/>
  </w:num>
  <w:num w:numId="24">
    <w:abstractNumId w:val="3"/>
  </w:num>
  <w:num w:numId="25">
    <w:abstractNumId w:val="25"/>
  </w:num>
  <w:num w:numId="26">
    <w:abstractNumId w:val="16"/>
  </w:num>
  <w:num w:numId="27">
    <w:abstractNumId w:val="28"/>
  </w:num>
  <w:num w:numId="28">
    <w:abstractNumId w:val="12"/>
  </w:num>
  <w:num w:numId="29">
    <w:abstractNumId w:val="0"/>
  </w:num>
  <w:num w:numId="30">
    <w:abstractNumId w:val="2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40BCE"/>
    <w:rsid w:val="000467F4"/>
    <w:rsid w:val="00046DB6"/>
    <w:rsid w:val="000537B3"/>
    <w:rsid w:val="00053CB4"/>
    <w:rsid w:val="00074D49"/>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A55A9"/>
    <w:rsid w:val="001B2474"/>
    <w:rsid w:val="001C6EBD"/>
    <w:rsid w:val="001D2B1E"/>
    <w:rsid w:val="001D3D25"/>
    <w:rsid w:val="001D5487"/>
    <w:rsid w:val="001E1913"/>
    <w:rsid w:val="001E64B5"/>
    <w:rsid w:val="001F07F1"/>
    <w:rsid w:val="001F79C3"/>
    <w:rsid w:val="00202F14"/>
    <w:rsid w:val="00223233"/>
    <w:rsid w:val="002250AA"/>
    <w:rsid w:val="0022584D"/>
    <w:rsid w:val="00231B8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4720"/>
    <w:rsid w:val="003C639C"/>
    <w:rsid w:val="003D11B9"/>
    <w:rsid w:val="003D2B0D"/>
    <w:rsid w:val="003F718C"/>
    <w:rsid w:val="00400A99"/>
    <w:rsid w:val="00404B36"/>
    <w:rsid w:val="0045075C"/>
    <w:rsid w:val="00453B81"/>
    <w:rsid w:val="00472BC3"/>
    <w:rsid w:val="004947FB"/>
    <w:rsid w:val="004A429C"/>
    <w:rsid w:val="004A5224"/>
    <w:rsid w:val="004B5137"/>
    <w:rsid w:val="004C1B2B"/>
    <w:rsid w:val="004C2459"/>
    <w:rsid w:val="004C5D3A"/>
    <w:rsid w:val="004E6D7C"/>
    <w:rsid w:val="00502ACC"/>
    <w:rsid w:val="00511A77"/>
    <w:rsid w:val="00517517"/>
    <w:rsid w:val="00536288"/>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40DA5"/>
    <w:rsid w:val="00653EED"/>
    <w:rsid w:val="0066111B"/>
    <w:rsid w:val="00675DE8"/>
    <w:rsid w:val="00677DEC"/>
    <w:rsid w:val="00691F65"/>
    <w:rsid w:val="00695E51"/>
    <w:rsid w:val="006A6839"/>
    <w:rsid w:val="006C127F"/>
    <w:rsid w:val="006C5F48"/>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191C"/>
    <w:rsid w:val="007B4D23"/>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A6556"/>
    <w:rsid w:val="008B2FDE"/>
    <w:rsid w:val="008B6F79"/>
    <w:rsid w:val="008B761B"/>
    <w:rsid w:val="008C5E53"/>
    <w:rsid w:val="008C7568"/>
    <w:rsid w:val="008D221C"/>
    <w:rsid w:val="008E0A49"/>
    <w:rsid w:val="008E50E9"/>
    <w:rsid w:val="008E5852"/>
    <w:rsid w:val="008F49D4"/>
    <w:rsid w:val="00901D4E"/>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C45CB"/>
    <w:rsid w:val="00AC73AA"/>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73144"/>
    <w:rsid w:val="00B761FE"/>
    <w:rsid w:val="00B7687A"/>
    <w:rsid w:val="00B80049"/>
    <w:rsid w:val="00B84744"/>
    <w:rsid w:val="00BA120C"/>
    <w:rsid w:val="00BA1F7E"/>
    <w:rsid w:val="00BA2E23"/>
    <w:rsid w:val="00BA2F32"/>
    <w:rsid w:val="00BA4ACB"/>
    <w:rsid w:val="00BB05A4"/>
    <w:rsid w:val="00BD023A"/>
    <w:rsid w:val="00BE1855"/>
    <w:rsid w:val="00BE7F31"/>
    <w:rsid w:val="00BF1201"/>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B45F6"/>
    <w:rsid w:val="00CC252A"/>
    <w:rsid w:val="00CD080C"/>
    <w:rsid w:val="00CD70DB"/>
    <w:rsid w:val="00CD79A4"/>
    <w:rsid w:val="00CE1263"/>
    <w:rsid w:val="00D04CC3"/>
    <w:rsid w:val="00D058FC"/>
    <w:rsid w:val="00D13C07"/>
    <w:rsid w:val="00D242A3"/>
    <w:rsid w:val="00D3451D"/>
    <w:rsid w:val="00D4318F"/>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36AD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zhidao.baidu.com/question/1695447537976680788.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log.csdn.net/zhouzi2018/article/details/821186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ina.com.cn/s/blog_6109b5d00102vdmo.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cnblogs.com/jillzhang/archive/2007/06/24/793901.html" TargetMode="External"/><Relationship Id="rId10" Type="http://schemas.openxmlformats.org/officeDocument/2006/relationships/hyperlink" Target="https://www.cnblogs.com/pinard/p/6251584.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blog.csdn.net/potxxx/article/details/86761222" TargetMode="External"/><Relationship Id="rId14" Type="http://schemas.openxmlformats.org/officeDocument/2006/relationships/image" Target="media/image4.png"/><Relationship Id="rId22" Type="http://schemas.openxmlformats.org/officeDocument/2006/relationships/hyperlink" Target="http://mdyblog.blog.163.com/blog/static/10615011920106755314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9447</TotalTime>
  <Pages>12</Pages>
  <Words>1893</Words>
  <Characters>10793</Characters>
  <Application>Microsoft Office Word</Application>
  <DocSecurity>0</DocSecurity>
  <Lines>89</Lines>
  <Paragraphs>25</Paragraphs>
  <ScaleCrop>false</ScaleCrop>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196</cp:revision>
  <dcterms:created xsi:type="dcterms:W3CDTF">2019-01-01T07:36:00Z</dcterms:created>
  <dcterms:modified xsi:type="dcterms:W3CDTF">2020-02-03T11:03:00Z</dcterms:modified>
</cp:coreProperties>
</file>