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1B6A53"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1B6A53"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1B6A53"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1B6A53"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1B6A53"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1B6A53"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86934A9"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1B6A53"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34990A2" w:rsidR="005C418D" w:rsidRPr="002A5846"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bookmarkStart w:id="2" w:name="_GoBack"/>
      <w:bookmarkEnd w:id="2"/>
    </w:p>
    <w:p w14:paraId="22AF7BA5" w14:textId="55AA466B"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lastRenderedPageBreak/>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1B1750CE" w14:textId="4BD18246"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1B6A53"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1B6A53"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w:t>
      </w:r>
      <w:r w:rsidR="00592700" w:rsidRPr="00F04200">
        <w:rPr>
          <w:rFonts w:ascii="宋体" w:eastAsia="宋体" w:hAnsi="宋体" w:cs="宋体" w:hint="eastAsia"/>
          <w:color w:val="FF0000"/>
          <w:kern w:val="0"/>
          <w:sz w:val="24"/>
          <w:szCs w:val="24"/>
        </w:rPr>
        <w:lastRenderedPageBreak/>
        <w:t>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1B6A53"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1B6A53"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2"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3"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1B6A53"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1B6A53"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1B6A53"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9AC6E" w14:textId="77777777" w:rsidR="001B6A53" w:rsidRDefault="001B6A53" w:rsidP="00AB0300">
      <w:r>
        <w:separator/>
      </w:r>
    </w:p>
  </w:endnote>
  <w:endnote w:type="continuationSeparator" w:id="0">
    <w:p w14:paraId="158130DE" w14:textId="77777777" w:rsidR="001B6A53" w:rsidRDefault="001B6A53"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154E5" w14:textId="77777777" w:rsidR="001B6A53" w:rsidRDefault="001B6A53" w:rsidP="00AB0300">
      <w:r>
        <w:separator/>
      </w:r>
    </w:p>
  </w:footnote>
  <w:footnote w:type="continuationSeparator" w:id="0">
    <w:p w14:paraId="4CD213F5" w14:textId="77777777" w:rsidR="001B6A53" w:rsidRDefault="001B6A53"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E1263"/>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1971"/>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10902</TotalTime>
  <Pages>13</Pages>
  <Words>2208</Words>
  <Characters>12588</Characters>
  <Application>Microsoft Office Word</Application>
  <DocSecurity>0</DocSecurity>
  <Lines>104</Lines>
  <Paragraphs>29</Paragraphs>
  <ScaleCrop>false</ScaleCrop>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230</cp:revision>
  <dcterms:created xsi:type="dcterms:W3CDTF">2019-01-01T07:36:00Z</dcterms:created>
  <dcterms:modified xsi:type="dcterms:W3CDTF">2020-03-18T09:00:00Z</dcterms:modified>
</cp:coreProperties>
</file>