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c2bdad8b86f1492b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8bdecc7b6c4447a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000"/>
      </w:pPr>
      <w:r/>
    </w:p>
    <w:p>
      <w:pPr>
        <w:spacing w:after="200"/>
        <w:ind w:left="1200" w:right="1200"/>
      </w:pPr>
      <w:r>
        <w:rPr>
          <w:rFonts w:ascii="Calibri" w:hAnsi="Calibri" w:eastAsia="Microsoft YaHei"/>
          <w:b/>
          <w:color w:val="FFFFFF"/>
          <w:spacing w:val="40"/>
          <w:sz w:val="72"/>
        </w:rPr>
        <w:t>专利筛选报告</w:t>
      </w:r>
    </w:p>
    <w:p>
      <w:pPr>
        <w:spacing w:after="3000"/>
        <w:ind w:left="1200" w:right="1200"/>
      </w:pPr>
      <w:r>
        <w:rPr>
          <w:rFonts w:ascii="Calibri" w:hAnsi="Calibri" w:eastAsia="Microsoft YaHei"/>
          <w:color w:val="BDC3C7"/>
          <w:spacing w:val="20"/>
          <w:sz w:val="28"/>
        </w:rPr>
        <w:t>油相&gt;50%的护肤油透明化技术专利</w:t>
      </w:r>
    </w:p>
    <w:p>
      <w:pPr>
        <w:ind w:left="1200"/>
      </w:pPr>
      <w:r>
        <w:rPr>
          <w:rFonts w:ascii="Calibri" w:hAnsi="Calibri" w:eastAsia="Microsoft YaHei"/>
          <w:color w:val="95A5A6"/>
          <w:sz w:val="20"/>
        </w:rPr>
        <w:t>2026年6月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目录</w:t>
      </w:r>
      <w:bookmarkStart w:name="_Toc000" w:id="1"/>
      <w:bookmarkEnd w:id="1"/>
    </w:p>
    <w:p>
      <w:pPr>
        <w:spacing w:after="300"/>
      </w:pPr>
      <w:r>
        <w:rPr>
          <w:rFonts w:ascii="Calibri" w:hAnsi="Calibri" w:eastAsia="Microsoft YaHei"/>
          <w:color w:val="7F8C8D"/>
          <w:sz w:val="18"/>
        </w:rPr>
        <w:t>右键目录，选择"更新域"刷新页码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一、筛选标准</w:t>
      </w:r>
      <w:r>
        <w:tab/>
      </w:r>
      <w:r>
        <w:t>3</w:t>
      </w:r>
    </w:p>
    <w:p>
      <w:pPr>
        <w:pStyle w:val="TOC1"/>
      </w:pPr>
      <w:r>
        <w:t>二、筛选结果概览</w:t>
      </w:r>
      <w:r>
        <w:tab/>
      </w:r>
      <w:r>
        <w:t>4</w:t>
      </w:r>
    </w:p>
    <w:p>
      <w:pPr>
        <w:pStyle w:val="TOC1"/>
      </w:pPr>
      <w:r>
        <w:t>三、入选专利详细信息</w:t>
      </w:r>
      <w:r>
        <w:tab/>
      </w:r>
      <w:r>
        <w:t>5</w:t>
      </w:r>
    </w:p>
    <w:p>
      <w:pPr>
        <w:pStyle w:val="TOC2"/>
      </w:pPr>
      <w:r>
        <w:t>3.1 CN112915041A 甘草酸二钾透明油溶液</w:t>
      </w:r>
      <w:r>
        <w:tab/>
      </w:r>
      <w:r>
        <w:t>5</w:t>
      </w:r>
    </w:p>
    <w:p>
      <w:pPr>
        <w:pStyle w:val="TOC2"/>
      </w:pPr>
      <w:r>
        <w:t>3.2 CN112891248A 神经酰胺透明油溶液</w:t>
      </w:r>
      <w:r>
        <w:tab/>
      </w:r>
      <w:r>
        <w:t>7</w:t>
      </w:r>
    </w:p>
    <w:p>
      <w:pPr>
        <w:pStyle w:val="TOC2"/>
      </w:pPr>
      <w:r>
        <w:t>3.3 CN112741781A 甘草黄酮透明油溶液</w:t>
      </w:r>
      <w:r>
        <w:tab/>
      </w:r>
      <w:r>
        <w:t>8</w:t>
      </w:r>
    </w:p>
    <w:p>
      <w:pPr>
        <w:pStyle w:val="TOC2"/>
      </w:pPr>
      <w:r>
        <w:t>3.4 CN113181080A 磷酰胆碱聚合物透明油溶液</w:t>
      </w:r>
      <w:r>
        <w:tab/>
      </w:r>
      <w:r>
        <w:t>9</w:t>
      </w:r>
    </w:p>
    <w:p>
      <w:pPr>
        <w:pStyle w:val="TOC2"/>
      </w:pPr>
      <w:r>
        <w:t>3.5 CN104510631B 油分散透明质酸钠</w:t>
      </w:r>
      <w:r>
        <w:tab/>
      </w:r>
      <w:r>
        <w:t>10</w:t>
      </w:r>
    </w:p>
    <w:p>
      <w:pPr>
        <w:pStyle w:val="TOC2"/>
      </w:pPr>
      <w:r>
        <w:t>3.6 CN110339081B 油溶多肽组合物</w:t>
      </w:r>
      <w:r>
        <w:tab/>
      </w:r>
      <w:r>
        <w:t>11</w:t>
      </w:r>
    </w:p>
    <w:p>
      <w:pPr>
        <w:pStyle w:val="TOC1"/>
      </w:pPr>
      <w:r>
        <w:t>四、法律状态汇总</w:t>
      </w:r>
      <w:r>
        <w:tab/>
      </w:r>
      <w:r>
        <w:t>12</w:t>
      </w:r>
    </w:p>
    <w:p>
      <w:pPr>
        <w:pStyle w:val="TOC1"/>
      </w:pPr>
      <w:r>
        <w:t>五、技术路线对比</w:t>
      </w:r>
      <w:r>
        <w:tab/>
      </w:r>
      <w:r>
        <w:t>13</w:t>
      </w:r>
    </w:p>
    <w:p>
      <w:pPr>
        <w:pStyle w:val="TOC1"/>
      </w:pPr>
      <w:r>
        <w:t>六、勘误说明</w:t>
      </w:r>
      <w:r>
        <w:tab/>
      </w:r>
      <w:r>
        <w:t>14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一、筛选标准</w:t>
      </w:r>
      <w:bookmarkStart w:name="_Toc001" w:id="2"/>
      <w:bookmarkEnd w:id="2"/>
    </w:p>
    <w:p>
      <w:r>
        <w:t>筛选条件：配方中油相（油脂+油溶性成分）含量&gt;50%，即以油为连续相的油性原液/油基体系。</w:t>
      </w:r>
    </w:p>
    <w:p>
      <w:r>
        <w:t>法律状态说明：公开/实审——发明专利申请已公开，处于审查阶段，尚未获得授权；授权——专利已通过审查，获得专利权，受法律保护。</w:t>
      </w:r>
    </w:p>
    <w:p>
      <w:r>
        <w:t>排除标准：水基体系（O/W乳液、水溶液等）；油相含量&lt;=50%的体系；单纯增溶剂/添加剂专利（非完整配方）。</w:t>
      </w:r>
    </w:p>
    <w:p>
      <w:pPr>
        <w:pStyle w:val="Heading1"/>
      </w:pPr>
      <w:r>
        <w:t>二、筛选结果概览</w:t>
      </w:r>
      <w:bookmarkStart w:name="_Toc002" w:id="3"/>
      <w:bookmarkEnd w:id="3"/>
    </w:p>
    <w:tbl>
      <w:tblPr>
        <w:tblW w:w="5000" w:type="pct"/>
        <w:tblBorders>
          <w:top w:val="single" w:color="2C3E50" w:sz="12"/>
          <w:left w:val="nil"/>
          <w:bottom w:val="single" w:color="2C3E50" w:sz="12"/>
          <w:right w:val="nil"/>
          <w:insideH w:val="single" w:color="BDC3C7" w:sz="4"/>
          <w:insideV w:val="nil"/>
        </w:tblBorders>
      </w:tblPr>
      <w:tblGrid>
        <w:gridCol w:w="800"/>
        <w:gridCol w:w="1600"/>
        <w:gridCol w:w="1400"/>
        <w:gridCol w:w="2400"/>
        <w:gridCol w:w="900"/>
        <w:gridCol w:w="900"/>
      </w:tblGrid>
      <w:tr>
        <w:trPr>
          <w:tblHeader/>
        </w:trPr>
        <w:tc>
          <w:tcPr>
            <w:tcW w:w="800" w:type="dxa"/>
            <w:shd w:val="clear" w:fill="EBF5FB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序号</w:t>
            </w:r>
          </w:p>
        </w:tc>
        <w:tc>
          <w:tcPr>
            <w:tcW w:w="1600" w:type="dxa"/>
            <w:shd w:val="clear" w:fill="EBF5FB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公开号</w:t>
            </w:r>
          </w:p>
        </w:tc>
        <w:tc>
          <w:tcPr>
            <w:tcW w:w="1400" w:type="dxa"/>
            <w:shd w:val="clear" w:fill="EBF5FB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申请人</w:t>
            </w:r>
          </w:p>
        </w:tc>
        <w:tc>
          <w:tcPr>
            <w:tcW w:w="2400" w:type="dxa"/>
            <w:shd w:val="clear" w:fill="EBF5FB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技术主题</w:t>
            </w:r>
          </w:p>
        </w:tc>
        <w:tc>
          <w:tcPr>
            <w:tcW w:w="900" w:type="dxa"/>
            <w:shd w:val="clear" w:fill="EBF5FB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油相含量</w:t>
            </w:r>
          </w:p>
        </w:tc>
        <w:tc>
          <w:tcPr>
            <w:tcW w:w="900" w:type="dxa"/>
            <w:shd w:val="clear" w:fill="EBF5FB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法律状态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1</w:t>
            </w:r>
          </w:p>
        </w:tc>
        <w:tc>
          <w:tcPr>
            <w:tcW w:w="16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CN112915041A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上海奥利</w:t>
            </w:r>
          </w:p>
        </w:tc>
        <w:tc>
          <w:tcPr>
            <w:tcW w:w="24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油不溶性甘草酸二钾透明油溶液</w:t>
            </w:r>
          </w:p>
        </w:tc>
        <w:tc>
          <w:tcPr>
            <w:tcW w:w="9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~59%</w:t>
            </w:r>
          </w:p>
        </w:tc>
        <w:tc>
          <w:tcPr>
            <w:tcW w:w="9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公开/实审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2</w:t>
            </w:r>
          </w:p>
        </w:tc>
        <w:tc>
          <w:tcPr>
            <w:tcW w:w="16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CN112891248A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上海奥利</w:t>
            </w:r>
          </w:p>
        </w:tc>
        <w:tc>
          <w:tcPr>
            <w:tcW w:w="24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水油不溶性神经酰胺透明油溶液</w:t>
            </w:r>
          </w:p>
        </w:tc>
        <w:tc>
          <w:tcPr>
            <w:tcW w:w="9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&gt;60%</w:t>
            </w:r>
          </w:p>
        </w:tc>
        <w:tc>
          <w:tcPr>
            <w:tcW w:w="9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公开/实审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3</w:t>
            </w:r>
          </w:p>
        </w:tc>
        <w:tc>
          <w:tcPr>
            <w:tcW w:w="16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CN112741781A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上海奥利</w:t>
            </w:r>
          </w:p>
        </w:tc>
        <w:tc>
          <w:tcPr>
            <w:tcW w:w="24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水油不溶性甘草黄酮透明油溶液</w:t>
            </w:r>
          </w:p>
        </w:tc>
        <w:tc>
          <w:tcPr>
            <w:tcW w:w="9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~59%</w:t>
            </w:r>
          </w:p>
        </w:tc>
        <w:tc>
          <w:tcPr>
            <w:tcW w:w="9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公开/实审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4</w:t>
            </w:r>
          </w:p>
        </w:tc>
        <w:tc>
          <w:tcPr>
            <w:tcW w:w="16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CN113181080A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上海奥利</w:t>
            </w:r>
          </w:p>
        </w:tc>
        <w:tc>
          <w:tcPr>
            <w:tcW w:w="24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磷酰胆碱聚合物透明油溶液</w:t>
            </w:r>
          </w:p>
        </w:tc>
        <w:tc>
          <w:tcPr>
            <w:tcW w:w="9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&gt;60%</w:t>
            </w:r>
          </w:p>
        </w:tc>
        <w:tc>
          <w:tcPr>
            <w:tcW w:w="9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公开/实审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5</w:t>
            </w:r>
          </w:p>
        </w:tc>
        <w:tc>
          <w:tcPr>
            <w:tcW w:w="16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CN104510631B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华熙生物</w:t>
            </w:r>
          </w:p>
        </w:tc>
        <w:tc>
          <w:tcPr>
            <w:tcW w:w="24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油分散透明质酸钠</w:t>
            </w:r>
          </w:p>
        </w:tc>
        <w:tc>
          <w:tcPr>
            <w:tcW w:w="9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&gt;90%</w:t>
            </w:r>
          </w:p>
        </w:tc>
        <w:tc>
          <w:tcPr>
            <w:tcW w:w="9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授权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6</w:t>
            </w:r>
          </w:p>
        </w:tc>
        <w:tc>
          <w:tcPr>
            <w:tcW w:w="16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CN110339081B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冀百康</w:t>
            </w:r>
          </w:p>
        </w:tc>
        <w:tc>
          <w:tcPr>
            <w:tcW w:w="24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稳定的油溶多肽组合物</w:t>
            </w:r>
          </w:p>
        </w:tc>
        <w:tc>
          <w:tcPr>
            <w:tcW w:w="9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&gt;92%</w:t>
            </w:r>
          </w:p>
        </w:tc>
        <w:tc>
          <w:tcPr>
            <w:tcW w:w="9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授权</w:t>
            </w:r>
          </w:p>
        </w:tc>
      </w:tr>
    </w:tbl>
    <w:p>
      <w:pPr>
        <w:pStyle w:val="Heading1"/>
      </w:pPr>
      <w:r>
        <w:t>三、入选专利详细信息</w:t>
      </w:r>
      <w:bookmarkStart w:name="_Toc003" w:id="4"/>
      <w:bookmarkEnd w:id="4"/>
    </w:p>
    <w:p>
      <w:pPr>
        <w:pStyle w:val="Heading2"/>
      </w:pPr>
      <w:r>
        <w:t>3.1 CN112915041A — 油不溶性甘草酸二钾的透明油溶液及其制法和应用</w:t>
      </w:r>
    </w:p>
    <w:tbl>
      <w:tblPr>
        <w:tblW w:w="5000" w:type="pct"/>
        <w:tblBorders>
          <w:top w:val="single" w:color="34495E" w:sz="8"/>
          <w:bottom w:val="single" w:color="34495E" w:sz="8"/>
          <w:insideH w:val="single" w:color="BDC3C7" w:sz="2"/>
        </w:tblBorders>
      </w:tblPr>
      <w:tblGrid>
        <w:gridCol w:w="2500"/>
        <w:gridCol w:w="5500"/>
      </w:tblGrid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专利名称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4A6B7C"/>
                <w:sz w:val="20"/>
              </w:rPr>
              <w:t>油不溶性甘草酸二钾的透明油溶液及其制法和应用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申请人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4A6B7C"/>
                <w:sz w:val="20"/>
              </w:rPr>
              <w:t>上海奥利实业有限公司、上海奥利生物科技有限公司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申请号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4A6B7C"/>
                <w:sz w:val="20"/>
              </w:rPr>
              <w:t>CN202110298003.8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申请日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4A6B7C"/>
                <w:sz w:val="20"/>
              </w:rPr>
              <w:t>2021年3月19日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公开号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4A6B7C"/>
                <w:sz w:val="20"/>
              </w:rPr>
              <w:t>CN112915041A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公开日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4A6B7C"/>
                <w:sz w:val="20"/>
              </w:rPr>
              <w:t>2021年6月8日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PCT国际申请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4A6B7C"/>
                <w:sz w:val="20"/>
              </w:rPr>
              <w:t>PCT/CN2022/075196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法律状态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4A6B7C"/>
                <w:sz w:val="20"/>
              </w:rPr>
              <w:t>公开/实审 (Pending)</w:t>
            </w:r>
          </w:p>
        </w:tc>
      </w:tr>
    </w:tbl>
    <w:p>
      <w:pPr>
        <w:pStyle w:val="Heading3"/>
      </w:pPr>
      <w:r>
        <w:t>配方组成</w:t>
      </w:r>
    </w:p>
    <w:tbl>
      <w:tblPr>
        <w:tblW w:w="5000" w:type="pct"/>
        <w:tblBorders>
          <w:top w:val="single" w:color="34495E" w:sz="8"/>
          <w:bottom w:val="single" w:color="34495E" w:sz="8"/>
          <w:insideH w:val="single" w:color="BDC3C7" w:sz="2"/>
        </w:tblBorders>
      </w:tblPr>
      <w:tblGrid>
        <w:gridCol w:w="5000"/>
        <w:gridCol w:w="3000"/>
      </w:tblGrid>
      <w:tr>
        <w:trPr>
          <w:tblHeader/>
        </w:trPr>
        <w:tc>
          <w:tcPr>
            <w:tcW w:w="5000" w:type="dxa"/>
            <w:shd w:val="clear" w:fill="EBF5FB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组分</w:t>
            </w:r>
          </w:p>
        </w:tc>
        <w:tc>
          <w:tcPr>
            <w:tcW w:w="3000" w:type="dxa"/>
            <w:shd w:val="clear" w:fill="EBF5FB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含量范围（wt%）</w:t>
            </w:r>
          </w:p>
        </w:tc>
      </w:tr>
      <w:tr>
        <w:tc>
          <w:tcPr>
            <w:tcW w:w="5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甘草酸二钾（油不溶性活性成分）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0.1-10%</w:t>
            </w:r>
          </w:p>
        </w:tc>
      </w:tr>
      <w:tr>
        <w:tc>
          <w:tcPr>
            <w:tcW w:w="5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脂质体结构类似物（增溶剂）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0.05-10%</w:t>
            </w:r>
          </w:p>
        </w:tc>
      </w:tr>
      <w:tr>
        <w:tc>
          <w:tcPr>
            <w:tcW w:w="5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油脂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10-50%</w:t>
            </w:r>
          </w:p>
        </w:tc>
      </w:tr>
      <w:tr>
        <w:tc>
          <w:tcPr>
            <w:tcW w:w="5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乳化剂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5-50%</w:t>
            </w:r>
          </w:p>
        </w:tc>
      </w:tr>
      <w:tr>
        <w:tc>
          <w:tcPr>
            <w:tcW w:w="5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余量的油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余量</w:t>
            </w:r>
          </w:p>
        </w:tc>
      </w:tr>
    </w:tbl>
    <w:p>
      <w:pPr>
        <w:pStyle w:val="Heading3"/>
      </w:pPr>
      <w:r>
        <w:t>油相含量计算</w:t>
      </w:r>
    </w:p>
    <w:tbl>
      <w:tblPr>
        <w:tblW w:w="5000" w:type="pct"/>
        <w:tblBorders>
          <w:top w:val="single" w:color="34495E" w:sz="8"/>
          <w:bottom w:val="single" w:color="34495E" w:sz="8"/>
          <w:insideH w:val="single" w:color="BDC3C7" w:sz="2"/>
        </w:tblBorders>
      </w:tblPr>
      <w:tblGrid>
        <w:gridCol w:w="1500"/>
        <w:gridCol w:w="1500"/>
        <w:gridCol w:w="1500"/>
        <w:gridCol w:w="1500"/>
        <w:gridCol w:w="2000"/>
      </w:tblGrid>
      <w:tr>
        <w:trPr>
          <w:tblHeader/>
        </w:trPr>
        <w:tc>
          <w:tcPr>
            <w:tcW w:w="1500" w:type="dxa"/>
            <w:shd w:val="clear" w:fill="EBF5FB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实施例</w:t>
            </w:r>
          </w:p>
        </w:tc>
        <w:tc>
          <w:tcPr>
            <w:tcW w:w="1500" w:type="dxa"/>
            <w:shd w:val="clear" w:fill="EBF5FB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油脂</w:t>
            </w:r>
          </w:p>
        </w:tc>
        <w:tc>
          <w:tcPr>
            <w:tcW w:w="1500" w:type="dxa"/>
            <w:shd w:val="clear" w:fill="EBF5FB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脂质体类似物</w:t>
            </w:r>
          </w:p>
        </w:tc>
        <w:tc>
          <w:tcPr>
            <w:tcW w:w="1500" w:type="dxa"/>
            <w:shd w:val="clear" w:fill="EBF5FB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乳化剂</w:t>
            </w:r>
          </w:p>
        </w:tc>
        <w:tc>
          <w:tcPr>
            <w:tcW w:w="2000" w:type="dxa"/>
            <w:shd w:val="clear" w:fill="EBF5FB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判定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实施例1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48%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1%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50%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接近50%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实施例2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50%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9%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40%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&gt;50%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对比例1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99%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0%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0%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浑浊</w:t>
            </w:r>
          </w:p>
        </w:tc>
      </w:tr>
    </w:tbl>
    <w:p>
      <w:r>
        <w:t>技术方案：先通过特殊乳化剂溶解甘草酸二钾，利用脂质体结构类似物中疏水单体和亲水单体的作用辅助增溶，使甘草酸二钾被脂质体结构类似物包裹形成分子级包覆物，分散于油溶液中形成高透明度油性原液。</w:t>
      </w:r>
    </w:p>
    <w:p>
      <w:r>
        <w:t>技术效果：外观透明，-10C至45C循环1个月保持透明，解决了油不溶性甘草酸二钾在油相中的溶解问题，促进皮肤渗透，提高美白抗氧化及抗炎效果。</w:t>
      </w:r>
    </w:p>
    <w:p>
      <w:pPr>
        <w:pStyle w:val="Heading2"/>
      </w:pPr>
      <w:r>
        <w:t>3.2 CN112891248A — 水油不溶性神经酰胺透明油溶液及其制备方法</w:t>
      </w:r>
    </w:p>
    <w:tbl>
      <w:tblPr>
        <w:tblW w:w="5000" w:type="pct"/>
        <w:tblBorders>
          <w:top w:val="single" w:color="34495E" w:sz="8"/>
          <w:bottom w:val="single" w:color="34495E" w:sz="8"/>
          <w:insideH w:val="single" w:color="BDC3C7" w:sz="2"/>
        </w:tblBorders>
      </w:tblPr>
      <w:tblGrid>
        <w:gridCol w:w="2500"/>
        <w:gridCol w:w="5500"/>
      </w:tblGrid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专利名称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4A6B7C"/>
                <w:sz w:val="20"/>
              </w:rPr>
              <w:t>一种水油不溶性神经酰胺透明油溶液及其制备方法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申请人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4A6B7C"/>
                <w:sz w:val="20"/>
              </w:rPr>
              <w:t>上海奥利实业有限公司、上海奥利生物科技有限公司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申请号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4A6B7C"/>
                <w:sz w:val="20"/>
              </w:rPr>
              <w:t>CN202110168629.7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申请日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4A6B7C"/>
                <w:sz w:val="20"/>
              </w:rPr>
              <w:t>2021年2月7日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公开号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4A6B7C"/>
                <w:sz w:val="20"/>
              </w:rPr>
              <w:t>CN112891248A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法律状态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4A6B7C"/>
                <w:sz w:val="20"/>
              </w:rPr>
              <w:t>公开/实审 (Pending)</w:t>
            </w:r>
          </w:p>
        </w:tc>
      </w:tr>
    </w:tbl>
    <w:p>
      <w:r>
        <w:t>配方组成：神经酰胺0.1-10%、脂质体类似结构物0.05-10%、油脂0.1-50%、乳化剂1-45%、余量的油。</w:t>
      </w:r>
    </w:p>
    <w:p>
      <w:r>
        <w:t>油相含量：油脂最高50%，加上亲油性脂质体类似物（5-10%），整体油相可达&gt;60%。</w:t>
      </w:r>
    </w:p>
    <w:p>
      <w:r>
        <w:t>技术方案：利用脂质体类似物结构中疏水单体和亲水单体的作用乳化神经酰胺，利用特定乳化剂辅助增溶，分散于油溶液中形成透明溶液。</w:t>
      </w:r>
    </w:p>
    <w:p>
      <w:pPr>
        <w:pStyle w:val="Heading2"/>
      </w:pPr>
      <w:r>
        <w:t>3.3 CN112741781A — 水油不溶性甘草黄酮的透明油溶液及其制法和应用</w:t>
      </w:r>
    </w:p>
    <w:tbl>
      <w:tblPr>
        <w:tblW w:w="5000" w:type="pct"/>
        <w:tblBorders>
          <w:top w:val="single" w:color="34495E" w:sz="8"/>
          <w:bottom w:val="single" w:color="34495E" w:sz="8"/>
          <w:insideH w:val="single" w:color="BDC3C7" w:sz="2"/>
        </w:tblBorders>
      </w:tblPr>
      <w:tblGrid>
        <w:gridCol w:w="2500"/>
        <w:gridCol w:w="5500"/>
      </w:tblGrid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专利名称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4A6B7C"/>
                <w:sz w:val="20"/>
              </w:rPr>
              <w:t>水油不溶性甘草黄酮的透明油溶液及其制法和应用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申请人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4A6B7C"/>
                <w:sz w:val="20"/>
              </w:rPr>
              <w:t>上海奥利实业有限公司、上海奥利生物科技有限公司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申请号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4A6B7C"/>
                <w:sz w:val="20"/>
              </w:rPr>
              <w:t>CN202110146125.5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申请日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4A6B7C"/>
                <w:sz w:val="20"/>
              </w:rPr>
              <w:t>2021年2月2日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公开号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4A6B7C"/>
                <w:sz w:val="20"/>
              </w:rPr>
              <w:t>CN112741781A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法律状态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4A6B7C"/>
                <w:sz w:val="20"/>
              </w:rPr>
              <w:t>公开/实审 (Pending)</w:t>
            </w:r>
          </w:p>
        </w:tc>
      </w:tr>
    </w:tbl>
    <w:tbl>
      <w:tblPr>
        <w:tblW w:w="5000" w:type="pct"/>
        <w:tblBorders>
          <w:top w:val="single" w:color="34495E" w:sz="8"/>
          <w:bottom w:val="single" w:color="34495E" w:sz="8"/>
          <w:insideH w:val="single" w:color="BDC3C7" w:sz="2"/>
        </w:tblBorders>
      </w:tblPr>
      <w:tblGrid>
        <w:gridCol w:w="1500"/>
        <w:gridCol w:w="1500"/>
        <w:gridCol w:w="1500"/>
        <w:gridCol w:w="1500"/>
        <w:gridCol w:w="2000"/>
      </w:tblGrid>
      <w:tr>
        <w:trPr>
          <w:tblHeader/>
        </w:trPr>
        <w:tc>
          <w:tcPr>
            <w:tcW w:w="1500" w:type="dxa"/>
            <w:shd w:val="clear" w:fill="EBF5FB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实施例</w:t>
            </w:r>
          </w:p>
        </w:tc>
        <w:tc>
          <w:tcPr>
            <w:tcW w:w="1500" w:type="dxa"/>
            <w:shd w:val="clear" w:fill="EBF5FB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油脂</w:t>
            </w:r>
          </w:p>
        </w:tc>
        <w:tc>
          <w:tcPr>
            <w:tcW w:w="1500" w:type="dxa"/>
            <w:shd w:val="clear" w:fill="EBF5FB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脂质体类似物</w:t>
            </w:r>
          </w:p>
        </w:tc>
        <w:tc>
          <w:tcPr>
            <w:tcW w:w="1500" w:type="dxa"/>
            <w:shd w:val="clear" w:fill="EBF5FB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乳化剂</w:t>
            </w:r>
          </w:p>
        </w:tc>
        <w:tc>
          <w:tcPr>
            <w:tcW w:w="2000" w:type="dxa"/>
            <w:shd w:val="clear" w:fill="EBF5FB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判定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实施例1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48%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1%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50%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接近50%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实施例2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50%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9%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40%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&gt;50%</w:t>
            </w:r>
          </w:p>
        </w:tc>
      </w:tr>
    </w:tbl>
    <w:p>
      <w:r>
        <w:t>技术方案：与CN112915041A相同技术路线，应用于甘草黄酮的透明油溶液制备。技术效果：外观透明，美白抗氧化效果显著提升。</w:t>
      </w:r>
    </w:p>
    <w:p>
      <w:pPr>
        <w:pStyle w:val="Heading2"/>
      </w:pPr>
      <w:r>
        <w:t>3.4 CN113181080A — 磷酰胆碱聚合物透明油溶液及其制法和应用</w:t>
      </w:r>
    </w:p>
    <w:tbl>
      <w:tblPr>
        <w:tblW w:w="5000" w:type="pct"/>
        <w:tblBorders>
          <w:top w:val="single" w:color="34495E" w:sz="8"/>
          <w:bottom w:val="single" w:color="34495E" w:sz="8"/>
          <w:insideH w:val="single" w:color="BDC3C7" w:sz="2"/>
        </w:tblBorders>
      </w:tblPr>
      <w:tblGrid>
        <w:gridCol w:w="2500"/>
        <w:gridCol w:w="5500"/>
      </w:tblGrid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专利名称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4A6B7C"/>
                <w:sz w:val="20"/>
              </w:rPr>
              <w:t>磷酰胆碱聚合物的透明油溶液及其制法和应用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申请人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4A6B7C"/>
                <w:sz w:val="20"/>
              </w:rPr>
              <w:t>上海奥利实业有限公司、上海奥利生物科技有限公司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申请号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4A6B7C"/>
                <w:sz w:val="20"/>
              </w:rPr>
              <w:t>CN202110179830.5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申请日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4A6B7C"/>
                <w:sz w:val="20"/>
              </w:rPr>
              <w:t>2021年2月7日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公开号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4A6B7C"/>
                <w:sz w:val="20"/>
              </w:rPr>
              <w:t>CN113181080A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法律状态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4A6B7C"/>
                <w:sz w:val="20"/>
              </w:rPr>
              <w:t>公开/实审 (Pending)</w:t>
            </w:r>
          </w:p>
        </w:tc>
      </w:tr>
    </w:tbl>
    <w:p>
      <w:r>
        <w:t>配方特征：磷酰胆碱聚合物0.1-10%、乳化剂5-50%、油脂5-50%。油相含量：油脂最高50%，加上亲油性脂质体类似物，整体油相可达&gt;60%。技术效果：将磷酰胆碱聚合物成功增溶于油相，保持高透明度，利用其在皮肤上的成膜性降低刺激性。</w:t>
      </w:r>
    </w:p>
    <w:p>
      <w:pPr>
        <w:pStyle w:val="Heading2"/>
      </w:pPr>
      <w:r>
        <w:t>3.5 CN104510631B — 油分散透明质酸钠及其制备方法和用途</w:t>
      </w:r>
    </w:p>
    <w:tbl>
      <w:tblPr>
        <w:tblW w:w="5000" w:type="pct"/>
        <w:tblBorders>
          <w:top w:val="single" w:color="34495E" w:sz="8"/>
          <w:bottom w:val="single" w:color="34495E" w:sz="8"/>
          <w:insideH w:val="single" w:color="BDC3C7" w:sz="2"/>
        </w:tblBorders>
      </w:tblPr>
      <w:tblGrid>
        <w:gridCol w:w="2500"/>
        <w:gridCol w:w="5500"/>
      </w:tblGrid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产品名称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4A6B7C"/>
                <w:sz w:val="20"/>
              </w:rPr>
              <w:t>Hyacolor(R)油分散透明质酸钠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专利权人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4A6B7C"/>
                <w:sz w:val="20"/>
              </w:rPr>
              <w:t>华熙生物科技股份有限公司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申请号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4A6B7C"/>
                <w:sz w:val="20"/>
              </w:rPr>
              <w:t>CN201310448428.8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授权公告号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4A6B7C"/>
                <w:sz w:val="20"/>
              </w:rPr>
              <w:t>CN104510631B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法律状态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4A6B7C"/>
                <w:sz w:val="20"/>
              </w:rPr>
              <w:t>授权 (Active)，预计到期2033年9月27日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商业产品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4A6B7C"/>
                <w:sz w:val="20"/>
              </w:rPr>
              <w:t>故宫口红等</w:t>
            </w:r>
          </w:p>
        </w:tc>
      </w:tr>
    </w:tbl>
    <w:p>
      <w:pPr>
        <w:pStyle w:val="Heading3"/>
      </w:pPr>
      <w:r>
        <w:t>配方组成</w:t>
      </w:r>
    </w:p>
    <w:tbl>
      <w:tblPr>
        <w:tblW w:w="5000" w:type="pct"/>
        <w:tblBorders>
          <w:top w:val="single" w:color="34495E" w:sz="8"/>
          <w:bottom w:val="single" w:color="34495E" w:sz="8"/>
          <w:insideH w:val="single" w:color="BDC3C7" w:sz="2"/>
        </w:tblBorders>
      </w:tblPr>
      <w:tblGrid>
        <w:gridCol w:w="4000"/>
        <w:gridCol w:w="4000"/>
      </w:tblGrid>
      <w:tr>
        <w:trPr>
          <w:tblHeader/>
        </w:trPr>
        <w:tc>
          <w:tcPr>
            <w:tcW w:w="4000" w:type="dxa"/>
            <w:shd w:val="clear" w:fill="EBF5FB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组分</w:t>
            </w:r>
          </w:p>
        </w:tc>
        <w:tc>
          <w:tcPr>
            <w:tcW w:w="4000" w:type="dxa"/>
            <w:shd w:val="clear" w:fill="EBF5FB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功能</w:t>
            </w:r>
          </w:p>
        </w:tc>
      </w:tr>
      <w:tr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超低分子透明质酸钠（HA）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功效成分（推荐用量0.1-2.0%）</w:t>
            </w:r>
          </w:p>
        </w:tc>
      </w:tr>
      <w:tr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植物性油脂（蓖麻油等）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连续相/载体</w:t>
            </w:r>
          </w:p>
        </w:tc>
      </w:tr>
      <w:tr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氢化蓖麻油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稳定剂</w:t>
            </w:r>
          </w:p>
        </w:tc>
      </w:tr>
    </w:tbl>
    <w:p>
      <w:r>
        <w:t>油相含量：实施例1中蓖麻籽油56g + 氢化蓖麻油84g = 140g油相，HA 3g，油相约97.9%；实施例2中蓖麻籽油160g，HA 2g，油相约98.8%。整体油相&gt;90%。</w:t>
      </w:r>
    </w:p>
    <w:p>
      <w:r>
        <w:t>技术方案：将透明质酸钠微粉化（过80-100目筛），与油性基质（蓖麻油等）充分混合均质，加入稳定剂（氢化蓖麻油等），冷凝造粒形成油分散体。</w:t>
      </w:r>
    </w:p>
    <w:p>
      <w:r>
        <w:t>技术效果：HA以微粉形式均匀分散在油性基质中，透皮吸收率高达20%以上，赋予唇妆保湿、修护、丰唇功效。已通过COSMOS认证，应用产品包括故宫口红等。</w:t>
      </w:r>
    </w:p>
    <w:p>
      <w:pPr>
        <w:pStyle w:val="Heading2"/>
      </w:pPr>
      <w:r>
        <w:t>3.6 CN110339081B — 稳定的油溶多肽组合物及其制备方法和应用</w:t>
      </w:r>
    </w:p>
    <w:tbl>
      <w:tblPr>
        <w:tblW w:w="5000" w:type="pct"/>
        <w:tblBorders>
          <w:top w:val="single" w:color="34495E" w:sz="8"/>
          <w:bottom w:val="single" w:color="34495E" w:sz="8"/>
          <w:insideH w:val="single" w:color="BDC3C7" w:sz="2"/>
        </w:tblBorders>
      </w:tblPr>
      <w:tblGrid>
        <w:gridCol w:w="2500"/>
        <w:gridCol w:w="5500"/>
      </w:tblGrid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专利名称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4A6B7C"/>
                <w:sz w:val="20"/>
              </w:rPr>
              <w:t>一种稳定的油溶多肽组合物及其制备方法和应用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专利权人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4A6B7C"/>
                <w:sz w:val="20"/>
              </w:rPr>
              <w:t>珠海冀百康生物科技有限公司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申请号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4A6B7C"/>
                <w:sz w:val="20"/>
              </w:rPr>
              <w:t>CN201910584254.5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授权公告号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4A6B7C"/>
                <w:sz w:val="20"/>
              </w:rPr>
              <w:t>CN110339081B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授权公告日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4A6B7C"/>
                <w:sz w:val="20"/>
              </w:rPr>
              <w:t>2022年5月10日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法律状态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4A6B7C"/>
                <w:sz w:val="20"/>
              </w:rPr>
              <w:t>授权 (Active)，预计到期2039年7月1日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商业产品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4A6B7C"/>
                <w:sz w:val="20"/>
              </w:rPr>
              <w:t>Gebiotide(R)油溶多肽系列</w:t>
            </w:r>
          </w:p>
        </w:tc>
      </w:tr>
    </w:tbl>
    <w:p>
      <w:pPr>
        <w:pStyle w:val="Heading3"/>
      </w:pPr>
      <w:r>
        <w:t>配方组成</w:t>
      </w:r>
    </w:p>
    <w:tbl>
      <w:tblPr>
        <w:tblW w:w="5000" w:type="pct"/>
        <w:tblBorders>
          <w:top w:val="single" w:color="34495E" w:sz="8"/>
          <w:bottom w:val="single" w:color="34495E" w:sz="8"/>
          <w:insideH w:val="single" w:color="BDC3C7" w:sz="2"/>
        </w:tblBorders>
      </w:tblPr>
      <w:tblGrid>
        <w:gridCol w:w="4000"/>
        <w:gridCol w:w="4000"/>
      </w:tblGrid>
      <w:tr>
        <w:trPr>
          <w:tblHeader/>
        </w:trPr>
        <w:tc>
          <w:tcPr>
            <w:tcW w:w="4000" w:type="dxa"/>
            <w:shd w:val="clear" w:fill="EBF5FB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组分</w:t>
            </w:r>
          </w:p>
        </w:tc>
        <w:tc>
          <w:tcPr>
            <w:tcW w:w="4000" w:type="dxa"/>
            <w:shd w:val="clear" w:fill="EBF5FB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含量范围</w:t>
            </w:r>
          </w:p>
        </w:tc>
      </w:tr>
      <w:tr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多肽（棕榈酰二肽-7等）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10-10000 ppm</w:t>
            </w:r>
          </w:p>
        </w:tc>
      </w:tr>
      <w:tr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增溶剂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1-20份</w:t>
            </w:r>
          </w:p>
        </w:tc>
      </w:tr>
      <w:tr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增稠剂（可选）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0-30份</w:t>
            </w:r>
          </w:p>
        </w:tc>
      </w:tr>
      <w:tr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油性溶剂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50-90份</w:t>
            </w:r>
          </w:p>
        </w:tc>
      </w:tr>
    </w:tbl>
    <w:p>
      <w:r>
        <w:t>油相含量：油相 = 油性溶剂50-90份 + 增溶剂1-20份 = 51-92% &gt; 50%。</w:t>
      </w:r>
    </w:p>
    <w:p>
      <w:r>
        <w:t>技术方案：将多肽与增溶剂混合充分搅拌，加入油性溶剂（辛酸癸酸甘油三酯、棕榈酸异丙酯等）继续搅拌，形成稳定的油溶多肽组合物。</w:t>
      </w:r>
    </w:p>
    <w:p>
      <w:r>
        <w:t>技术效果：多肽在油相中稳定分散，不易变色、浑浊或分层，40C加速1个月含量基本稳定，与常见油脂兼容性强，不需加入防腐剂，配方更安全。</w:t>
      </w:r>
    </w:p>
    <w:p>
      <w:pPr>
        <w:pStyle w:val="Heading1"/>
      </w:pPr>
      <w:r>
        <w:t>四、法律状态汇总</w:t>
      </w:r>
      <w:bookmarkStart w:name="_Toc004" w:id="5"/>
      <w:bookmarkEnd w:id="5"/>
    </w:p>
    <w:tbl>
      <w:tblPr>
        <w:tblW w:w="5000" w:type="pct"/>
        <w:tblBorders>
          <w:top w:val="single" w:color="2C3E50" w:sz="12"/>
          <w:left w:val="nil"/>
          <w:bottom w:val="single" w:color="2C3E50" w:sz="12"/>
          <w:right w:val="nil"/>
          <w:insideH w:val="single" w:color="BDC3C7" w:sz="4"/>
          <w:insideV w:val="nil"/>
        </w:tblBorders>
      </w:tblPr>
      <w:tblGrid>
        <w:gridCol w:w="800"/>
        <w:gridCol w:w="2000"/>
        <w:gridCol w:w="1400"/>
        <w:gridCol w:w="1000"/>
        <w:gridCol w:w="1300"/>
        <w:gridCol w:w="1500"/>
      </w:tblGrid>
      <w:tr>
        <w:trPr>
          <w:tblHeader/>
        </w:trPr>
        <w:tc>
          <w:tcPr>
            <w:tcW w:w="800" w:type="dxa"/>
            <w:shd w:val="clear" w:fill="EBF5FB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序号</w:t>
            </w:r>
          </w:p>
        </w:tc>
        <w:tc>
          <w:tcPr>
            <w:tcW w:w="2000" w:type="dxa"/>
            <w:shd w:val="clear" w:fill="EBF5FB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公开号/授权公告号</w:t>
            </w:r>
          </w:p>
        </w:tc>
        <w:tc>
          <w:tcPr>
            <w:tcW w:w="1400" w:type="dxa"/>
            <w:shd w:val="clear" w:fill="EBF5FB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申请人</w:t>
            </w:r>
          </w:p>
        </w:tc>
        <w:tc>
          <w:tcPr>
            <w:tcW w:w="1000" w:type="dxa"/>
            <w:shd w:val="clear" w:fill="EBF5FB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油相</w:t>
            </w:r>
          </w:p>
        </w:tc>
        <w:tc>
          <w:tcPr>
            <w:tcW w:w="1300" w:type="dxa"/>
            <w:shd w:val="clear" w:fill="EBF5FB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法律状态</w:t>
            </w:r>
          </w:p>
        </w:tc>
        <w:tc>
          <w:tcPr>
            <w:tcW w:w="1500" w:type="dxa"/>
            <w:shd w:val="clear" w:fill="EBF5FB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说明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1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CN112915041A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上海奥利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~59%</w:t>
            </w:r>
          </w:p>
        </w:tc>
        <w:tc>
          <w:tcPr>
            <w:tcW w:w="13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公开/实审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审查中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2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CN112891248A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上海奥利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&gt;60%</w:t>
            </w:r>
          </w:p>
        </w:tc>
        <w:tc>
          <w:tcPr>
            <w:tcW w:w="13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公开/实审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审查中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3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CN112741781A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上海奥利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~59%</w:t>
            </w:r>
          </w:p>
        </w:tc>
        <w:tc>
          <w:tcPr>
            <w:tcW w:w="13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公开/实审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审查中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4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CN113181080A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上海奥利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&gt;60%</w:t>
            </w:r>
          </w:p>
        </w:tc>
        <w:tc>
          <w:tcPr>
            <w:tcW w:w="13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公开/实审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审查中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5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CN104510631B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华熙生物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&gt;90%</w:t>
            </w:r>
          </w:p>
        </w:tc>
        <w:tc>
          <w:tcPr>
            <w:tcW w:w="13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授权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2013年申请，已授权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6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CN110339081B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冀百康</w:t>
            </w:r>
          </w:p>
        </w:tc>
        <w:tc>
          <w:tcPr>
            <w:tcW w:w="1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&gt;92%</w:t>
            </w:r>
          </w:p>
        </w:tc>
        <w:tc>
          <w:tcPr>
            <w:tcW w:w="13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授权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2019年申请，已授权</w:t>
            </w:r>
          </w:p>
        </w:tc>
      </w:tr>
    </w:tbl>
    <w:p>
      <w:pPr>
        <w:pStyle w:val="Heading1"/>
      </w:pPr>
      <w:r>
        <w:t>五、技术路线对比</w:t>
      </w:r>
      <w:bookmarkStart w:name="_Toc005" w:id="6"/>
      <w:bookmarkEnd w:id="6"/>
    </w:p>
    <w:tbl>
      <w:tblPr>
        <w:tblW w:w="5000" w:type="pct"/>
        <w:tblBorders>
          <w:top w:val="single" w:color="2C3E50" w:sz="12"/>
          <w:left w:val="nil"/>
          <w:bottom w:val="single" w:color="2C3E50" w:sz="12"/>
          <w:right w:val="nil"/>
          <w:insideH w:val="single" w:color="BDC3C7" w:sz="4"/>
          <w:insideV w:val="nil"/>
        </w:tblBorders>
      </w:tblPr>
      <w:tblGrid>
        <w:gridCol w:w="1800"/>
        <w:gridCol w:w="1200"/>
        <w:gridCol w:w="1800"/>
        <w:gridCol w:w="1800"/>
        <w:gridCol w:w="1400"/>
      </w:tblGrid>
      <w:tr>
        <w:trPr>
          <w:tblHeader/>
        </w:trPr>
        <w:tc>
          <w:tcPr>
            <w:tcW w:w="1800" w:type="dxa"/>
            <w:shd w:val="clear" w:fill="EBF5FB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专利号</w:t>
            </w:r>
          </w:p>
        </w:tc>
        <w:tc>
          <w:tcPr>
            <w:tcW w:w="1200" w:type="dxa"/>
            <w:shd w:val="clear" w:fill="EBF5FB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申请人</w:t>
            </w:r>
          </w:p>
        </w:tc>
        <w:tc>
          <w:tcPr>
            <w:tcW w:w="1800" w:type="dxa"/>
            <w:shd w:val="clear" w:fill="EBF5FB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油相含量</w:t>
            </w:r>
          </w:p>
        </w:tc>
        <w:tc>
          <w:tcPr>
            <w:tcW w:w="1800" w:type="dxa"/>
            <w:shd w:val="clear" w:fill="EBF5FB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增溶机理</w:t>
            </w:r>
          </w:p>
        </w:tc>
        <w:tc>
          <w:tcPr>
            <w:tcW w:w="1400" w:type="dxa"/>
            <w:shd w:val="clear" w:fill="EBF5FB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法律状态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CN112915041A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上海奥利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~59%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脂质体类似物+乳化剂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公开/实审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CN112891248A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上海奥利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&gt;60%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脂质体类似物+乳化剂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公开/实审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CN112741781A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上海奥利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~59%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脂质体类似物+乳化剂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公开/实审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CN113181080A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上海奥利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&gt;60%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脂质体类似物+乳化剂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公开/实审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CN104510631B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华熙生物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&gt;90%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微粉化分散+稳定剂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授权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CN110339081B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冀百康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&gt;92%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增溶剂+油性溶剂协同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授权</w:t>
            </w:r>
          </w:p>
        </w:tc>
      </w:tr>
    </w:tbl>
    <w:p>
      <w:pPr>
        <w:pStyle w:val="Heading2"/>
      </w:pPr>
      <w:r>
        <w:t>关键发现</w:t>
      </w:r>
    </w:p>
    <w:p>
      <w:r>
        <w:t>真溶液增溶路线（上海奥利4项）：利用脂质体类似物将油不溶物质分子级包裹增溶，形成真正的透明油溶液，油相50-60%。均为公开/实审状态。</w:t>
      </w:r>
    </w:p>
    <w:p>
      <w:r>
        <w:t>微粉分散路线（华熙生物1项）：将水溶性物质微粉化后以微粉形式分散于油脂中，油脂为连续相，油相&gt;90%。已授权。</w:t>
      </w:r>
    </w:p>
    <w:p>
      <w:r>
        <w:t>油溶组合物路线（冀百康1项）：通过增溶剂与油性溶剂协同作用使多肽在油相中稳定分散，油相&gt;80%。已授权。</w:t>
      </w:r>
    </w:p>
    <w:p>
      <w:pPr>
        <w:pStyle w:val="Heading1"/>
      </w:pPr>
      <w:r>
        <w:t>六、勘误说明</w:t>
      </w:r>
      <w:bookmarkStart w:name="_Toc006" w:id="7"/>
      <w:bookmarkEnd w:id="7"/>
    </w:p>
    <w:tbl>
      <w:tblPr>
        <w:tblW w:w="5000" w:type="pct"/>
        <w:tblBorders>
          <w:top w:val="single" w:color="2C3E50" w:sz="12"/>
          <w:left w:val="nil"/>
          <w:bottom w:val="single" w:color="2C3E50" w:sz="12"/>
          <w:right w:val="nil"/>
          <w:insideH w:val="single" w:color="BDC3C7" w:sz="4"/>
          <w:insideV w:val="nil"/>
        </w:tblBorders>
      </w:tblPr>
      <w:tblGrid>
        <w:gridCol w:w="1500"/>
        <w:gridCol w:w="3000"/>
        <w:gridCol w:w="3500"/>
      </w:tblGrid>
      <w:tr>
        <w:trPr>
          <w:tblHeader/>
        </w:trPr>
        <w:tc>
          <w:tcPr>
            <w:tcW w:w="1500" w:type="dxa"/>
            <w:shd w:val="clear" w:fill="EBF5FB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错误项</w:t>
            </w:r>
          </w:p>
        </w:tc>
        <w:tc>
          <w:tcPr>
            <w:tcW w:w="3000" w:type="dxa"/>
            <w:shd w:val="clear" w:fill="EBF5FB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原报告内容</w:t>
            </w:r>
          </w:p>
        </w:tc>
        <w:tc>
          <w:tcPr>
            <w:tcW w:w="3500" w:type="dxa"/>
            <w:shd w:val="clear" w:fill="EBF5FB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正确内容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专利7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CN116240036B 福来油溶肽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CN116240036B实为武汉钢铁炼焦换热器专利，与护肤油完全无关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专利号归属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ZL202211290782.8归为福来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实为珠海冀百康小分子胶原蛋白专利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华熙公开号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CN103933720B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正确公开号为CN104510631A/B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福来专利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福来拥有油溶肽双专利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A6B7C"/>
                <w:sz w:val="20"/>
              </w:rPr>
              <w:t>福来并无自有油溶专利，使用冀百康原料</w:t>
            </w:r>
          </w:p>
        </w:tc>
      </w:tr>
    </w:tbl>
    <w:p>
      <w:r>
        <w:t>修正结果：删除原"专利7（福来）"，最终入选专利从7项调整为6项。福来Freiol品牌并无自有油溶专利，其油溶肽产品使用的是冀百康的原料专利技术。</w:t>
      </w:r>
    </w:p>
    <w:p>
      <w:pPr>
        <w:sectPr>
          <w:headerReference w:type="default" r:id="R2a39b18f65ed45bd"/>
          <w:footerReference w:type="default" r:id="R283c32d6e7384b6a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2" name="Back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g.png"/>
                    <pic:cNvPicPr/>
                  </pic:nvPicPr>
                  <pic:blipFill>
                    <a:blip r:embed="R8dd3e37f0dc84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7000"/>
        <w:jc w:val="center"/>
      </w:pPr>
      <w:r>
        <w:rPr>
          <w:rFonts w:ascii="Calibri" w:hAnsi="Calibri" w:eastAsia="Microsoft YaHei"/>
          <w:b/>
          <w:color w:val="5DADE2"/>
          <w:sz w:val="48"/>
        </w:rPr>
        <w:t>感谢阅读</w:t>
      </w:r>
    </w:p>
    <w:p>
      <w:pPr>
        <w:spacing w:before="400"/>
        <w:jc w:val="center"/>
      </w:pPr>
      <w:r>
        <w:rPr>
          <w:rFonts w:ascii="Calibri" w:hAnsi="Calibri" w:eastAsia="Microsoft YaHei"/>
          <w:color w:val="BDC3C7"/>
          <w:sz w:val="20"/>
        </w:rPr>
        <w:t>专利检索报告 | 2026年6月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eastAsia="Microsoft YaHei"/>
        <w:color w:val="7F8C8D"/>
        <w:sz w:val="18"/>
      </w:rPr>
      <w:t xml:space="preserve">第 </w:t>
    </w:r>
    <w:r>
      <w:rPr>
        <w:rFonts w:ascii="Calibri" w:hAnsi="Calibri" w:eastAsia="Microsoft YaHei"/>
        <w:color w:val="7F8C8D"/>
        <w:sz w:val="18"/>
      </w:rPr>
      <w:fldChar w:fldCharType="begin"/>
    </w:r>
    <w:r>
      <w:rPr>
        <w:rFonts w:ascii="Calibri" w:hAnsi="Calibri" w:eastAsia="Microsoft YaHei"/>
        <w:color w:val="7F8C8D"/>
        <w:sz w:val="18"/>
      </w:rPr>
      <w:instrText xml:space="preserve"> PAGE </w:instrText>
    </w:r>
    <w:r>
      <w:rPr>
        <w:rFonts w:ascii="Calibri" w:hAnsi="Calibri" w:eastAsia="Microsoft YaHei"/>
        <w:color w:val="7F8C8D"/>
        <w:sz w:val="18"/>
      </w:rPr>
      <w:fldChar w:fldCharType="separate"/>
    </w:r>
    <w:r>
      <w:rPr>
        <w:rFonts w:ascii="Calibri" w:hAnsi="Calibri" w:eastAsia="Microsoft YaHei"/>
        <w:color w:val="7F8C8D"/>
        <w:sz w:val="18"/>
      </w:rPr>
      <w:t>1</w:t>
    </w:r>
    <w:r>
      <w:rPr>
        <w:rFonts w:ascii="Calibri" w:hAnsi="Calibri" w:eastAsia="Microsoft YaHei"/>
        <w:color w:val="7F8C8D"/>
        <w:sz w:val="18"/>
      </w:rPr>
      <w:fldChar w:fldCharType="end"/>
    </w:r>
    <w:r>
      <w:rPr>
        <w:rFonts w:ascii="Calibri" w:hAnsi="Calibri" w:eastAsia="Microsoft YaHei"/>
        <w:color w:val="7F8C8D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Calibri" w:hAnsi="Calibri" w:eastAsia="Microsoft YaHei"/>
        <w:color w:val="7F8C8D"/>
        <w:sz w:val="18"/>
      </w:rPr>
      <w:t>专利筛选报告</w:t>
    </w:r>
  </w:p>
</w:hdr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360" w:lineRule="auto"/>
      <w:ind w:firstLine="480"/>
    </w:pPr>
    <w:rPr>
      <w:rFonts w:ascii="Calibri" w:hAnsi="Calibri" w:eastAsia="Microsoft YaHei"/>
      <w:color w:val="1A252F"/>
      <w:sz w:val="21"/>
    </w:rPr>
  </w:style>
  <w:style w:type="paragraph" w:styleId="Heading1">
    <w:name w:val="heading 1"/>
    <w:basedOn w:val="Normal"/>
    <w:pPr>
      <w:keepNext/>
      <w:keepLines/>
      <w:spacing w:before="600" w:after="240"/>
      <w:ind w:firstLine="0"/>
      <w:outlineLvl w:val="0"/>
    </w:pPr>
    <w:rPr>
      <w:rFonts w:ascii="Calibri" w:hAnsi="Calibri" w:eastAsia="Microsoft YaHei"/>
      <w:b/>
      <w:color w:val="2C3E50"/>
      <w:sz w:val="36"/>
    </w:rPr>
  </w:style>
  <w:style w:type="paragraph" w:styleId="Heading2">
    <w:name w:val="heading 2"/>
    <w:basedOn w:val="Normal"/>
    <w:pPr>
      <w:keepNext/>
      <w:keepLines/>
      <w:spacing w:before="400" w:after="160"/>
      <w:ind w:firstLine="0"/>
      <w:outlineLvl w:val="1"/>
    </w:pPr>
    <w:rPr>
      <w:rFonts w:ascii="Calibri" w:hAnsi="Calibri" w:eastAsia="Microsoft YaHei"/>
      <w:b/>
      <w:color w:val="1A252F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ind w:firstLine="0"/>
      <w:outlineLvl w:val="2"/>
    </w:pPr>
    <w:rPr>
      <w:rFonts w:ascii="Calibri" w:hAnsi="Calibri" w:eastAsia="Microsoft YaHei"/>
      <w:b/>
      <w:color w:val="4A6B7C"/>
      <w:sz w:val="24"/>
    </w:rPr>
  </w:style>
  <w:style w:type="paragraph" w:styleId="Caption">
    <w:name w:val="Caption"/>
    <w:basedOn w:val="Normal"/>
    <w:pPr>
      <w:spacing w:before="60" w:after="320"/>
      <w:ind w:firstLine="0"/>
      <w:jc w:val="center"/>
    </w:pPr>
    <w:rPr>
      <w:rFonts w:ascii="Calibri" w:hAnsi="Calibri" w:eastAsia="Microsoft YaHei"/>
      <w:color w:val="7F8C8D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left="0" w:firstLine="0"/>
    </w:pPr>
    <w:rPr>
      <w:rFonts w:ascii="Calibri" w:hAnsi="Calibri" w:eastAsia="Microsoft YaHei"/>
      <w:b/>
      <w:color w:val="1A252F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 w:firstLine="0"/>
    </w:pPr>
    <w:rPr>
      <w:rFonts w:ascii="Calibri" w:hAnsi="Calibri" w:eastAsia="Microsoft YaHei"/>
      <w:color w:val="4A6B7C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437b598704fc46b9" /><Relationship Type="http://schemas.openxmlformats.org/officeDocument/2006/relationships/image" Target="media/image.png" Id="R8bdecc7b6c4447a9" /><Relationship Type="http://schemas.openxmlformats.org/officeDocument/2006/relationships/image" Target="media/image2.png" Id="R8dd3e37f0dc84d16" /><Relationship Type="http://schemas.openxmlformats.org/officeDocument/2006/relationships/header" Target="header1.xml" Id="R2a39b18f65ed45bd" /><Relationship Type="http://schemas.openxmlformats.org/officeDocument/2006/relationships/footer" Target="footer1.xml" Id="R283c32d6e7384b6a" /><Relationship Type="http://schemas.openxmlformats.org/officeDocument/2006/relationships/settings" Target="settings.xml" Id="R8ccd3bd60b69465e" /></Relationships>
</file>