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A4798A">
      <w:pPr>
        <w:jc w:val="center"/>
        <w:rPr>
          <w:rFonts w:ascii="微软雅黑" w:hAnsi="微软雅黑" w:eastAsia="微软雅黑"/>
          <w:b/>
          <w:sz w:val="18"/>
          <w:szCs w:val="18"/>
        </w:rPr>
      </w:pPr>
      <w:r>
        <w:rPr>
          <w:rFonts w:hint="eastAsia" w:ascii="微软雅黑" w:hAnsi="微软雅黑" w:eastAsia="微软雅黑"/>
          <w:b/>
          <w:sz w:val="18"/>
          <w:szCs w:val="18"/>
        </w:rPr>
        <w:t>Barra</w:t>
      </w:r>
      <w:r>
        <w:rPr>
          <w:rFonts w:ascii="微软雅黑" w:hAnsi="微软雅黑" w:eastAsia="微软雅黑"/>
          <w:b/>
          <w:sz w:val="18"/>
          <w:szCs w:val="18"/>
        </w:rPr>
        <w:t xml:space="preserve"> CNE-6</w:t>
      </w:r>
      <w:r>
        <w:rPr>
          <w:rFonts w:hint="eastAsia" w:ascii="微软雅黑" w:hAnsi="微软雅黑" w:eastAsia="微软雅黑"/>
          <w:b/>
          <w:sz w:val="18"/>
          <w:szCs w:val="18"/>
        </w:rPr>
        <w:t>因子定义概述</w:t>
      </w:r>
    </w:p>
    <w:tbl>
      <w:tblPr>
        <w:tblStyle w:val="7"/>
        <w:tblW w:w="10207" w:type="dxa"/>
        <w:tblInd w:w="-99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993"/>
        <w:gridCol w:w="1276"/>
        <w:gridCol w:w="1843"/>
        <w:gridCol w:w="1145"/>
        <w:gridCol w:w="4950"/>
      </w:tblGrid>
      <w:tr w14:paraId="62C954C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Align w:val="center"/>
          </w:tcPr>
          <w:p w14:paraId="2C79DCF5">
            <w:pPr>
              <w:jc w:val="center"/>
              <w:rPr>
                <w:rFonts w:ascii="Arial" w:hAnsi="Arial" w:cs="Arial"/>
                <w:b/>
                <w:bCs/>
                <w:color w:val="FF0000"/>
                <w:sz w:val="18"/>
                <w:szCs w:val="18"/>
                <w:highlight w:val="none"/>
              </w:rPr>
            </w:pPr>
            <w:r>
              <w:rPr>
                <w:rFonts w:hint="eastAsia" w:cs="Arial" w:asciiTheme="minorEastAsia" w:hAnsiTheme="minorEastAsia"/>
                <w:b/>
                <w:bCs/>
                <w:color w:val="FF0000"/>
                <w:sz w:val="18"/>
                <w:szCs w:val="18"/>
                <w:highlight w:val="none"/>
              </w:rPr>
              <w:t>一级因子</w:t>
            </w:r>
          </w:p>
        </w:tc>
        <w:tc>
          <w:tcPr>
            <w:tcW w:w="1276" w:type="dxa"/>
            <w:vAlign w:val="center"/>
          </w:tcPr>
          <w:p w14:paraId="23DC2C72">
            <w:pPr>
              <w:jc w:val="center"/>
              <w:rPr>
                <w:rFonts w:ascii="Arial" w:hAnsi="Arial" w:cs="Arial"/>
                <w:b/>
                <w:bCs/>
                <w:color w:val="FF0000"/>
                <w:sz w:val="18"/>
                <w:szCs w:val="18"/>
                <w:highlight w:val="none"/>
              </w:rPr>
            </w:pPr>
            <w:r>
              <w:rPr>
                <w:rFonts w:hint="eastAsia" w:cs="Arial" w:asciiTheme="minorEastAsia" w:hAnsiTheme="minorEastAsia"/>
                <w:b/>
                <w:bCs/>
                <w:color w:val="FF0000"/>
                <w:sz w:val="18"/>
                <w:szCs w:val="18"/>
                <w:highlight w:val="none"/>
              </w:rPr>
              <w:t>二级因子</w:t>
            </w:r>
          </w:p>
        </w:tc>
        <w:tc>
          <w:tcPr>
            <w:tcW w:w="1843" w:type="dxa"/>
            <w:vAlign w:val="center"/>
          </w:tcPr>
          <w:p w14:paraId="1ECAEB1F">
            <w:pPr>
              <w:jc w:val="center"/>
              <w:rPr>
                <w:rFonts w:ascii="Arial" w:hAnsi="Arial" w:cs="Arial"/>
                <w:b/>
                <w:bCs/>
                <w:color w:val="FF0000"/>
                <w:sz w:val="18"/>
                <w:szCs w:val="18"/>
                <w:highlight w:val="none"/>
              </w:rPr>
            </w:pPr>
            <w:r>
              <w:rPr>
                <w:rFonts w:hint="eastAsia" w:cs="Arial" w:asciiTheme="minorEastAsia" w:hAnsiTheme="minorEastAsia"/>
                <w:b/>
                <w:bCs/>
                <w:color w:val="FF0000"/>
                <w:sz w:val="18"/>
                <w:szCs w:val="18"/>
                <w:highlight w:val="none"/>
              </w:rPr>
              <w:t>三级因子</w:t>
            </w:r>
          </w:p>
        </w:tc>
        <w:tc>
          <w:tcPr>
            <w:tcW w:w="1145" w:type="dxa"/>
            <w:vAlign w:val="center"/>
          </w:tcPr>
          <w:p w14:paraId="21423905">
            <w:pPr>
              <w:jc w:val="center"/>
              <w:rPr>
                <w:rFonts w:ascii="Arial" w:hAnsi="Arial" w:cs="Arial"/>
                <w:b/>
                <w:bCs/>
                <w:color w:val="FF0000"/>
                <w:sz w:val="18"/>
                <w:szCs w:val="18"/>
                <w:highlight w:val="none"/>
              </w:rPr>
            </w:pPr>
            <w:r>
              <w:rPr>
                <w:rFonts w:hint="eastAsia" w:cs="Arial" w:asciiTheme="minorEastAsia" w:hAnsiTheme="minorEastAsia"/>
                <w:b/>
                <w:bCs/>
                <w:color w:val="FF0000"/>
                <w:sz w:val="18"/>
                <w:szCs w:val="18"/>
                <w:highlight w:val="none"/>
              </w:rPr>
              <w:t>说明</w:t>
            </w:r>
          </w:p>
        </w:tc>
        <w:tc>
          <w:tcPr>
            <w:tcW w:w="4950" w:type="dxa"/>
            <w:vAlign w:val="center"/>
          </w:tcPr>
          <w:p w14:paraId="58144B04">
            <w:pPr>
              <w:jc w:val="center"/>
              <w:rPr>
                <w:rFonts w:ascii="宋体" w:hAnsi="宋体" w:cs="Arial"/>
                <w:b/>
                <w:bCs/>
                <w:color w:val="FF0000"/>
                <w:sz w:val="18"/>
                <w:szCs w:val="18"/>
                <w:highlight w:val="none"/>
              </w:rPr>
            </w:pPr>
            <w:r>
              <w:rPr>
                <w:rFonts w:hint="eastAsia" w:cs="Arial"/>
                <w:b/>
                <w:bCs/>
                <w:color w:val="FF0000"/>
                <w:sz w:val="18"/>
                <w:szCs w:val="18"/>
                <w:highlight w:val="none"/>
              </w:rPr>
              <w:t>因子定义</w:t>
            </w:r>
          </w:p>
        </w:tc>
      </w:tr>
      <w:tr w14:paraId="002B538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restart"/>
            <w:vAlign w:val="center"/>
          </w:tcPr>
          <w:p w14:paraId="1A5C41C1">
            <w:pPr>
              <w:jc w:val="center"/>
              <w:rPr>
                <w:rFonts w:ascii="楷体" w:hAnsi="楷体" w:eastAsia="楷体"/>
                <w:sz w:val="18"/>
                <w:szCs w:val="18"/>
                <w:highlight w:val="none"/>
              </w:rPr>
            </w:pPr>
            <w:r>
              <w:rPr>
                <w:rFonts w:hint="eastAsia" w:ascii="楷体" w:hAnsi="楷体" w:eastAsia="楷体"/>
                <w:sz w:val="18"/>
                <w:szCs w:val="18"/>
                <w:highlight w:val="none"/>
              </w:rPr>
              <w:t>Size</w:t>
            </w:r>
          </w:p>
        </w:tc>
        <w:tc>
          <w:tcPr>
            <w:tcW w:w="1276" w:type="dxa"/>
            <w:vAlign w:val="center"/>
          </w:tcPr>
          <w:p w14:paraId="47F4387C">
            <w:pPr>
              <w:jc w:val="center"/>
              <w:rPr>
                <w:rFonts w:ascii="楷体" w:hAnsi="楷体" w:eastAsia="楷体"/>
                <w:sz w:val="18"/>
                <w:szCs w:val="18"/>
                <w:highlight w:val="none"/>
              </w:rPr>
            </w:pPr>
            <w:r>
              <w:rPr>
                <w:rFonts w:hint="eastAsia" w:ascii="楷体" w:hAnsi="楷体" w:eastAsia="楷体"/>
                <w:sz w:val="18"/>
                <w:szCs w:val="18"/>
                <w:highlight w:val="none"/>
              </w:rPr>
              <w:t>Size</w:t>
            </w:r>
          </w:p>
        </w:tc>
        <w:tc>
          <w:tcPr>
            <w:tcW w:w="1843" w:type="dxa"/>
            <w:vAlign w:val="center"/>
          </w:tcPr>
          <w:p w14:paraId="40DF7504">
            <w:pPr>
              <w:jc w:val="center"/>
              <w:rPr>
                <w:rFonts w:ascii="楷体" w:hAnsi="楷体" w:eastAsia="楷体"/>
                <w:sz w:val="18"/>
                <w:szCs w:val="18"/>
                <w:highlight w:val="none"/>
              </w:rPr>
            </w:pPr>
            <w:r>
              <w:rPr>
                <w:rFonts w:hint="eastAsia" w:ascii="楷体" w:hAnsi="楷体" w:eastAsia="楷体"/>
                <w:sz w:val="18"/>
                <w:szCs w:val="18"/>
                <w:highlight w:val="none"/>
              </w:rPr>
              <w:t>L</w:t>
            </w:r>
            <w:r>
              <w:rPr>
                <w:rFonts w:ascii="楷体" w:hAnsi="楷体" w:eastAsia="楷体"/>
                <w:sz w:val="18"/>
                <w:szCs w:val="18"/>
                <w:highlight w:val="none"/>
              </w:rPr>
              <w:t>NCAP</w:t>
            </w:r>
          </w:p>
        </w:tc>
        <w:tc>
          <w:tcPr>
            <w:tcW w:w="1145" w:type="dxa"/>
            <w:vAlign w:val="center"/>
          </w:tcPr>
          <w:p w14:paraId="5849521A">
            <w:pPr>
              <w:jc w:val="center"/>
              <w:rPr>
                <w:rFonts w:ascii="楷体" w:hAnsi="楷体" w:eastAsia="楷体"/>
                <w:sz w:val="18"/>
                <w:szCs w:val="18"/>
                <w:highlight w:val="none"/>
              </w:rPr>
            </w:pPr>
            <w:r>
              <w:rPr>
                <w:rFonts w:hint="eastAsia" w:ascii="楷体" w:hAnsi="楷体" w:eastAsia="楷体"/>
                <w:sz w:val="18"/>
                <w:szCs w:val="18"/>
                <w:highlight w:val="none"/>
              </w:rPr>
              <w:t>规模</w:t>
            </w:r>
          </w:p>
        </w:tc>
        <w:tc>
          <w:tcPr>
            <w:tcW w:w="4950" w:type="dxa"/>
            <w:vAlign w:val="center"/>
          </w:tcPr>
          <w:p w14:paraId="63403F56">
            <w:pPr>
              <w:rPr>
                <w:rFonts w:ascii="楷体" w:hAnsi="楷体" w:eastAsia="楷体"/>
                <w:sz w:val="18"/>
                <w:szCs w:val="18"/>
                <w:highlight w:val="none"/>
              </w:rPr>
            </w:pPr>
            <w:r>
              <w:rPr>
                <w:rFonts w:hint="eastAsia" w:ascii="楷体" w:hAnsi="楷体" w:eastAsia="楷体"/>
                <w:sz w:val="18"/>
                <w:szCs w:val="18"/>
                <w:highlight w:val="none"/>
              </w:rPr>
              <w:t>流通市值的自然对数</w:t>
            </w:r>
          </w:p>
        </w:tc>
      </w:tr>
      <w:tr w14:paraId="1717BA1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72EDECAE">
            <w:pPr>
              <w:jc w:val="center"/>
              <w:rPr>
                <w:rFonts w:ascii="楷体" w:hAnsi="楷体" w:eastAsia="楷体"/>
                <w:sz w:val="18"/>
                <w:szCs w:val="18"/>
                <w:highlight w:val="none"/>
              </w:rPr>
            </w:pPr>
          </w:p>
        </w:tc>
        <w:tc>
          <w:tcPr>
            <w:tcW w:w="1276" w:type="dxa"/>
            <w:vAlign w:val="center"/>
          </w:tcPr>
          <w:p w14:paraId="1A848656">
            <w:pPr>
              <w:jc w:val="center"/>
              <w:rPr>
                <w:rFonts w:ascii="楷体" w:hAnsi="楷体" w:eastAsia="楷体"/>
                <w:sz w:val="18"/>
                <w:szCs w:val="18"/>
                <w:highlight w:val="none"/>
              </w:rPr>
            </w:pPr>
            <w:r>
              <w:rPr>
                <w:rFonts w:hint="eastAsia" w:ascii="楷体" w:hAnsi="楷体" w:eastAsia="楷体"/>
                <w:sz w:val="18"/>
                <w:szCs w:val="18"/>
                <w:highlight w:val="none"/>
              </w:rPr>
              <w:t>Mid</w:t>
            </w:r>
            <w:r>
              <w:rPr>
                <w:rFonts w:ascii="楷体" w:hAnsi="楷体" w:eastAsia="楷体"/>
                <w:sz w:val="18"/>
                <w:szCs w:val="18"/>
                <w:highlight w:val="none"/>
              </w:rPr>
              <w:t xml:space="preserve"> </w:t>
            </w:r>
            <w:r>
              <w:rPr>
                <w:rFonts w:hint="eastAsia" w:ascii="楷体" w:hAnsi="楷体" w:eastAsia="楷体"/>
                <w:sz w:val="18"/>
                <w:szCs w:val="18"/>
                <w:highlight w:val="none"/>
              </w:rPr>
              <w:t>cap</w:t>
            </w:r>
          </w:p>
        </w:tc>
        <w:tc>
          <w:tcPr>
            <w:tcW w:w="1843" w:type="dxa"/>
            <w:vAlign w:val="center"/>
          </w:tcPr>
          <w:p w14:paraId="10954757">
            <w:pPr>
              <w:jc w:val="center"/>
              <w:rPr>
                <w:rFonts w:ascii="楷体" w:hAnsi="楷体" w:eastAsia="楷体"/>
                <w:sz w:val="18"/>
                <w:szCs w:val="18"/>
                <w:highlight w:val="none"/>
              </w:rPr>
            </w:pPr>
            <w:r>
              <w:rPr>
                <w:rFonts w:hint="eastAsia" w:ascii="楷体" w:hAnsi="楷体" w:eastAsia="楷体"/>
                <w:sz w:val="18"/>
                <w:szCs w:val="18"/>
                <w:highlight w:val="none"/>
              </w:rPr>
              <w:t>M</w:t>
            </w:r>
            <w:r>
              <w:rPr>
                <w:rFonts w:ascii="楷体" w:hAnsi="楷体" w:eastAsia="楷体"/>
                <w:sz w:val="18"/>
                <w:szCs w:val="18"/>
                <w:highlight w:val="none"/>
              </w:rPr>
              <w:t>IDCAP</w:t>
            </w:r>
          </w:p>
        </w:tc>
        <w:tc>
          <w:tcPr>
            <w:tcW w:w="1145" w:type="dxa"/>
            <w:vAlign w:val="center"/>
          </w:tcPr>
          <w:p w14:paraId="2B2FDFF6">
            <w:pPr>
              <w:jc w:val="center"/>
              <w:rPr>
                <w:rFonts w:ascii="楷体" w:hAnsi="楷体" w:eastAsia="楷体"/>
                <w:sz w:val="18"/>
                <w:szCs w:val="18"/>
                <w:highlight w:val="none"/>
              </w:rPr>
            </w:pPr>
            <w:r>
              <w:rPr>
                <w:rFonts w:hint="eastAsia" w:ascii="楷体" w:hAnsi="楷体" w:eastAsia="楷体"/>
                <w:sz w:val="18"/>
                <w:szCs w:val="18"/>
                <w:highlight w:val="none"/>
              </w:rPr>
              <w:t>中市值</w:t>
            </w:r>
          </w:p>
        </w:tc>
        <w:tc>
          <w:tcPr>
            <w:tcW w:w="4950" w:type="dxa"/>
            <w:vAlign w:val="center"/>
          </w:tcPr>
          <w:p w14:paraId="266FE0E4">
            <w:pPr>
              <w:rPr>
                <w:rFonts w:ascii="楷体" w:hAnsi="楷体" w:eastAsia="楷体"/>
                <w:sz w:val="18"/>
                <w:szCs w:val="18"/>
                <w:highlight w:val="none"/>
              </w:rPr>
            </w:pPr>
            <w:r>
              <w:rPr>
                <w:rFonts w:hint="eastAsia" w:ascii="楷体" w:hAnsi="楷体" w:eastAsia="楷体"/>
                <w:sz w:val="18"/>
                <w:szCs w:val="18"/>
                <w:highlight w:val="none"/>
              </w:rPr>
              <w:t>首先取Size因子暴露的立方，然后以加权回归的方式对Size因子正交，最后进行去极值和标准化处理</w:t>
            </w:r>
          </w:p>
        </w:tc>
      </w:tr>
      <w:tr w14:paraId="770FE01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restart"/>
            <w:vAlign w:val="center"/>
          </w:tcPr>
          <w:p w14:paraId="57714673">
            <w:pPr>
              <w:jc w:val="center"/>
              <w:rPr>
                <w:rFonts w:ascii="楷体" w:hAnsi="楷体" w:eastAsia="楷体"/>
                <w:sz w:val="18"/>
                <w:szCs w:val="18"/>
                <w:highlight w:val="none"/>
              </w:rPr>
            </w:pPr>
            <w:r>
              <w:rPr>
                <w:rFonts w:ascii="楷体" w:hAnsi="楷体" w:eastAsia="楷体"/>
                <w:sz w:val="18"/>
                <w:szCs w:val="18"/>
                <w:highlight w:val="none"/>
              </w:rPr>
              <w:t>Volatility</w:t>
            </w:r>
          </w:p>
        </w:tc>
        <w:tc>
          <w:tcPr>
            <w:tcW w:w="1276" w:type="dxa"/>
            <w:vAlign w:val="center"/>
          </w:tcPr>
          <w:p w14:paraId="7CF12C66">
            <w:pPr>
              <w:jc w:val="center"/>
              <w:rPr>
                <w:rFonts w:ascii="楷体" w:hAnsi="楷体" w:eastAsia="楷体"/>
                <w:sz w:val="18"/>
                <w:szCs w:val="18"/>
                <w:highlight w:val="none"/>
              </w:rPr>
            </w:pPr>
            <w:r>
              <w:rPr>
                <w:rFonts w:hint="eastAsia" w:ascii="楷体" w:hAnsi="楷体" w:eastAsia="楷体"/>
                <w:sz w:val="18"/>
                <w:szCs w:val="18"/>
                <w:highlight w:val="none"/>
              </w:rPr>
              <w:t>B</w:t>
            </w:r>
            <w:r>
              <w:rPr>
                <w:rFonts w:ascii="楷体" w:hAnsi="楷体" w:eastAsia="楷体"/>
                <w:sz w:val="18"/>
                <w:szCs w:val="18"/>
                <w:highlight w:val="none"/>
              </w:rPr>
              <w:t>eta</w:t>
            </w:r>
          </w:p>
        </w:tc>
        <w:tc>
          <w:tcPr>
            <w:tcW w:w="1843" w:type="dxa"/>
            <w:vAlign w:val="center"/>
          </w:tcPr>
          <w:p w14:paraId="32567FAF">
            <w:pPr>
              <w:jc w:val="center"/>
              <w:rPr>
                <w:rFonts w:ascii="楷体" w:hAnsi="楷体" w:eastAsia="楷体"/>
                <w:sz w:val="18"/>
                <w:szCs w:val="18"/>
                <w:highlight w:val="none"/>
              </w:rPr>
            </w:pPr>
            <w:r>
              <w:rPr>
                <w:rFonts w:hint="eastAsia" w:ascii="楷体" w:hAnsi="楷体" w:eastAsia="楷体"/>
                <w:sz w:val="18"/>
                <w:szCs w:val="18"/>
                <w:highlight w:val="none"/>
              </w:rPr>
              <w:t>B</w:t>
            </w:r>
            <w:r>
              <w:rPr>
                <w:rFonts w:ascii="楷体" w:hAnsi="楷体" w:eastAsia="楷体"/>
                <w:sz w:val="18"/>
                <w:szCs w:val="18"/>
                <w:highlight w:val="none"/>
              </w:rPr>
              <w:t>ETA</w:t>
            </w:r>
          </w:p>
        </w:tc>
        <w:tc>
          <w:tcPr>
            <w:tcW w:w="1145" w:type="dxa"/>
            <w:vAlign w:val="center"/>
          </w:tcPr>
          <w:p w14:paraId="307E5226">
            <w:pPr>
              <w:jc w:val="center"/>
              <w:rPr>
                <w:rFonts w:ascii="楷体" w:hAnsi="楷体" w:eastAsia="楷体"/>
                <w:sz w:val="18"/>
                <w:szCs w:val="18"/>
                <w:highlight w:val="none"/>
              </w:rPr>
            </w:pPr>
            <w:r>
              <w:rPr>
                <w:rFonts w:hint="eastAsia" w:ascii="楷体" w:hAnsi="楷体" w:eastAsia="楷体"/>
                <w:sz w:val="18"/>
                <w:szCs w:val="18"/>
                <w:highlight w:val="none"/>
              </w:rPr>
              <w:t>贝塔</w:t>
            </w:r>
          </w:p>
        </w:tc>
        <w:tc>
          <w:tcPr>
            <w:tcW w:w="4950" w:type="dxa"/>
            <w:vAlign w:val="center"/>
          </w:tcPr>
          <w:p w14:paraId="620ED021">
            <w:pPr>
              <w:rPr>
                <w:rFonts w:ascii="楷体" w:hAnsi="楷体" w:eastAsia="楷体"/>
                <w:sz w:val="18"/>
                <w:szCs w:val="18"/>
                <w:highlight w:val="none"/>
              </w:rPr>
            </w:pPr>
            <w:r>
              <w:rPr>
                <w:rFonts w:hint="eastAsia" w:ascii="楷体" w:hAnsi="楷体" w:eastAsia="楷体"/>
                <w:sz w:val="18"/>
                <w:szCs w:val="18"/>
                <w:highlight w:val="none"/>
              </w:rPr>
              <w:t>股票收益率</w:t>
            </w:r>
            <m:oMath>
              <m:sSub>
                <m:sSubPr>
                  <m:ctrlPr>
                    <w:rPr>
                      <w:rFonts w:ascii="Cambria Math" w:hAnsi="Cambria Math" w:eastAsia="楷体"/>
                      <w:sz w:val="18"/>
                      <w:szCs w:val="18"/>
                      <w:highlight w:val="none"/>
                    </w:rPr>
                  </m:ctrlPr>
                </m:sSubPr>
                <m:e>
                  <m:r>
                    <m:rPr/>
                    <w:rPr>
                      <w:rFonts w:hint="eastAsia" w:ascii="Cambria Math" w:hAnsi="Cambria Math" w:eastAsia="楷体"/>
                      <w:sz w:val="18"/>
                      <w:szCs w:val="18"/>
                      <w:highlight w:val="none"/>
                    </w:rPr>
                    <m:t>r</m:t>
                  </m:r>
                  <m:ctrlPr>
                    <w:rPr>
                      <w:rFonts w:ascii="Cambria Math" w:hAnsi="Cambria Math" w:eastAsia="楷体"/>
                      <w:sz w:val="18"/>
                      <w:szCs w:val="18"/>
                      <w:highlight w:val="none"/>
                    </w:rPr>
                  </m:ctrlPr>
                </m:e>
                <m:sub>
                  <m:r>
                    <m:rPr/>
                    <w:rPr>
                      <w:rFonts w:ascii="Cambria Math" w:hAnsi="Cambria Math" w:eastAsia="楷体"/>
                      <w:sz w:val="18"/>
                      <w:szCs w:val="18"/>
                      <w:highlight w:val="none"/>
                    </w:rPr>
                    <m:t>t</m:t>
                  </m:r>
                  <m:ctrlPr>
                    <w:rPr>
                      <w:rFonts w:ascii="Cambria Math" w:hAnsi="Cambria Math" w:eastAsia="楷体"/>
                      <w:sz w:val="18"/>
                      <w:szCs w:val="18"/>
                      <w:highlight w:val="none"/>
                    </w:rPr>
                  </m:ctrlPr>
                </m:sub>
              </m:sSub>
            </m:oMath>
            <w:r>
              <w:rPr>
                <w:rFonts w:hint="eastAsia" w:ascii="楷体" w:hAnsi="楷体" w:eastAsia="楷体"/>
                <w:sz w:val="18"/>
                <w:szCs w:val="18"/>
                <w:highlight w:val="none"/>
              </w:rPr>
              <w:t>对沪深300收益率</w:t>
            </w:r>
            <m:oMath>
              <m:sSub>
                <m:sSubPr>
                  <m:ctrlPr>
                    <w:rPr>
                      <w:rFonts w:ascii="Cambria Math" w:hAnsi="Cambria Math" w:eastAsia="楷体"/>
                      <w:sz w:val="18"/>
                      <w:szCs w:val="18"/>
                      <w:highlight w:val="none"/>
                    </w:rPr>
                  </m:ctrlPr>
                </m:sSubPr>
                <m:e>
                  <m:r>
                    <m:rPr/>
                    <w:rPr>
                      <w:rFonts w:hint="eastAsia" w:ascii="Cambria Math" w:hAnsi="Cambria Math" w:eastAsia="楷体"/>
                      <w:sz w:val="18"/>
                      <w:szCs w:val="18"/>
                      <w:highlight w:val="none"/>
                    </w:rPr>
                    <m:t>R</m:t>
                  </m:r>
                  <m:ctrlPr>
                    <w:rPr>
                      <w:rFonts w:ascii="Cambria Math" w:hAnsi="Cambria Math" w:eastAsia="楷体"/>
                      <w:sz w:val="18"/>
                      <w:szCs w:val="18"/>
                      <w:highlight w:val="none"/>
                    </w:rPr>
                  </m:ctrlPr>
                </m:e>
                <m:sub>
                  <m:r>
                    <m:rPr/>
                    <w:rPr>
                      <w:rFonts w:ascii="Cambria Math" w:hAnsi="Cambria Math" w:eastAsia="楷体"/>
                      <w:sz w:val="18"/>
                      <w:szCs w:val="18"/>
                      <w:highlight w:val="none"/>
                    </w:rPr>
                    <m:t>t</m:t>
                  </m:r>
                  <m:ctrlPr>
                    <w:rPr>
                      <w:rFonts w:ascii="Cambria Math" w:hAnsi="Cambria Math" w:eastAsia="楷体"/>
                      <w:sz w:val="18"/>
                      <w:szCs w:val="18"/>
                      <w:highlight w:val="none"/>
                    </w:rPr>
                  </m:ctrlPr>
                </m:sub>
              </m:sSub>
            </m:oMath>
            <w:r>
              <w:rPr>
                <w:rFonts w:hint="eastAsia" w:hAnsi="Cambria Math" w:eastAsia="楷体"/>
                <w:i w:val="0"/>
                <w:sz w:val="18"/>
                <w:szCs w:val="18"/>
                <w:highlight w:val="none"/>
                <w:lang w:val="en-US" w:eastAsia="zh-CN"/>
              </w:rPr>
              <w:t>加权</w:t>
            </w:r>
            <w:r>
              <w:rPr>
                <w:rFonts w:hint="eastAsia" w:ascii="楷体" w:hAnsi="楷体" w:eastAsia="楷体"/>
                <w:sz w:val="18"/>
                <w:szCs w:val="18"/>
                <w:highlight w:val="none"/>
              </w:rPr>
              <w:t>回归，取回归系数，回归时间窗口为252个交易日，半衰期63个交易日</w:t>
            </w:r>
          </w:p>
          <w:p w14:paraId="6A8C3424">
            <w:pPr>
              <w:rPr>
                <w:rFonts w:ascii="楷体" w:hAnsi="楷体" w:eastAsia="楷体"/>
                <w:sz w:val="18"/>
                <w:szCs w:val="18"/>
                <w:highlight w:val="none"/>
              </w:rPr>
            </w:pPr>
            <m:oMathPara>
              <m:oMath>
                <m:sSub>
                  <m:sSubPr>
                    <m:ctrlPr>
                      <w:rPr>
                        <w:rFonts w:ascii="Cambria Math" w:hAnsi="Cambria Math" w:eastAsia="楷体"/>
                        <w:sz w:val="18"/>
                        <w:szCs w:val="18"/>
                        <w:highlight w:val="none"/>
                      </w:rPr>
                    </m:ctrlPr>
                  </m:sSubPr>
                  <m:e>
                    <m:r>
                      <m:rPr/>
                      <w:rPr>
                        <w:rFonts w:hint="eastAsia" w:ascii="Cambria Math" w:hAnsi="Cambria Math" w:eastAsia="楷体"/>
                        <w:sz w:val="18"/>
                        <w:szCs w:val="18"/>
                        <w:highlight w:val="none"/>
                      </w:rPr>
                      <m:t>r</m:t>
                    </m:r>
                    <m:ctrlPr>
                      <w:rPr>
                        <w:rFonts w:ascii="Cambria Math" w:hAnsi="Cambria Math" w:eastAsia="楷体"/>
                        <w:sz w:val="18"/>
                        <w:szCs w:val="18"/>
                        <w:highlight w:val="none"/>
                      </w:rPr>
                    </m:ctrlPr>
                  </m:e>
                  <m:sub>
                    <m:r>
                      <m:rPr/>
                      <w:rPr>
                        <w:rFonts w:ascii="Cambria Math" w:hAnsi="Cambria Math" w:eastAsia="楷体"/>
                        <w:sz w:val="18"/>
                        <w:szCs w:val="18"/>
                        <w:highlight w:val="none"/>
                      </w:rPr>
                      <m:t>t</m:t>
                    </m:r>
                    <m:ctrlPr>
                      <w:rPr>
                        <w:rFonts w:ascii="Cambria Math" w:hAnsi="Cambria Math" w:eastAsia="楷体"/>
                        <w:sz w:val="18"/>
                        <w:szCs w:val="18"/>
                        <w:highlight w:val="none"/>
                      </w:rPr>
                    </m:ctrlPr>
                  </m:sub>
                </m:sSub>
                <m:r>
                  <m:rPr/>
                  <w:rPr>
                    <w:rFonts w:hint="eastAsia" w:ascii="Cambria Math" w:hAnsi="Cambria Math" w:eastAsia="楷体"/>
                    <w:sz w:val="18"/>
                    <w:szCs w:val="18"/>
                    <w:highlight w:val="none"/>
                  </w:rPr>
                  <m:t>=</m:t>
                </m:r>
                <m:r>
                  <m:rPr/>
                  <w:rPr>
                    <w:rFonts w:ascii="Cambria Math" w:hAnsi="Cambria Math" w:eastAsia="楷体"/>
                    <w:sz w:val="18"/>
                    <w:szCs w:val="18"/>
                    <w:highlight w:val="none"/>
                  </w:rPr>
                  <m:t>α+β</m:t>
                </m:r>
                <m:sSub>
                  <m:sSubPr>
                    <m:ctrlPr>
                      <w:rPr>
                        <w:rFonts w:ascii="Cambria Math" w:hAnsi="Cambria Math" w:eastAsia="楷体"/>
                        <w:sz w:val="18"/>
                        <w:szCs w:val="18"/>
                        <w:highlight w:val="none"/>
                      </w:rPr>
                    </m:ctrlPr>
                  </m:sSubPr>
                  <m:e>
                    <m:r>
                      <m:rPr/>
                      <w:rPr>
                        <w:rFonts w:hint="eastAsia" w:ascii="Cambria Math" w:hAnsi="Cambria Math" w:eastAsia="楷体"/>
                        <w:sz w:val="18"/>
                        <w:szCs w:val="18"/>
                        <w:highlight w:val="none"/>
                      </w:rPr>
                      <m:t>R</m:t>
                    </m:r>
                    <m:ctrlPr>
                      <w:rPr>
                        <w:rFonts w:ascii="Cambria Math" w:hAnsi="Cambria Math" w:eastAsia="楷体"/>
                        <w:sz w:val="18"/>
                        <w:szCs w:val="18"/>
                        <w:highlight w:val="none"/>
                      </w:rPr>
                    </m:ctrlPr>
                  </m:e>
                  <m:sub>
                    <m:r>
                      <m:rPr/>
                      <w:rPr>
                        <w:rFonts w:ascii="Cambria Math" w:hAnsi="Cambria Math" w:eastAsia="楷体"/>
                        <w:sz w:val="18"/>
                        <w:szCs w:val="18"/>
                        <w:highlight w:val="none"/>
                      </w:rPr>
                      <m:t>t</m:t>
                    </m:r>
                    <m:ctrlPr>
                      <w:rPr>
                        <w:rFonts w:ascii="Cambria Math" w:hAnsi="Cambria Math" w:eastAsia="楷体"/>
                        <w:sz w:val="18"/>
                        <w:szCs w:val="18"/>
                        <w:highlight w:val="none"/>
                      </w:rPr>
                    </m:ctrlPr>
                  </m:sub>
                </m:sSub>
                <m:r>
                  <m:rPr/>
                  <w:rPr>
                    <w:rFonts w:ascii="Cambria Math" w:hAnsi="Cambria Math" w:eastAsia="楷体"/>
                    <w:sz w:val="18"/>
                    <w:szCs w:val="18"/>
                    <w:highlight w:val="none"/>
                  </w:rPr>
                  <m:t>+</m:t>
                </m:r>
                <m:sSub>
                  <m:sSubPr>
                    <m:ctrlPr>
                      <w:rPr>
                        <w:rFonts w:ascii="Cambria Math" w:hAnsi="Cambria Math" w:eastAsia="楷体"/>
                        <w:sz w:val="18"/>
                        <w:szCs w:val="18"/>
                        <w:highlight w:val="none"/>
                      </w:rPr>
                    </m:ctrlPr>
                  </m:sSubPr>
                  <m:e>
                    <m:r>
                      <m:rPr/>
                      <w:rPr>
                        <w:rFonts w:ascii="Cambria Math" w:hAnsi="Cambria Math" w:eastAsia="楷体"/>
                        <w:sz w:val="18"/>
                        <w:szCs w:val="18"/>
                        <w:highlight w:val="none"/>
                      </w:rPr>
                      <m:t>e</m:t>
                    </m:r>
                    <m:ctrlPr>
                      <w:rPr>
                        <w:rFonts w:ascii="Cambria Math" w:hAnsi="Cambria Math" w:eastAsia="楷体"/>
                        <w:sz w:val="18"/>
                        <w:szCs w:val="18"/>
                        <w:highlight w:val="none"/>
                      </w:rPr>
                    </m:ctrlPr>
                  </m:e>
                  <m:sub>
                    <m:r>
                      <m:rPr/>
                      <w:rPr>
                        <w:rFonts w:ascii="Cambria Math" w:hAnsi="Cambria Math" w:eastAsia="楷体"/>
                        <w:sz w:val="18"/>
                        <w:szCs w:val="18"/>
                        <w:highlight w:val="none"/>
                      </w:rPr>
                      <m:t>t</m:t>
                    </m:r>
                    <m:ctrlPr>
                      <w:rPr>
                        <w:rFonts w:ascii="Cambria Math" w:hAnsi="Cambria Math" w:eastAsia="楷体"/>
                        <w:sz w:val="18"/>
                        <w:szCs w:val="18"/>
                        <w:highlight w:val="none"/>
                      </w:rPr>
                    </m:ctrlPr>
                  </m:sub>
                </m:sSub>
              </m:oMath>
            </m:oMathPara>
          </w:p>
        </w:tc>
      </w:tr>
      <w:tr w14:paraId="5D8FC8E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15503B5F">
            <w:pPr>
              <w:jc w:val="center"/>
              <w:rPr>
                <w:rFonts w:ascii="楷体" w:hAnsi="楷体" w:eastAsia="楷体"/>
                <w:sz w:val="18"/>
                <w:szCs w:val="18"/>
                <w:highlight w:val="none"/>
              </w:rPr>
            </w:pPr>
          </w:p>
        </w:tc>
        <w:tc>
          <w:tcPr>
            <w:tcW w:w="1276" w:type="dxa"/>
            <w:vMerge w:val="restart"/>
            <w:vAlign w:val="center"/>
          </w:tcPr>
          <w:p w14:paraId="63C25788">
            <w:pPr>
              <w:jc w:val="center"/>
              <w:rPr>
                <w:rFonts w:ascii="楷体" w:hAnsi="楷体" w:eastAsia="楷体"/>
                <w:sz w:val="18"/>
                <w:szCs w:val="18"/>
                <w:highlight w:val="none"/>
              </w:rPr>
            </w:pPr>
            <w:r>
              <w:rPr>
                <w:rFonts w:ascii="楷体" w:hAnsi="楷体" w:eastAsia="楷体"/>
                <w:sz w:val="18"/>
                <w:szCs w:val="18"/>
                <w:highlight w:val="none"/>
              </w:rPr>
              <w:t>Residual</w:t>
            </w:r>
          </w:p>
          <w:p w14:paraId="36052662">
            <w:pPr>
              <w:jc w:val="center"/>
              <w:rPr>
                <w:rFonts w:ascii="楷体" w:hAnsi="楷体" w:eastAsia="楷体"/>
                <w:sz w:val="18"/>
                <w:szCs w:val="18"/>
                <w:highlight w:val="none"/>
              </w:rPr>
            </w:pPr>
            <w:r>
              <w:rPr>
                <w:rFonts w:ascii="楷体" w:hAnsi="楷体" w:eastAsia="楷体"/>
                <w:sz w:val="18"/>
                <w:szCs w:val="18"/>
                <w:highlight w:val="none"/>
              </w:rPr>
              <w:t>Volatility</w:t>
            </w:r>
          </w:p>
        </w:tc>
        <w:tc>
          <w:tcPr>
            <w:tcW w:w="1843" w:type="dxa"/>
            <w:vAlign w:val="center"/>
          </w:tcPr>
          <w:p w14:paraId="0BC99FD3">
            <w:pPr>
              <w:jc w:val="center"/>
              <w:rPr>
                <w:rFonts w:ascii="楷体" w:hAnsi="楷体" w:eastAsia="楷体"/>
                <w:sz w:val="18"/>
                <w:szCs w:val="18"/>
                <w:highlight w:val="none"/>
              </w:rPr>
            </w:pPr>
            <w:r>
              <w:rPr>
                <w:rFonts w:ascii="楷体" w:hAnsi="楷体" w:eastAsia="楷体"/>
                <w:sz w:val="18"/>
                <w:szCs w:val="18"/>
                <w:highlight w:val="none"/>
              </w:rPr>
              <w:t>Hist sigma</w:t>
            </w:r>
          </w:p>
        </w:tc>
        <w:tc>
          <w:tcPr>
            <w:tcW w:w="1145" w:type="dxa"/>
            <w:vAlign w:val="center"/>
          </w:tcPr>
          <w:p w14:paraId="4C574FD9">
            <w:pPr>
              <w:widowControl/>
              <w:jc w:val="center"/>
              <w:rPr>
                <w:rFonts w:ascii="楷体" w:hAnsi="楷体" w:eastAsia="楷体"/>
                <w:sz w:val="18"/>
                <w:szCs w:val="18"/>
                <w:highlight w:val="none"/>
              </w:rPr>
            </w:pPr>
            <w:r>
              <w:rPr>
                <w:rFonts w:hint="eastAsia" w:ascii="楷体" w:hAnsi="楷体" w:eastAsia="楷体"/>
                <w:sz w:val="18"/>
                <w:szCs w:val="18"/>
                <w:highlight w:val="none"/>
              </w:rPr>
              <w:t>历史sigma</w:t>
            </w:r>
          </w:p>
        </w:tc>
        <w:tc>
          <w:tcPr>
            <w:tcW w:w="4950" w:type="dxa"/>
            <w:vAlign w:val="center"/>
          </w:tcPr>
          <w:p w14:paraId="282C2BCA">
            <w:pPr>
              <w:rPr>
                <w:rFonts w:ascii="楷体" w:hAnsi="楷体" w:eastAsia="楷体"/>
                <w:sz w:val="18"/>
                <w:szCs w:val="18"/>
                <w:highlight w:val="none"/>
              </w:rPr>
            </w:pPr>
            <w:r>
              <w:rPr>
                <w:rFonts w:hint="eastAsia" w:ascii="楷体" w:hAnsi="楷体" w:eastAsia="楷体"/>
                <w:sz w:val="18"/>
                <w:szCs w:val="18"/>
                <w:highlight w:val="none"/>
              </w:rPr>
              <w:t>在计算BETA所进行的回归中，取回归残差的波动率</w:t>
            </w:r>
          </w:p>
        </w:tc>
      </w:tr>
      <w:tr w14:paraId="7521435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21E3EFEF">
            <w:pPr>
              <w:jc w:val="center"/>
              <w:rPr>
                <w:rFonts w:ascii="楷体" w:hAnsi="楷体" w:eastAsia="楷体"/>
                <w:sz w:val="18"/>
                <w:szCs w:val="18"/>
                <w:highlight w:val="none"/>
              </w:rPr>
            </w:pPr>
          </w:p>
        </w:tc>
        <w:tc>
          <w:tcPr>
            <w:tcW w:w="1276" w:type="dxa"/>
            <w:vMerge w:val="continue"/>
            <w:vAlign w:val="center"/>
          </w:tcPr>
          <w:p w14:paraId="06114CB6">
            <w:pPr>
              <w:jc w:val="center"/>
              <w:rPr>
                <w:rFonts w:ascii="楷体" w:hAnsi="楷体" w:eastAsia="楷体"/>
                <w:sz w:val="18"/>
                <w:szCs w:val="18"/>
                <w:highlight w:val="none"/>
              </w:rPr>
            </w:pPr>
          </w:p>
        </w:tc>
        <w:tc>
          <w:tcPr>
            <w:tcW w:w="1843" w:type="dxa"/>
            <w:vAlign w:val="center"/>
          </w:tcPr>
          <w:p w14:paraId="4F470DCE">
            <w:pPr>
              <w:jc w:val="center"/>
              <w:rPr>
                <w:rFonts w:ascii="楷体" w:hAnsi="楷体" w:eastAsia="楷体"/>
                <w:sz w:val="18"/>
                <w:szCs w:val="18"/>
                <w:highlight w:val="none"/>
              </w:rPr>
            </w:pPr>
            <w:r>
              <w:rPr>
                <w:rFonts w:ascii="楷体" w:hAnsi="楷体" w:eastAsia="楷体"/>
                <w:sz w:val="18"/>
                <w:szCs w:val="18"/>
                <w:highlight w:val="none"/>
              </w:rPr>
              <w:t xml:space="preserve">Daily std </w:t>
            </w:r>
          </w:p>
        </w:tc>
        <w:tc>
          <w:tcPr>
            <w:tcW w:w="1145" w:type="dxa"/>
            <w:vAlign w:val="center"/>
          </w:tcPr>
          <w:p w14:paraId="1D6D5015">
            <w:pPr>
              <w:jc w:val="center"/>
              <w:rPr>
                <w:rFonts w:ascii="楷体" w:hAnsi="楷体" w:eastAsia="楷体"/>
                <w:sz w:val="18"/>
                <w:szCs w:val="18"/>
                <w:highlight w:val="none"/>
              </w:rPr>
            </w:pPr>
            <w:r>
              <w:rPr>
                <w:rFonts w:hint="eastAsia" w:ascii="楷体" w:hAnsi="楷体" w:eastAsia="楷体"/>
                <w:sz w:val="18"/>
                <w:szCs w:val="18"/>
                <w:highlight w:val="none"/>
              </w:rPr>
              <w:t>日标准差</w:t>
            </w:r>
          </w:p>
        </w:tc>
        <w:tc>
          <w:tcPr>
            <w:tcW w:w="4950" w:type="dxa"/>
            <w:vAlign w:val="center"/>
          </w:tcPr>
          <w:p w14:paraId="7F8FD9A8">
            <w:pPr>
              <w:rPr>
                <w:rFonts w:ascii="楷体" w:hAnsi="楷体" w:eastAsia="楷体"/>
                <w:sz w:val="18"/>
                <w:szCs w:val="18"/>
                <w:highlight w:val="none"/>
              </w:rPr>
            </w:pPr>
            <w:r>
              <w:rPr>
                <w:rFonts w:hint="eastAsia" w:ascii="楷体" w:hAnsi="楷体" w:eastAsia="楷体"/>
                <w:sz w:val="18"/>
                <w:szCs w:val="18"/>
                <w:highlight w:val="none"/>
              </w:rPr>
              <w:t>日收益率在过去252个交易日的波动率，半衰期42个交易日</w:t>
            </w:r>
          </w:p>
        </w:tc>
      </w:tr>
      <w:tr w14:paraId="47273D2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7685D123">
            <w:pPr>
              <w:jc w:val="center"/>
              <w:rPr>
                <w:rFonts w:ascii="楷体" w:hAnsi="楷体" w:eastAsia="楷体"/>
                <w:sz w:val="18"/>
                <w:szCs w:val="18"/>
                <w:highlight w:val="none"/>
              </w:rPr>
            </w:pPr>
          </w:p>
        </w:tc>
        <w:tc>
          <w:tcPr>
            <w:tcW w:w="1276" w:type="dxa"/>
            <w:vMerge w:val="continue"/>
            <w:vAlign w:val="center"/>
          </w:tcPr>
          <w:p w14:paraId="50A9565D">
            <w:pPr>
              <w:jc w:val="center"/>
              <w:rPr>
                <w:rFonts w:ascii="楷体" w:hAnsi="楷体" w:eastAsia="楷体"/>
                <w:sz w:val="18"/>
                <w:szCs w:val="18"/>
                <w:highlight w:val="none"/>
              </w:rPr>
            </w:pPr>
          </w:p>
        </w:tc>
        <w:tc>
          <w:tcPr>
            <w:tcW w:w="1843" w:type="dxa"/>
            <w:vAlign w:val="center"/>
          </w:tcPr>
          <w:p w14:paraId="3B660DE6">
            <w:pPr>
              <w:jc w:val="center"/>
              <w:rPr>
                <w:rFonts w:ascii="楷体" w:hAnsi="楷体" w:eastAsia="楷体"/>
                <w:sz w:val="18"/>
                <w:szCs w:val="18"/>
                <w:highlight w:val="none"/>
              </w:rPr>
            </w:pPr>
            <w:r>
              <w:rPr>
                <w:rFonts w:ascii="楷体" w:hAnsi="楷体" w:eastAsia="楷体"/>
                <w:sz w:val="18"/>
                <w:szCs w:val="18"/>
                <w:highlight w:val="none"/>
              </w:rPr>
              <w:t>Cumulative r</w:t>
            </w:r>
            <w:bookmarkStart w:id="0" w:name="_GoBack"/>
            <w:bookmarkEnd w:id="0"/>
            <w:r>
              <w:rPr>
                <w:rFonts w:ascii="楷体" w:hAnsi="楷体" w:eastAsia="楷体"/>
                <w:sz w:val="18"/>
                <w:szCs w:val="18"/>
                <w:highlight w:val="none"/>
              </w:rPr>
              <w:t>ange</w:t>
            </w:r>
          </w:p>
        </w:tc>
        <w:tc>
          <w:tcPr>
            <w:tcW w:w="1145" w:type="dxa"/>
            <w:vAlign w:val="center"/>
          </w:tcPr>
          <w:p w14:paraId="057CBB4A">
            <w:pPr>
              <w:jc w:val="center"/>
              <w:rPr>
                <w:rFonts w:ascii="楷体" w:hAnsi="楷体" w:eastAsia="楷体"/>
                <w:sz w:val="18"/>
                <w:szCs w:val="18"/>
                <w:highlight w:val="none"/>
              </w:rPr>
            </w:pPr>
            <w:r>
              <w:rPr>
                <w:rFonts w:hint="eastAsia" w:ascii="楷体" w:hAnsi="楷体" w:eastAsia="楷体"/>
                <w:sz w:val="18"/>
                <w:szCs w:val="18"/>
                <w:highlight w:val="none"/>
              </w:rPr>
              <w:t>累积收益范围</w:t>
            </w:r>
          </w:p>
        </w:tc>
        <w:tc>
          <w:tcPr>
            <w:tcW w:w="4950" w:type="dxa"/>
            <w:vAlign w:val="center"/>
          </w:tcPr>
          <w:p w14:paraId="53891A91">
            <w:pPr>
              <w:rPr>
                <w:rFonts w:ascii="楷体" w:hAnsi="楷体" w:eastAsia="楷体"/>
                <w:sz w:val="18"/>
                <w:szCs w:val="18"/>
                <w:highlight w:val="none"/>
              </w:rPr>
            </w:pPr>
            <m:oMath>
              <m:r>
                <m:rPr/>
                <w:rPr>
                  <w:rFonts w:hint="eastAsia" w:ascii="Cambria Math" w:hAnsi="Cambria Math" w:eastAsia="楷体"/>
                  <w:sz w:val="18"/>
                  <w:szCs w:val="18"/>
                  <w:highlight w:val="none"/>
                </w:rPr>
                <m:t>Z</m:t>
              </m:r>
              <m:r>
                <m:rPr/>
                <w:rPr>
                  <w:rFonts w:ascii="Cambria Math" w:hAnsi="Cambria Math" w:eastAsia="楷体"/>
                  <w:sz w:val="18"/>
                  <w:szCs w:val="18"/>
                  <w:highlight w:val="none"/>
                </w:rPr>
                <m:t>(T)</m:t>
              </m:r>
            </m:oMath>
            <w:r>
              <w:rPr>
                <w:rFonts w:hint="eastAsia" w:ascii="楷体" w:hAnsi="楷体" w:eastAsia="楷体"/>
                <w:sz w:val="18"/>
                <w:szCs w:val="18"/>
                <w:highlight w:val="none"/>
              </w:rPr>
              <w:t>为过去T个月累积对数收益率（每个月包含21个交易日），即</w:t>
            </w:r>
          </w:p>
          <w:p w14:paraId="6D5D7A21">
            <w:pPr>
              <w:rPr>
                <w:rFonts w:ascii="楷体" w:hAnsi="楷体" w:eastAsia="楷体"/>
                <w:sz w:val="18"/>
                <w:szCs w:val="18"/>
                <w:highlight w:val="none"/>
              </w:rPr>
            </w:pPr>
            <m:oMathPara>
              <m:oMath>
                <m:r>
                  <m:rPr/>
                  <w:rPr>
                    <w:rFonts w:hint="eastAsia" w:ascii="Cambria Math" w:hAnsi="Cambria Math" w:eastAsia="楷体"/>
                    <w:sz w:val="18"/>
                    <w:szCs w:val="18"/>
                    <w:highlight w:val="none"/>
                  </w:rPr>
                  <m:t>Z</m:t>
                </m:r>
                <m:r>
                  <m:rPr/>
                  <w:rPr>
                    <w:rFonts w:ascii="Cambria Math" w:hAnsi="Cambria Math" w:eastAsia="楷体"/>
                    <w:sz w:val="18"/>
                    <w:szCs w:val="18"/>
                    <w:highlight w:val="none"/>
                  </w:rPr>
                  <m:t>(T)</m:t>
                </m:r>
                <m:r>
                  <m:rPr/>
                  <w:rPr>
                    <w:rFonts w:hint="eastAsia" w:ascii="Cambria Math" w:hAnsi="Cambria Math" w:eastAsia="楷体"/>
                    <w:sz w:val="18"/>
                    <w:szCs w:val="18"/>
                    <w:highlight w:val="none"/>
                  </w:rPr>
                  <m:t>=</m:t>
                </m:r>
                <m:nary>
                  <m:naryPr>
                    <m:chr m:val="∑"/>
                    <m:limLoc m:val="subSup"/>
                    <m:ctrlPr>
                      <w:rPr>
                        <w:rFonts w:ascii="Cambria Math" w:hAnsi="Cambria Math" w:eastAsia="楷体"/>
                        <w:sz w:val="18"/>
                        <w:szCs w:val="18"/>
                        <w:highlight w:val="none"/>
                      </w:rPr>
                    </m:ctrlPr>
                  </m:naryPr>
                  <m:sub>
                    <m:r>
                      <m:rPr/>
                      <w:rPr>
                        <w:rFonts w:ascii="Cambria Math" w:hAnsi="Cambria Math" w:eastAsia="楷体"/>
                        <w:sz w:val="18"/>
                        <w:szCs w:val="18"/>
                        <w:highlight w:val="none"/>
                      </w:rPr>
                      <m:t>τ=1</m:t>
                    </m:r>
                    <m:ctrlPr>
                      <w:rPr>
                        <w:rFonts w:ascii="Cambria Math" w:hAnsi="Cambria Math" w:eastAsia="楷体"/>
                        <w:sz w:val="18"/>
                        <w:szCs w:val="18"/>
                        <w:highlight w:val="none"/>
                      </w:rPr>
                    </m:ctrlPr>
                  </m:sub>
                  <m:sup>
                    <m:r>
                      <m:rPr/>
                      <w:rPr>
                        <w:rFonts w:ascii="Cambria Math" w:hAnsi="Cambria Math" w:eastAsia="楷体"/>
                        <w:sz w:val="18"/>
                        <w:szCs w:val="18"/>
                        <w:highlight w:val="none"/>
                      </w:rPr>
                      <m:t>T</m:t>
                    </m:r>
                    <m:ctrlPr>
                      <w:rPr>
                        <w:rFonts w:ascii="Cambria Math" w:hAnsi="Cambria Math" w:eastAsia="楷体"/>
                        <w:sz w:val="18"/>
                        <w:szCs w:val="18"/>
                        <w:highlight w:val="none"/>
                      </w:rPr>
                    </m:ctrlPr>
                  </m:sup>
                  <m:e>
                    <m:r>
                      <m:rPr/>
                      <w:rPr>
                        <w:rFonts w:ascii="Cambria Math" w:hAnsi="Cambria Math" w:eastAsia="楷体"/>
                        <w:sz w:val="18"/>
                        <w:szCs w:val="18"/>
                        <w:highlight w:val="none"/>
                      </w:rPr>
                      <m:t>[</m:t>
                    </m:r>
                    <m:func>
                      <m:funcPr>
                        <m:ctrlPr>
                          <w:rPr>
                            <w:rFonts w:ascii="Cambria Math" w:hAnsi="Cambria Math" w:eastAsia="楷体"/>
                            <w:sz w:val="18"/>
                            <w:szCs w:val="18"/>
                            <w:highlight w:val="none"/>
                          </w:rPr>
                        </m:ctrlPr>
                      </m:funcPr>
                      <m:fName>
                        <m:r>
                          <m:rPr>
                            <m:sty m:val="p"/>
                          </m:rPr>
                          <w:rPr>
                            <w:rFonts w:ascii="Cambria Math" w:hAnsi="Cambria Math" w:eastAsia="楷体"/>
                            <w:sz w:val="18"/>
                            <w:szCs w:val="18"/>
                            <w:highlight w:val="none"/>
                          </w:rPr>
                          <m:t>ln</m:t>
                        </m:r>
                        <m:ctrlPr>
                          <w:rPr>
                            <w:rFonts w:ascii="Cambria Math" w:hAnsi="Cambria Math" w:eastAsia="楷体"/>
                            <w:i/>
                            <w:sz w:val="18"/>
                            <w:szCs w:val="18"/>
                            <w:highlight w:val="none"/>
                          </w:rPr>
                        </m:ctrlPr>
                      </m:fName>
                      <m:e>
                        <m:d>
                          <m:dPr>
                            <m:ctrlPr>
                              <w:rPr>
                                <w:rFonts w:ascii="Cambria Math" w:hAnsi="Cambria Math" w:eastAsia="楷体"/>
                                <w:i/>
                                <w:sz w:val="18"/>
                                <w:szCs w:val="18"/>
                                <w:highlight w:val="none"/>
                              </w:rPr>
                            </m:ctrlPr>
                          </m:dPr>
                          <m:e>
                            <m:r>
                              <m:rPr/>
                              <w:rPr>
                                <w:rFonts w:ascii="Cambria Math" w:hAnsi="Cambria Math" w:eastAsia="楷体"/>
                                <w:sz w:val="18"/>
                                <w:szCs w:val="18"/>
                                <w:highlight w:val="none"/>
                              </w:rPr>
                              <m:t>1+</m:t>
                            </m:r>
                            <m:sSub>
                              <m:sSubPr>
                                <m:ctrlPr>
                                  <w:rPr>
                                    <w:rFonts w:ascii="Cambria Math" w:hAnsi="Cambria Math" w:eastAsia="楷体"/>
                                    <w:i/>
                                    <w:sz w:val="18"/>
                                    <w:szCs w:val="18"/>
                                    <w:highlight w:val="none"/>
                                  </w:rPr>
                                </m:ctrlPr>
                              </m:sSubPr>
                              <m:e>
                                <m:r>
                                  <m:rPr/>
                                  <w:rPr>
                                    <w:rFonts w:ascii="Cambria Math" w:hAnsi="Cambria Math" w:eastAsia="楷体"/>
                                    <w:sz w:val="18"/>
                                    <w:szCs w:val="18"/>
                                    <w:highlight w:val="none"/>
                                  </w:rPr>
                                  <m:t>r</m:t>
                                </m:r>
                                <m:ctrlPr>
                                  <w:rPr>
                                    <w:rFonts w:ascii="Cambria Math" w:hAnsi="Cambria Math" w:eastAsia="楷体"/>
                                    <w:i/>
                                    <w:sz w:val="18"/>
                                    <w:szCs w:val="18"/>
                                    <w:highlight w:val="none"/>
                                  </w:rPr>
                                </m:ctrlPr>
                              </m:e>
                              <m:sub>
                                <m:r>
                                  <m:rPr/>
                                  <w:rPr>
                                    <w:rFonts w:ascii="Cambria Math" w:hAnsi="Cambria Math" w:eastAsia="楷体"/>
                                    <w:sz w:val="18"/>
                                    <w:szCs w:val="18"/>
                                    <w:highlight w:val="none"/>
                                  </w:rPr>
                                  <m:t>τ</m:t>
                                </m:r>
                                <m:ctrlPr>
                                  <w:rPr>
                                    <w:rFonts w:ascii="Cambria Math" w:hAnsi="Cambria Math" w:eastAsia="楷体"/>
                                    <w:i/>
                                    <w:sz w:val="18"/>
                                    <w:szCs w:val="18"/>
                                    <w:highlight w:val="none"/>
                                  </w:rPr>
                                </m:ctrlPr>
                              </m:sub>
                            </m:sSub>
                            <m:ctrlPr>
                              <w:rPr>
                                <w:rFonts w:ascii="Cambria Math" w:hAnsi="Cambria Math" w:eastAsia="楷体"/>
                                <w:i/>
                                <w:sz w:val="18"/>
                                <w:szCs w:val="18"/>
                                <w:highlight w:val="none"/>
                              </w:rPr>
                            </m:ctrlPr>
                          </m:e>
                        </m:d>
                        <m:ctrlPr>
                          <w:rPr>
                            <w:rFonts w:ascii="Cambria Math" w:hAnsi="Cambria Math" w:eastAsia="楷体"/>
                            <w:sz w:val="18"/>
                            <w:szCs w:val="18"/>
                            <w:highlight w:val="none"/>
                          </w:rPr>
                        </m:ctrlPr>
                      </m:e>
                    </m:func>
                    <m:r>
                      <m:rPr/>
                      <w:rPr>
                        <w:rFonts w:ascii="Cambria Math" w:hAnsi="Cambria Math" w:eastAsia="楷体"/>
                        <w:sz w:val="18"/>
                        <w:szCs w:val="18"/>
                        <w:highlight w:val="none"/>
                      </w:rPr>
                      <m:t>]</m:t>
                    </m:r>
                    <m:ctrlPr>
                      <w:rPr>
                        <w:rFonts w:ascii="Cambria Math" w:hAnsi="Cambria Math" w:eastAsia="楷体"/>
                        <w:sz w:val="18"/>
                        <w:szCs w:val="18"/>
                        <w:highlight w:val="none"/>
                      </w:rPr>
                    </m:ctrlPr>
                  </m:e>
                </m:nary>
              </m:oMath>
            </m:oMathPara>
          </w:p>
          <w:p w14:paraId="0BC99585">
            <w:pPr>
              <w:rPr>
                <w:rFonts w:ascii="楷体" w:hAnsi="楷体" w:eastAsia="楷体"/>
                <w:sz w:val="18"/>
                <w:szCs w:val="18"/>
                <w:highlight w:val="none"/>
              </w:rPr>
            </w:pPr>
            <w:r>
              <w:rPr>
                <w:rFonts w:hint="eastAsia" w:ascii="楷体" w:hAnsi="楷体" w:eastAsia="楷体"/>
                <w:sz w:val="18"/>
                <w:szCs w:val="18"/>
                <w:highlight w:val="none"/>
              </w:rPr>
              <w:t>其中</w:t>
            </w:r>
            <m:oMath>
              <m:sSub>
                <m:sSubPr>
                  <m:ctrlPr>
                    <w:rPr>
                      <w:rFonts w:ascii="Cambria Math" w:hAnsi="Cambria Math" w:eastAsia="楷体"/>
                      <w:i/>
                      <w:sz w:val="18"/>
                      <w:szCs w:val="18"/>
                      <w:highlight w:val="none"/>
                    </w:rPr>
                  </m:ctrlPr>
                </m:sSubPr>
                <m:e>
                  <m:r>
                    <m:rPr/>
                    <w:rPr>
                      <w:rFonts w:ascii="Cambria Math" w:hAnsi="Cambria Math" w:eastAsia="楷体"/>
                      <w:sz w:val="18"/>
                      <w:szCs w:val="18"/>
                      <w:highlight w:val="none"/>
                    </w:rPr>
                    <m:t>r</m:t>
                  </m:r>
                  <m:ctrlPr>
                    <w:rPr>
                      <w:rFonts w:ascii="Cambria Math" w:hAnsi="Cambria Math" w:eastAsia="楷体"/>
                      <w:i/>
                      <w:sz w:val="18"/>
                      <w:szCs w:val="18"/>
                      <w:highlight w:val="none"/>
                    </w:rPr>
                  </m:ctrlPr>
                </m:e>
                <m:sub>
                  <m:r>
                    <m:rPr/>
                    <w:rPr>
                      <w:rFonts w:ascii="Cambria Math" w:hAnsi="Cambria Math" w:eastAsia="楷体"/>
                      <w:sz w:val="18"/>
                      <w:szCs w:val="18"/>
                      <w:highlight w:val="none"/>
                    </w:rPr>
                    <m:t>τ</m:t>
                  </m:r>
                  <m:ctrlPr>
                    <w:rPr>
                      <w:rFonts w:ascii="Cambria Math" w:hAnsi="Cambria Math" w:eastAsia="楷体"/>
                      <w:i/>
                      <w:sz w:val="18"/>
                      <w:szCs w:val="18"/>
                      <w:highlight w:val="none"/>
                    </w:rPr>
                  </m:ctrlPr>
                </m:sub>
              </m:sSub>
            </m:oMath>
            <w:r>
              <w:rPr>
                <w:rFonts w:hint="eastAsia" w:ascii="楷体" w:hAnsi="楷体" w:eastAsia="楷体"/>
                <w:sz w:val="18"/>
                <w:szCs w:val="18"/>
                <w:highlight w:val="none"/>
              </w:rPr>
              <w:t>为股票在</w:t>
            </w:r>
            <m:oMath>
              <m:r>
                <m:rPr/>
                <w:rPr>
                  <w:rFonts w:ascii="Cambria Math" w:hAnsi="Cambria Math" w:eastAsia="楷体"/>
                  <w:sz w:val="18"/>
                  <w:szCs w:val="18"/>
                  <w:highlight w:val="none"/>
                </w:rPr>
                <m:t>τ</m:t>
              </m:r>
            </m:oMath>
            <w:r>
              <w:rPr>
                <w:rFonts w:hint="eastAsia" w:ascii="楷体" w:hAnsi="楷体" w:eastAsia="楷体"/>
                <w:sz w:val="18"/>
                <w:szCs w:val="18"/>
                <w:highlight w:val="none"/>
              </w:rPr>
              <w:t>月的收益，从而定义累积收益范围如下：</w:t>
            </w:r>
          </w:p>
          <w:p w14:paraId="14007D76">
            <w:pPr>
              <w:rPr>
                <w:rFonts w:ascii="楷体" w:hAnsi="楷体" w:eastAsia="楷体"/>
                <w:sz w:val="18"/>
                <w:szCs w:val="18"/>
                <w:highlight w:val="none"/>
              </w:rPr>
            </w:pPr>
            <m:oMathPara>
              <m:oMath>
                <m:r>
                  <m:rPr>
                    <m:sty m:val="p"/>
                  </m:rPr>
                  <w:rPr>
                    <w:rFonts w:ascii="Cambria Math" w:hAnsi="Cambria Math" w:eastAsia="楷体"/>
                    <w:sz w:val="18"/>
                    <w:szCs w:val="18"/>
                    <w:highlight w:val="none"/>
                  </w:rPr>
                  <m:t xml:space="preserve">CMRA= </m:t>
                </m:r>
                <m:sSub>
                  <m:sSubPr>
                    <m:ctrlPr>
                      <w:rPr>
                        <w:rFonts w:ascii="Cambria Math" w:hAnsi="Cambria Math" w:eastAsia="楷体"/>
                        <w:i/>
                        <w:sz w:val="18"/>
                        <w:szCs w:val="18"/>
                        <w:highlight w:val="none"/>
                      </w:rPr>
                    </m:ctrlPr>
                  </m:sSubPr>
                  <m:e>
                    <m:r>
                      <m:rPr/>
                      <w:rPr>
                        <w:rFonts w:ascii="Cambria Math" w:hAnsi="Cambria Math" w:eastAsia="楷体"/>
                        <w:sz w:val="18"/>
                        <w:szCs w:val="18"/>
                        <w:highlight w:val="none"/>
                      </w:rPr>
                      <m:t>Z</m:t>
                    </m:r>
                    <m:ctrlPr>
                      <w:rPr>
                        <w:rFonts w:ascii="Cambria Math" w:hAnsi="Cambria Math" w:eastAsia="楷体"/>
                        <w:i/>
                        <w:sz w:val="18"/>
                        <w:szCs w:val="18"/>
                        <w:highlight w:val="none"/>
                      </w:rPr>
                    </m:ctrlPr>
                  </m:e>
                  <m:sub>
                    <m:r>
                      <m:rPr/>
                      <w:rPr>
                        <w:rFonts w:hint="eastAsia" w:ascii="Cambria Math" w:hAnsi="Cambria Math" w:eastAsia="楷体"/>
                        <w:sz w:val="18"/>
                        <w:szCs w:val="18"/>
                        <w:highlight w:val="none"/>
                      </w:rPr>
                      <m:t>max</m:t>
                    </m:r>
                    <m:ctrlPr>
                      <w:rPr>
                        <w:rFonts w:ascii="Cambria Math" w:hAnsi="Cambria Math" w:eastAsia="楷体"/>
                        <w:i/>
                        <w:sz w:val="18"/>
                        <w:szCs w:val="18"/>
                        <w:highlight w:val="none"/>
                      </w:rPr>
                    </m:ctrlPr>
                  </m:sub>
                </m:sSub>
                <m:r>
                  <m:rPr/>
                  <w:rPr>
                    <w:rFonts w:ascii="Cambria Math" w:hAnsi="Cambria Math" w:eastAsia="楷体"/>
                    <w:sz w:val="18"/>
                    <w:szCs w:val="18"/>
                    <w:highlight w:val="none"/>
                  </w:rPr>
                  <m:t>−</m:t>
                </m:r>
                <m:sSub>
                  <m:sSubPr>
                    <m:ctrlPr>
                      <w:rPr>
                        <w:rFonts w:ascii="Cambria Math" w:hAnsi="Cambria Math" w:eastAsia="楷体"/>
                        <w:i/>
                        <w:sz w:val="18"/>
                        <w:szCs w:val="18"/>
                        <w:highlight w:val="none"/>
                      </w:rPr>
                    </m:ctrlPr>
                  </m:sSubPr>
                  <m:e>
                    <m:r>
                      <m:rPr/>
                      <w:rPr>
                        <w:rFonts w:ascii="Cambria Math" w:hAnsi="Cambria Math" w:eastAsia="楷体"/>
                        <w:sz w:val="18"/>
                        <w:szCs w:val="18"/>
                        <w:highlight w:val="none"/>
                      </w:rPr>
                      <m:t>Z</m:t>
                    </m:r>
                    <m:ctrlPr>
                      <w:rPr>
                        <w:rFonts w:ascii="Cambria Math" w:hAnsi="Cambria Math" w:eastAsia="楷体"/>
                        <w:i/>
                        <w:sz w:val="18"/>
                        <w:szCs w:val="18"/>
                        <w:highlight w:val="none"/>
                      </w:rPr>
                    </m:ctrlPr>
                  </m:e>
                  <m:sub>
                    <m:r>
                      <m:rPr/>
                      <w:rPr>
                        <w:rFonts w:ascii="Cambria Math" w:hAnsi="Cambria Math" w:eastAsia="楷体"/>
                        <w:sz w:val="18"/>
                        <w:szCs w:val="18"/>
                        <w:highlight w:val="none"/>
                      </w:rPr>
                      <m:t>min</m:t>
                    </m:r>
                    <m:ctrlPr>
                      <w:rPr>
                        <w:rFonts w:ascii="Cambria Math" w:hAnsi="Cambria Math" w:eastAsia="楷体"/>
                        <w:i/>
                        <w:sz w:val="18"/>
                        <w:szCs w:val="18"/>
                        <w:highlight w:val="none"/>
                      </w:rPr>
                    </m:ctrlPr>
                  </m:sub>
                </m:sSub>
              </m:oMath>
            </m:oMathPara>
          </w:p>
          <w:p w14:paraId="2231CD79">
            <w:pPr>
              <w:rPr>
                <w:rFonts w:ascii="楷体" w:hAnsi="楷体" w:eastAsia="楷体"/>
                <w:sz w:val="18"/>
                <w:szCs w:val="18"/>
                <w:highlight w:val="none"/>
              </w:rPr>
            </w:pPr>
            <w:r>
              <w:rPr>
                <w:rFonts w:hint="eastAsia" w:ascii="楷体" w:hAnsi="楷体" w:eastAsia="楷体"/>
                <w:sz w:val="18"/>
                <w:szCs w:val="18"/>
                <w:highlight w:val="none"/>
              </w:rPr>
              <w:t>其中</w:t>
            </w:r>
            <m:oMath>
              <m:sSub>
                <m:sSubPr>
                  <m:ctrlPr>
                    <w:rPr>
                      <w:rFonts w:ascii="Cambria Math" w:hAnsi="Cambria Math" w:eastAsia="楷体"/>
                      <w:i/>
                      <w:sz w:val="18"/>
                      <w:szCs w:val="18"/>
                      <w:highlight w:val="none"/>
                    </w:rPr>
                  </m:ctrlPr>
                </m:sSubPr>
                <m:e>
                  <m:r>
                    <m:rPr/>
                    <w:rPr>
                      <w:rFonts w:ascii="Cambria Math" w:hAnsi="Cambria Math" w:eastAsia="楷体"/>
                      <w:sz w:val="18"/>
                      <w:szCs w:val="18"/>
                      <w:highlight w:val="none"/>
                    </w:rPr>
                    <m:t>Z</m:t>
                  </m:r>
                  <m:ctrlPr>
                    <w:rPr>
                      <w:rFonts w:ascii="Cambria Math" w:hAnsi="Cambria Math" w:eastAsia="楷体"/>
                      <w:i/>
                      <w:sz w:val="18"/>
                      <w:szCs w:val="18"/>
                      <w:highlight w:val="none"/>
                    </w:rPr>
                  </m:ctrlPr>
                </m:e>
                <m:sub>
                  <m:r>
                    <m:rPr/>
                    <w:rPr>
                      <w:rFonts w:hint="eastAsia" w:ascii="Cambria Math" w:hAnsi="Cambria Math" w:eastAsia="楷体"/>
                      <w:sz w:val="18"/>
                      <w:szCs w:val="18"/>
                      <w:highlight w:val="none"/>
                    </w:rPr>
                    <m:t>max</m:t>
                  </m:r>
                  <m:ctrlPr>
                    <w:rPr>
                      <w:rFonts w:ascii="Cambria Math" w:hAnsi="Cambria Math" w:eastAsia="楷体"/>
                      <w:i/>
                      <w:sz w:val="18"/>
                      <w:szCs w:val="18"/>
                      <w:highlight w:val="none"/>
                    </w:rPr>
                  </m:ctrlPr>
                </m:sub>
              </m:sSub>
              <m:r>
                <m:rPr/>
                <w:rPr>
                  <w:rFonts w:ascii="Cambria Math" w:hAnsi="Cambria Math" w:eastAsia="楷体"/>
                  <w:sz w:val="18"/>
                  <w:szCs w:val="18"/>
                  <w:highlight w:val="none"/>
                </w:rPr>
                <m:t>=</m:t>
              </m:r>
              <m:r>
                <m:rPr>
                  <m:sty m:val="p"/>
                </m:rPr>
                <w:rPr>
                  <w:rFonts w:ascii="Cambria Math" w:hAnsi="Cambria Math" w:eastAsia="楷体"/>
                  <w:sz w:val="18"/>
                  <w:szCs w:val="18"/>
                  <w:highlight w:val="none"/>
                </w:rPr>
                <m:t>max⁡</m:t>
              </m:r>
              <m:r>
                <m:rPr/>
                <w:rPr>
                  <w:rFonts w:ascii="Cambria Math" w:hAnsi="Cambria Math" w:eastAsia="楷体"/>
                  <w:sz w:val="18"/>
                  <w:szCs w:val="18"/>
                  <w:highlight w:val="none"/>
                </w:rPr>
                <m:t>{Z(T)}</m:t>
              </m:r>
            </m:oMath>
            <w:r>
              <w:rPr>
                <w:rFonts w:hint="eastAsia" w:ascii="楷体" w:hAnsi="楷体" w:eastAsia="楷体"/>
                <w:sz w:val="18"/>
                <w:szCs w:val="18"/>
                <w:highlight w:val="none"/>
              </w:rPr>
              <w:t>,</w:t>
            </w:r>
          </w:p>
          <w:p w14:paraId="63F19A4D">
            <w:pPr>
              <w:rPr>
                <w:rFonts w:ascii="楷体" w:hAnsi="楷体" w:eastAsia="楷体"/>
                <w:sz w:val="18"/>
                <w:szCs w:val="18"/>
                <w:highlight w:val="none"/>
              </w:rPr>
            </w:pPr>
            <w:r>
              <w:rPr>
                <w:rFonts w:ascii="楷体" w:hAnsi="楷体" w:eastAsia="楷体"/>
                <w:sz w:val="18"/>
                <w:szCs w:val="18"/>
                <w:highlight w:val="none"/>
              </w:rPr>
              <w:t xml:space="preserve">    </w:t>
            </w:r>
            <m:oMath>
              <m:sSub>
                <m:sSubPr>
                  <m:ctrlPr>
                    <w:rPr>
                      <w:rFonts w:ascii="Cambria Math" w:hAnsi="Cambria Math" w:eastAsia="楷体"/>
                      <w:i/>
                      <w:sz w:val="18"/>
                      <w:szCs w:val="18"/>
                      <w:highlight w:val="none"/>
                    </w:rPr>
                  </m:ctrlPr>
                </m:sSubPr>
                <m:e>
                  <m:r>
                    <m:rPr/>
                    <w:rPr>
                      <w:rFonts w:ascii="Cambria Math" w:hAnsi="Cambria Math" w:eastAsia="楷体"/>
                      <w:sz w:val="18"/>
                      <w:szCs w:val="18"/>
                      <w:highlight w:val="none"/>
                    </w:rPr>
                    <m:t>Z</m:t>
                  </m:r>
                  <m:ctrlPr>
                    <w:rPr>
                      <w:rFonts w:ascii="Cambria Math" w:hAnsi="Cambria Math" w:eastAsia="楷体"/>
                      <w:i/>
                      <w:sz w:val="18"/>
                      <w:szCs w:val="18"/>
                      <w:highlight w:val="none"/>
                    </w:rPr>
                  </m:ctrlPr>
                </m:e>
                <m:sub>
                  <m:r>
                    <m:rPr/>
                    <w:rPr>
                      <w:rFonts w:hint="eastAsia" w:ascii="Cambria Math" w:hAnsi="Cambria Math" w:eastAsia="楷体"/>
                      <w:sz w:val="18"/>
                      <w:szCs w:val="18"/>
                      <w:highlight w:val="none"/>
                    </w:rPr>
                    <m:t>min</m:t>
                  </m:r>
                  <m:ctrlPr>
                    <w:rPr>
                      <w:rFonts w:ascii="Cambria Math" w:hAnsi="Cambria Math" w:eastAsia="楷体"/>
                      <w:i/>
                      <w:sz w:val="18"/>
                      <w:szCs w:val="18"/>
                      <w:highlight w:val="none"/>
                    </w:rPr>
                  </m:ctrlPr>
                </m:sub>
              </m:sSub>
              <m:r>
                <m:rPr/>
                <w:rPr>
                  <w:rFonts w:ascii="Cambria Math" w:hAnsi="Cambria Math" w:eastAsia="楷体"/>
                  <w:sz w:val="18"/>
                  <w:szCs w:val="18"/>
                  <w:highlight w:val="none"/>
                </w:rPr>
                <m:t>=</m:t>
              </m:r>
              <m:r>
                <m:rPr>
                  <m:sty m:val="p"/>
                </m:rPr>
                <w:rPr>
                  <w:rFonts w:ascii="Cambria Math" w:hAnsi="Cambria Math" w:eastAsia="楷体"/>
                  <w:sz w:val="18"/>
                  <w:szCs w:val="18"/>
                  <w:highlight w:val="none"/>
                </w:rPr>
                <m:t>min⁡</m:t>
              </m:r>
              <m:r>
                <m:rPr/>
                <w:rPr>
                  <w:rFonts w:ascii="Cambria Math" w:hAnsi="Cambria Math" w:eastAsia="楷体"/>
                  <w:sz w:val="18"/>
                  <w:szCs w:val="18"/>
                  <w:highlight w:val="none"/>
                </w:rPr>
                <m:t>{Z(T)}</m:t>
              </m:r>
            </m:oMath>
          </w:p>
          <w:p w14:paraId="7276F54E">
            <w:pPr>
              <w:rPr>
                <w:rFonts w:ascii="楷体" w:hAnsi="楷体" w:eastAsia="楷体"/>
                <w:sz w:val="18"/>
                <w:szCs w:val="18"/>
                <w:highlight w:val="none"/>
              </w:rPr>
            </w:pPr>
            <w:r>
              <w:rPr>
                <w:rFonts w:hint="eastAsia" w:ascii="楷体" w:hAnsi="楷体" w:eastAsia="楷体"/>
                <w:sz w:val="18"/>
                <w:szCs w:val="18"/>
                <w:highlight w:val="none"/>
              </w:rPr>
              <w:t xml:space="preserve"> </w:t>
            </w:r>
            <w:r>
              <w:rPr>
                <w:rFonts w:ascii="楷体" w:hAnsi="楷体" w:eastAsia="楷体"/>
                <w:sz w:val="18"/>
                <w:szCs w:val="18"/>
                <w:highlight w:val="none"/>
              </w:rPr>
              <w:t xml:space="preserve">   </w:t>
            </w:r>
            <m:oMath>
              <m:r>
                <m:rPr/>
                <w:rPr>
                  <w:rFonts w:ascii="Cambria Math" w:hAnsi="Cambria Math" w:eastAsia="楷体"/>
                  <w:sz w:val="18"/>
                  <w:szCs w:val="18"/>
                  <w:highlight w:val="none"/>
                </w:rPr>
                <m:t>T=1,…,12</m:t>
              </m:r>
            </m:oMath>
          </w:p>
        </w:tc>
      </w:tr>
      <w:tr w14:paraId="16EA302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restart"/>
            <w:vAlign w:val="center"/>
          </w:tcPr>
          <w:p w14:paraId="21AE1874">
            <w:pPr>
              <w:jc w:val="center"/>
              <w:rPr>
                <w:rFonts w:ascii="楷体" w:hAnsi="楷体" w:eastAsia="楷体"/>
                <w:sz w:val="18"/>
                <w:szCs w:val="18"/>
                <w:highlight w:val="none"/>
              </w:rPr>
            </w:pPr>
            <w:r>
              <w:rPr>
                <w:rFonts w:hint="eastAsia" w:ascii="楷体" w:hAnsi="楷体" w:eastAsia="楷体"/>
                <w:sz w:val="18"/>
                <w:szCs w:val="18"/>
                <w:highlight w:val="none"/>
              </w:rPr>
              <w:t>Liquidity</w:t>
            </w:r>
          </w:p>
        </w:tc>
        <w:tc>
          <w:tcPr>
            <w:tcW w:w="1276" w:type="dxa"/>
            <w:vMerge w:val="restart"/>
            <w:vAlign w:val="center"/>
          </w:tcPr>
          <w:p w14:paraId="2CD961B4">
            <w:pPr>
              <w:jc w:val="center"/>
              <w:rPr>
                <w:rFonts w:ascii="楷体" w:hAnsi="楷体" w:eastAsia="楷体"/>
                <w:sz w:val="18"/>
                <w:szCs w:val="18"/>
                <w:highlight w:val="none"/>
              </w:rPr>
            </w:pPr>
            <w:r>
              <w:rPr>
                <w:rFonts w:hint="eastAsia" w:ascii="楷体" w:hAnsi="楷体" w:eastAsia="楷体"/>
                <w:sz w:val="18"/>
                <w:szCs w:val="18"/>
                <w:highlight w:val="none"/>
              </w:rPr>
              <w:t>Liquidity</w:t>
            </w:r>
          </w:p>
        </w:tc>
        <w:tc>
          <w:tcPr>
            <w:tcW w:w="1843" w:type="dxa"/>
            <w:vAlign w:val="center"/>
          </w:tcPr>
          <w:p w14:paraId="45CEF62E">
            <w:pPr>
              <w:jc w:val="center"/>
              <w:rPr>
                <w:rFonts w:ascii="楷体" w:hAnsi="楷体" w:eastAsia="楷体"/>
                <w:sz w:val="18"/>
                <w:szCs w:val="18"/>
                <w:highlight w:val="none"/>
              </w:rPr>
            </w:pPr>
            <w:r>
              <w:rPr>
                <w:rFonts w:hint="eastAsia" w:ascii="楷体" w:hAnsi="楷体" w:eastAsia="楷体"/>
                <w:sz w:val="18"/>
                <w:szCs w:val="18"/>
                <w:highlight w:val="none"/>
              </w:rPr>
              <w:t>Monthly share turnover</w:t>
            </w:r>
          </w:p>
        </w:tc>
        <w:tc>
          <w:tcPr>
            <w:tcW w:w="1145" w:type="dxa"/>
            <w:vAlign w:val="center"/>
          </w:tcPr>
          <w:p w14:paraId="0D1A237A">
            <w:pPr>
              <w:jc w:val="center"/>
              <w:rPr>
                <w:rFonts w:ascii="楷体" w:hAnsi="楷体" w:eastAsia="楷体"/>
                <w:sz w:val="18"/>
                <w:szCs w:val="18"/>
                <w:highlight w:val="none"/>
              </w:rPr>
            </w:pPr>
            <w:r>
              <w:rPr>
                <w:rFonts w:hint="eastAsia" w:ascii="楷体" w:hAnsi="楷体" w:eastAsia="楷体"/>
                <w:sz w:val="18"/>
                <w:szCs w:val="18"/>
                <w:highlight w:val="none"/>
              </w:rPr>
              <w:t>月换手率</w:t>
            </w:r>
          </w:p>
        </w:tc>
        <w:tc>
          <w:tcPr>
            <w:tcW w:w="4950" w:type="dxa"/>
            <w:vAlign w:val="center"/>
          </w:tcPr>
          <w:p w14:paraId="12E4453E">
            <w:pPr>
              <w:rPr>
                <w:rFonts w:ascii="楷体" w:hAnsi="楷体" w:eastAsia="楷体" w:cs="Times New Roman"/>
                <w:sz w:val="18"/>
                <w:szCs w:val="18"/>
                <w:highlight w:val="none"/>
              </w:rPr>
            </w:pPr>
            <w:r>
              <w:rPr>
                <w:rFonts w:hint="eastAsia" w:ascii="楷体" w:hAnsi="楷体" w:eastAsia="楷体" w:cs="Times New Roman"/>
                <w:sz w:val="18"/>
                <w:szCs w:val="18"/>
                <w:highlight w:val="none"/>
              </w:rPr>
              <w:t>对最近21个交易日的股票换手率求和，然后取对数，即：</w:t>
            </w:r>
          </w:p>
          <w:p w14:paraId="5A48266D">
            <w:pPr>
              <w:rPr>
                <w:rFonts w:ascii="楷体" w:hAnsi="楷体" w:eastAsia="楷体" w:cs="Times New Roman"/>
                <w:sz w:val="18"/>
                <w:szCs w:val="18"/>
                <w:highlight w:val="none"/>
              </w:rPr>
            </w:pPr>
            <m:oMathPara>
              <m:oMath>
                <m:r>
                  <m:rPr/>
                  <w:rPr>
                    <w:rFonts w:ascii="Cambria Math" w:hAnsi="Cambria Math" w:eastAsia="楷体" w:cs="Times New Roman"/>
                    <w:sz w:val="18"/>
                    <w:szCs w:val="18"/>
                    <w:highlight w:val="none"/>
                  </w:rPr>
                  <m:t>STOM=ln⁡(</m:t>
                </m:r>
                <m:nary>
                  <m:naryPr>
                    <m:chr m:val="∑"/>
                    <m:limLoc m:val="subSup"/>
                    <m:ctrlPr>
                      <w:rPr>
                        <w:rFonts w:ascii="Cambria Math" w:hAnsi="Cambria Math" w:eastAsia="楷体" w:cs="Times New Roman"/>
                        <w:i/>
                        <w:iCs/>
                        <w:sz w:val="18"/>
                        <w:szCs w:val="18"/>
                        <w:highlight w:val="none"/>
                      </w:rPr>
                    </m:ctrlPr>
                  </m:naryPr>
                  <m:sub>
                    <m:r>
                      <m:rPr/>
                      <w:rPr>
                        <w:rFonts w:ascii="Cambria Math" w:hAnsi="Cambria Math" w:eastAsia="楷体" w:cs="Times New Roman"/>
                        <w:sz w:val="18"/>
                        <w:szCs w:val="18"/>
                        <w:highlight w:val="none"/>
                      </w:rPr>
                      <m:t>t=1</m:t>
                    </m:r>
                    <m:ctrlPr>
                      <w:rPr>
                        <w:rFonts w:ascii="Cambria Math" w:hAnsi="Cambria Math" w:eastAsia="楷体" w:cs="Times New Roman"/>
                        <w:i/>
                        <w:iCs/>
                        <w:sz w:val="18"/>
                        <w:szCs w:val="18"/>
                        <w:highlight w:val="none"/>
                      </w:rPr>
                    </m:ctrlPr>
                  </m:sub>
                  <m:sup>
                    <m:r>
                      <m:rPr/>
                      <w:rPr>
                        <w:rFonts w:ascii="Cambria Math" w:hAnsi="Cambria Math" w:eastAsia="楷体" w:cs="Times New Roman"/>
                        <w:sz w:val="18"/>
                        <w:szCs w:val="18"/>
                        <w:highlight w:val="none"/>
                      </w:rPr>
                      <m:t>21</m:t>
                    </m:r>
                    <m:ctrlPr>
                      <w:rPr>
                        <w:rFonts w:ascii="Cambria Math" w:hAnsi="Cambria Math" w:eastAsia="楷体" w:cs="Times New Roman"/>
                        <w:i/>
                        <w:iCs/>
                        <w:sz w:val="18"/>
                        <w:szCs w:val="18"/>
                        <w:highlight w:val="none"/>
                      </w:rPr>
                    </m:ctrlPr>
                  </m:sup>
                  <m:e>
                    <m:sSub>
                      <m:sSubPr>
                        <m:ctrlPr>
                          <m:rPr/>
                          <w:rPr>
                            <w:rFonts w:hint="default" w:ascii="Cambria Math" w:hAnsi="Cambria Math" w:eastAsia="楷体" w:cs="Times New Roman"/>
                            <w:i/>
                            <w:iCs/>
                            <w:sz w:val="18"/>
                            <w:szCs w:val="18"/>
                            <w:highlight w:val="none"/>
                            <w:lang w:val="en-US" w:eastAsia="zh-CN"/>
                          </w:rPr>
                        </m:ctrlPr>
                      </m:sSubPr>
                      <m:e>
                        <m:r>
                          <m:rPr/>
                          <w:rPr>
                            <w:rFonts w:hint="default" w:ascii="Cambria Math" w:hAnsi="Cambria Math" w:eastAsia="楷体" w:cs="Times New Roman"/>
                            <w:sz w:val="18"/>
                            <w:szCs w:val="18"/>
                            <w:highlight w:val="none"/>
                            <w:lang w:val="en-US" w:eastAsia="zh-CN"/>
                          </w:rPr>
                          <m:t>turnover</m:t>
                        </m:r>
                        <m:ctrlPr>
                          <m:rPr/>
                          <w:rPr>
                            <w:rFonts w:hint="default" w:ascii="Cambria Math" w:hAnsi="Cambria Math" w:eastAsia="楷体" w:cs="Times New Roman"/>
                            <w:i/>
                            <w:iCs/>
                            <w:sz w:val="18"/>
                            <w:szCs w:val="18"/>
                            <w:highlight w:val="none"/>
                            <w:lang w:val="en-US" w:eastAsia="zh-CN"/>
                          </w:rPr>
                        </m:ctrlPr>
                      </m:e>
                      <m:sub>
                        <m:r>
                          <m:rPr/>
                          <w:rPr>
                            <w:rFonts w:hint="default" w:ascii="Cambria Math" w:hAnsi="Cambria Math" w:eastAsia="楷体" w:cs="Times New Roman"/>
                            <w:sz w:val="18"/>
                            <w:szCs w:val="18"/>
                            <w:highlight w:val="none"/>
                            <w:lang w:val="en-US" w:eastAsia="zh-CN"/>
                          </w:rPr>
                          <m:t>t</m:t>
                        </m:r>
                        <m:ctrlPr>
                          <m:rPr/>
                          <w:rPr>
                            <w:rFonts w:hint="default" w:ascii="Cambria Math" w:hAnsi="Cambria Math" w:eastAsia="楷体" w:cs="Times New Roman"/>
                            <w:i/>
                            <w:iCs/>
                            <w:sz w:val="18"/>
                            <w:szCs w:val="18"/>
                            <w:highlight w:val="none"/>
                            <w:lang w:val="en-US" w:eastAsia="zh-CN"/>
                          </w:rPr>
                        </m:ctrlPr>
                      </m:sub>
                    </m:sSub>
                    <m:ctrlPr>
                      <m:rPr/>
                      <w:rPr>
                        <w:rFonts w:hint="default" w:ascii="Cambria Math" w:hAnsi="Cambria Math" w:eastAsia="楷体" w:cs="Times New Roman"/>
                        <w:i/>
                        <w:iCs/>
                        <w:sz w:val="18"/>
                        <w:szCs w:val="18"/>
                        <w:highlight w:val="none"/>
                        <w:lang w:val="en-US" w:eastAsia="zh-CN"/>
                      </w:rPr>
                    </m:ctrlPr>
                  </m:e>
                </m:nary>
                <m:r>
                  <m:rPr/>
                  <w:rPr>
                    <w:rFonts w:ascii="Cambria Math" w:hAnsi="Cambria Math" w:eastAsia="楷体" w:cs="Times New Roman"/>
                    <w:sz w:val="18"/>
                    <w:szCs w:val="18"/>
                    <w:highlight w:val="none"/>
                  </w:rPr>
                  <m:t>)</m:t>
                </m:r>
              </m:oMath>
            </m:oMathPara>
          </w:p>
        </w:tc>
      </w:tr>
      <w:tr w14:paraId="465B44C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17FD3044">
            <w:pPr>
              <w:jc w:val="center"/>
              <w:rPr>
                <w:rFonts w:ascii="楷体" w:hAnsi="楷体" w:eastAsia="楷体"/>
                <w:sz w:val="18"/>
                <w:szCs w:val="18"/>
                <w:highlight w:val="none"/>
              </w:rPr>
            </w:pPr>
          </w:p>
        </w:tc>
        <w:tc>
          <w:tcPr>
            <w:tcW w:w="1276" w:type="dxa"/>
            <w:vMerge w:val="continue"/>
            <w:vAlign w:val="center"/>
          </w:tcPr>
          <w:p w14:paraId="17D0D280">
            <w:pPr>
              <w:jc w:val="center"/>
              <w:rPr>
                <w:rFonts w:ascii="楷体" w:hAnsi="楷体" w:eastAsia="楷体"/>
                <w:sz w:val="18"/>
                <w:szCs w:val="18"/>
                <w:highlight w:val="none"/>
              </w:rPr>
            </w:pPr>
          </w:p>
        </w:tc>
        <w:tc>
          <w:tcPr>
            <w:tcW w:w="1843" w:type="dxa"/>
            <w:vAlign w:val="center"/>
          </w:tcPr>
          <w:p w14:paraId="0DF9D446">
            <w:pPr>
              <w:jc w:val="center"/>
              <w:rPr>
                <w:rFonts w:ascii="楷体" w:hAnsi="楷体" w:eastAsia="楷体"/>
                <w:sz w:val="18"/>
                <w:szCs w:val="18"/>
                <w:highlight w:val="none"/>
              </w:rPr>
            </w:pPr>
            <w:r>
              <w:rPr>
                <w:rFonts w:hint="eastAsia" w:ascii="楷体" w:hAnsi="楷体" w:eastAsia="楷体"/>
                <w:sz w:val="18"/>
                <w:szCs w:val="18"/>
                <w:highlight w:val="none"/>
              </w:rPr>
              <w:t>Quarterly share turnover</w:t>
            </w:r>
          </w:p>
        </w:tc>
        <w:tc>
          <w:tcPr>
            <w:tcW w:w="1145" w:type="dxa"/>
            <w:vAlign w:val="center"/>
          </w:tcPr>
          <w:p w14:paraId="438ACAB0">
            <w:pPr>
              <w:jc w:val="center"/>
              <w:rPr>
                <w:rFonts w:ascii="楷体" w:hAnsi="楷体" w:eastAsia="楷体"/>
                <w:sz w:val="18"/>
                <w:szCs w:val="18"/>
                <w:highlight w:val="none"/>
              </w:rPr>
            </w:pPr>
            <w:r>
              <w:rPr>
                <w:rFonts w:hint="eastAsia" w:ascii="楷体" w:hAnsi="楷体" w:eastAsia="楷体"/>
                <w:sz w:val="18"/>
                <w:szCs w:val="18"/>
                <w:highlight w:val="none"/>
              </w:rPr>
              <w:t>季换手率</w:t>
            </w:r>
          </w:p>
        </w:tc>
        <w:tc>
          <w:tcPr>
            <w:tcW w:w="4950" w:type="dxa"/>
            <w:vAlign w:val="center"/>
          </w:tcPr>
          <w:p w14:paraId="0A5E6056">
            <w:pPr>
              <w:rPr>
                <w:rFonts w:ascii="楷体" w:hAnsi="楷体" w:eastAsia="楷体" w:cs="Times New Roman"/>
                <w:sz w:val="18"/>
                <w:szCs w:val="18"/>
                <w:highlight w:val="none"/>
              </w:rPr>
            </w:pPr>
            <m:oMath>
              <m:sSub>
                <m:sSubPr>
                  <m:ctrlPr>
                    <w:rPr>
                      <w:rFonts w:ascii="Cambria Math" w:hAnsi="Cambria Math" w:eastAsia="楷体" w:cs="Times New Roman"/>
                      <w:sz w:val="18"/>
                      <w:szCs w:val="18"/>
                      <w:highlight w:val="none"/>
                    </w:rPr>
                  </m:ctrlPr>
                </m:sSubPr>
                <m:e>
                  <m:r>
                    <m:rPr/>
                    <w:rPr>
                      <w:rFonts w:ascii="Cambria Math" w:hAnsi="Cambria Math" w:eastAsia="楷体" w:cs="Times New Roman"/>
                      <w:sz w:val="18"/>
                      <w:szCs w:val="18"/>
                      <w:highlight w:val="none"/>
                    </w:rPr>
                    <m:t>STOM</m:t>
                  </m:r>
                  <m:ctrlPr>
                    <w:rPr>
                      <w:rFonts w:ascii="Cambria Math" w:hAnsi="Cambria Math" w:eastAsia="楷体" w:cs="Times New Roman"/>
                      <w:sz w:val="18"/>
                      <w:szCs w:val="18"/>
                      <w:highlight w:val="none"/>
                    </w:rPr>
                  </m:ctrlPr>
                </m:e>
                <m:sub>
                  <m:r>
                    <m:rPr/>
                    <w:rPr>
                      <w:rFonts w:ascii="Cambria Math" w:hAnsi="Cambria Math" w:eastAsia="楷体" w:cs="Times New Roman"/>
                      <w:sz w:val="18"/>
                      <w:szCs w:val="18"/>
                      <w:highlight w:val="none"/>
                    </w:rPr>
                    <m:t>τ</m:t>
                  </m:r>
                  <m:ctrlPr>
                    <w:rPr>
                      <w:rFonts w:ascii="Cambria Math" w:hAnsi="Cambria Math" w:eastAsia="楷体" w:cs="Times New Roman"/>
                      <w:sz w:val="18"/>
                      <w:szCs w:val="18"/>
                      <w:highlight w:val="none"/>
                    </w:rPr>
                  </m:ctrlPr>
                </m:sub>
              </m:sSub>
            </m:oMath>
            <w:r>
              <w:rPr>
                <w:rFonts w:hint="eastAsia" w:ascii="楷体" w:hAnsi="楷体" w:eastAsia="楷体" w:cs="Times New Roman"/>
                <w:sz w:val="18"/>
                <w:szCs w:val="18"/>
                <w:highlight w:val="none"/>
              </w:rPr>
              <w:t>为</w:t>
            </w:r>
            <w:r>
              <w:rPr>
                <w:rFonts w:hint="eastAsia" w:ascii="楷体" w:hAnsi="楷体" w:eastAsia="楷体" w:cs="Times New Roman"/>
                <w:i/>
                <w:iCs/>
                <w:sz w:val="18"/>
                <w:szCs w:val="18"/>
                <w:highlight w:val="none"/>
              </w:rPr>
              <w:t>τ</w:t>
            </w:r>
            <w:r>
              <w:rPr>
                <w:rFonts w:hint="eastAsia" w:ascii="楷体" w:hAnsi="楷体" w:eastAsia="楷体" w:cs="Times New Roman"/>
                <w:sz w:val="18"/>
                <w:szCs w:val="18"/>
                <w:highlight w:val="none"/>
              </w:rPr>
              <w:t>月的换手率（每月包含21个交易日）季换手率定义为：</w:t>
            </w:r>
          </w:p>
          <w:p w14:paraId="7D3D599A">
            <w:pPr>
              <w:rPr>
                <w:rFonts w:ascii="楷体" w:hAnsi="楷体" w:eastAsia="楷体" w:cs="Times New Roman"/>
                <w:sz w:val="18"/>
                <w:szCs w:val="18"/>
                <w:highlight w:val="none"/>
              </w:rPr>
            </w:pPr>
            <m:oMathPara>
              <m:oMath>
                <m:r>
                  <m:rPr/>
                  <w:rPr>
                    <w:rFonts w:ascii="Cambria Math" w:hAnsi="Cambria Math" w:eastAsia="楷体" w:cs="Times New Roman"/>
                    <w:sz w:val="18"/>
                    <w:szCs w:val="18"/>
                    <w:highlight w:val="none"/>
                  </w:rPr>
                  <m:t>STO</m:t>
                </m:r>
                <m:r>
                  <m:rPr/>
                  <w:rPr>
                    <w:rFonts w:hint="eastAsia" w:ascii="Cambria Math" w:hAnsi="Cambria Math" w:eastAsia="楷体" w:cs="Times New Roman"/>
                    <w:sz w:val="18"/>
                    <w:szCs w:val="18"/>
                    <w:highlight w:val="none"/>
                  </w:rPr>
                  <m:t>Q</m:t>
                </m:r>
                <m:r>
                  <m:rPr/>
                  <w:rPr>
                    <w:rFonts w:ascii="Cambria Math" w:hAnsi="Cambria Math" w:eastAsia="楷体" w:cs="Times New Roman"/>
                    <w:sz w:val="18"/>
                    <w:szCs w:val="18"/>
                    <w:highlight w:val="none"/>
                  </w:rPr>
                  <m:t>=ln⁡(</m:t>
                </m:r>
                <m:f>
                  <m:fPr>
                    <m:ctrlPr>
                      <w:rPr>
                        <w:rFonts w:ascii="Cambria Math" w:hAnsi="Cambria Math" w:eastAsia="楷体" w:cs="Times New Roman"/>
                        <w:i/>
                        <w:sz w:val="18"/>
                        <w:szCs w:val="18"/>
                        <w:highlight w:val="none"/>
                      </w:rPr>
                    </m:ctrlPr>
                  </m:fPr>
                  <m:num>
                    <m:r>
                      <m:rPr/>
                      <w:rPr>
                        <w:rFonts w:ascii="Cambria Math" w:hAnsi="Cambria Math" w:eastAsia="楷体" w:cs="Times New Roman"/>
                        <w:sz w:val="18"/>
                        <w:szCs w:val="18"/>
                        <w:highlight w:val="none"/>
                      </w:rPr>
                      <m:t>1</m:t>
                    </m:r>
                    <m:ctrlPr>
                      <w:rPr>
                        <w:rFonts w:ascii="Cambria Math" w:hAnsi="Cambria Math" w:eastAsia="楷体" w:cs="Times New Roman"/>
                        <w:i/>
                        <w:sz w:val="18"/>
                        <w:szCs w:val="18"/>
                        <w:highlight w:val="none"/>
                      </w:rPr>
                    </m:ctrlPr>
                  </m:num>
                  <m:den>
                    <m:r>
                      <m:rPr/>
                      <w:rPr>
                        <w:rFonts w:ascii="Cambria Math" w:hAnsi="Cambria Math" w:eastAsia="楷体" w:cs="Times New Roman"/>
                        <w:sz w:val="18"/>
                        <w:szCs w:val="18"/>
                        <w:highlight w:val="none"/>
                      </w:rPr>
                      <m:t>T</m:t>
                    </m:r>
                    <m:ctrlPr>
                      <w:rPr>
                        <w:rFonts w:ascii="Cambria Math" w:hAnsi="Cambria Math" w:eastAsia="楷体" w:cs="Times New Roman"/>
                        <w:i/>
                        <w:sz w:val="18"/>
                        <w:szCs w:val="18"/>
                        <w:highlight w:val="none"/>
                      </w:rPr>
                    </m:ctrlPr>
                  </m:den>
                </m:f>
                <m:nary>
                  <m:naryPr>
                    <m:chr m:val="∑"/>
                    <m:limLoc m:val="subSup"/>
                    <m:ctrlPr>
                      <w:rPr>
                        <w:rFonts w:ascii="Cambria Math" w:hAnsi="Cambria Math" w:eastAsia="楷体" w:cs="Times New Roman"/>
                        <w:i/>
                        <w:sz w:val="18"/>
                        <w:szCs w:val="18"/>
                        <w:highlight w:val="none"/>
                      </w:rPr>
                    </m:ctrlPr>
                  </m:naryPr>
                  <m:sub>
                    <m:r>
                      <m:rPr/>
                      <w:rPr>
                        <w:rFonts w:ascii="Cambria Math" w:hAnsi="Cambria Math" w:eastAsia="楷体" w:cs="Times New Roman"/>
                        <w:sz w:val="18"/>
                        <w:szCs w:val="18"/>
                        <w:highlight w:val="none"/>
                      </w:rPr>
                      <m:t>τ=1</m:t>
                    </m:r>
                    <m:ctrlPr>
                      <w:rPr>
                        <w:rFonts w:ascii="Cambria Math" w:hAnsi="Cambria Math" w:eastAsia="楷体" w:cs="Times New Roman"/>
                        <w:i/>
                        <w:sz w:val="18"/>
                        <w:szCs w:val="18"/>
                        <w:highlight w:val="none"/>
                      </w:rPr>
                    </m:ctrlPr>
                  </m:sub>
                  <m:sup>
                    <m:r>
                      <m:rPr/>
                      <w:rPr>
                        <w:rFonts w:ascii="Cambria Math" w:hAnsi="Cambria Math" w:eastAsia="楷体" w:cs="Times New Roman"/>
                        <w:sz w:val="18"/>
                        <w:szCs w:val="18"/>
                        <w:highlight w:val="none"/>
                      </w:rPr>
                      <m:t>T</m:t>
                    </m:r>
                    <m:ctrlPr>
                      <w:rPr>
                        <w:rFonts w:ascii="Cambria Math" w:hAnsi="Cambria Math" w:eastAsia="楷体" w:cs="Times New Roman"/>
                        <w:i/>
                        <w:sz w:val="18"/>
                        <w:szCs w:val="18"/>
                        <w:highlight w:val="none"/>
                      </w:rPr>
                    </m:ctrlPr>
                  </m:sup>
                  <m:e>
                    <m:r>
                      <m:rPr/>
                      <w:rPr>
                        <w:rFonts w:ascii="Cambria Math" w:hAnsi="Cambria Math" w:eastAsia="楷体" w:cs="Times New Roman"/>
                        <w:sz w:val="18"/>
                        <w:szCs w:val="18"/>
                        <w:highlight w:val="none"/>
                      </w:rPr>
                      <m:t>exp⁡(</m:t>
                    </m:r>
                    <m:sSub>
                      <m:sSubPr>
                        <m:ctrlPr>
                          <w:rPr>
                            <w:rFonts w:ascii="Cambria Math" w:hAnsi="Cambria Math" w:eastAsia="楷体" w:cs="Times New Roman"/>
                            <w:i/>
                            <w:sz w:val="18"/>
                            <w:szCs w:val="18"/>
                            <w:highlight w:val="none"/>
                          </w:rPr>
                        </m:ctrlPr>
                      </m:sSubPr>
                      <m:e>
                        <m:r>
                          <m:rPr/>
                          <w:rPr>
                            <w:rFonts w:ascii="Cambria Math" w:hAnsi="Cambria Math" w:eastAsia="楷体" w:cs="Times New Roman"/>
                            <w:sz w:val="18"/>
                            <w:szCs w:val="18"/>
                            <w:highlight w:val="none"/>
                          </w:rPr>
                          <m:t>STOM</m:t>
                        </m:r>
                        <m:ctrlPr>
                          <w:rPr>
                            <w:rFonts w:ascii="Cambria Math" w:hAnsi="Cambria Math" w:eastAsia="楷体" w:cs="Times New Roman"/>
                            <w:i/>
                            <w:sz w:val="18"/>
                            <w:szCs w:val="18"/>
                            <w:highlight w:val="none"/>
                          </w:rPr>
                        </m:ctrlPr>
                      </m:e>
                      <m:sub>
                        <m:r>
                          <m:rPr/>
                          <w:rPr>
                            <w:rFonts w:ascii="Cambria Math" w:hAnsi="Cambria Math" w:eastAsia="楷体" w:cs="Times New Roman"/>
                            <w:sz w:val="18"/>
                            <w:szCs w:val="18"/>
                            <w:highlight w:val="none"/>
                          </w:rPr>
                          <m:t>τ</m:t>
                        </m:r>
                        <m:ctrlPr>
                          <w:rPr>
                            <w:rFonts w:ascii="Cambria Math" w:hAnsi="Cambria Math" w:eastAsia="楷体" w:cs="Times New Roman"/>
                            <w:i/>
                            <w:sz w:val="18"/>
                            <w:szCs w:val="18"/>
                            <w:highlight w:val="none"/>
                          </w:rPr>
                        </m:ctrlPr>
                      </m:sub>
                    </m:sSub>
                    <m:ctrlPr>
                      <w:rPr>
                        <w:rFonts w:ascii="Cambria Math" w:hAnsi="Cambria Math" w:eastAsia="楷体" w:cs="Times New Roman"/>
                        <w:i/>
                        <w:sz w:val="18"/>
                        <w:szCs w:val="18"/>
                        <w:highlight w:val="none"/>
                      </w:rPr>
                    </m:ctrlPr>
                  </m:e>
                </m:nary>
                <m:r>
                  <m:rPr/>
                  <w:rPr>
                    <w:rFonts w:ascii="Cambria Math" w:hAnsi="Cambria Math" w:eastAsia="楷体" w:cs="Times New Roman"/>
                    <w:sz w:val="18"/>
                    <w:szCs w:val="18"/>
                    <w:highlight w:val="none"/>
                  </w:rPr>
                  <m:t>))</m:t>
                </m:r>
              </m:oMath>
            </m:oMathPara>
          </w:p>
          <w:p w14:paraId="38582414">
            <w:pPr>
              <w:rPr>
                <w:rFonts w:ascii="楷体" w:hAnsi="楷体" w:eastAsia="楷体" w:cs="Times New Roman"/>
                <w:sz w:val="18"/>
                <w:szCs w:val="18"/>
                <w:highlight w:val="none"/>
              </w:rPr>
            </w:pPr>
            <w:r>
              <w:rPr>
                <w:rFonts w:hint="eastAsia" w:ascii="楷体" w:hAnsi="楷体" w:eastAsia="楷体" w:cs="Times New Roman"/>
                <w:sz w:val="18"/>
                <w:szCs w:val="18"/>
                <w:highlight w:val="none"/>
              </w:rPr>
              <w:t>T=3个月</w:t>
            </w:r>
          </w:p>
        </w:tc>
      </w:tr>
      <w:tr w14:paraId="680F1F3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57EAB531">
            <w:pPr>
              <w:jc w:val="center"/>
              <w:rPr>
                <w:rFonts w:ascii="楷体" w:hAnsi="楷体" w:eastAsia="楷体"/>
                <w:sz w:val="18"/>
                <w:szCs w:val="18"/>
                <w:highlight w:val="none"/>
              </w:rPr>
            </w:pPr>
          </w:p>
        </w:tc>
        <w:tc>
          <w:tcPr>
            <w:tcW w:w="1276" w:type="dxa"/>
            <w:vMerge w:val="continue"/>
            <w:vAlign w:val="center"/>
          </w:tcPr>
          <w:p w14:paraId="0C41BBB6">
            <w:pPr>
              <w:jc w:val="center"/>
              <w:rPr>
                <w:rFonts w:ascii="楷体" w:hAnsi="楷体" w:eastAsia="楷体"/>
                <w:sz w:val="18"/>
                <w:szCs w:val="18"/>
                <w:highlight w:val="none"/>
              </w:rPr>
            </w:pPr>
          </w:p>
        </w:tc>
        <w:tc>
          <w:tcPr>
            <w:tcW w:w="1843" w:type="dxa"/>
            <w:vAlign w:val="center"/>
          </w:tcPr>
          <w:p w14:paraId="596BD991">
            <w:pPr>
              <w:jc w:val="center"/>
              <w:rPr>
                <w:rFonts w:ascii="楷体" w:hAnsi="楷体" w:eastAsia="楷体"/>
                <w:sz w:val="18"/>
                <w:szCs w:val="18"/>
                <w:highlight w:val="none"/>
              </w:rPr>
            </w:pPr>
            <w:r>
              <w:rPr>
                <w:rFonts w:hint="eastAsia" w:ascii="楷体" w:hAnsi="楷体" w:eastAsia="楷体"/>
                <w:sz w:val="18"/>
                <w:szCs w:val="18"/>
                <w:highlight w:val="none"/>
              </w:rPr>
              <w:t>Annual share turnover</w:t>
            </w:r>
          </w:p>
        </w:tc>
        <w:tc>
          <w:tcPr>
            <w:tcW w:w="1145" w:type="dxa"/>
            <w:vAlign w:val="center"/>
          </w:tcPr>
          <w:p w14:paraId="3B962B22">
            <w:pPr>
              <w:jc w:val="center"/>
              <w:rPr>
                <w:rFonts w:ascii="楷体" w:hAnsi="楷体" w:eastAsia="楷体"/>
                <w:sz w:val="18"/>
                <w:szCs w:val="18"/>
                <w:highlight w:val="none"/>
              </w:rPr>
            </w:pPr>
            <w:r>
              <w:rPr>
                <w:rFonts w:hint="eastAsia" w:ascii="楷体" w:hAnsi="楷体" w:eastAsia="楷体"/>
                <w:sz w:val="18"/>
                <w:szCs w:val="18"/>
                <w:highlight w:val="none"/>
              </w:rPr>
              <w:t>年换手率</w:t>
            </w:r>
          </w:p>
        </w:tc>
        <w:tc>
          <w:tcPr>
            <w:tcW w:w="4950" w:type="dxa"/>
            <w:vAlign w:val="center"/>
          </w:tcPr>
          <w:p w14:paraId="236C37F3">
            <w:pPr>
              <w:rPr>
                <w:rFonts w:ascii="楷体" w:hAnsi="楷体" w:eastAsia="楷体" w:cs="Times New Roman"/>
                <w:sz w:val="18"/>
                <w:szCs w:val="18"/>
                <w:highlight w:val="none"/>
              </w:rPr>
            </w:pPr>
            <m:oMath>
              <m:sSub>
                <m:sSubPr>
                  <m:ctrlPr>
                    <w:rPr>
                      <w:rFonts w:ascii="Cambria Math" w:hAnsi="Cambria Math" w:eastAsia="楷体" w:cs="Times New Roman"/>
                      <w:sz w:val="18"/>
                      <w:szCs w:val="18"/>
                      <w:highlight w:val="none"/>
                    </w:rPr>
                  </m:ctrlPr>
                </m:sSubPr>
                <m:e>
                  <m:r>
                    <m:rPr/>
                    <w:rPr>
                      <w:rFonts w:ascii="Cambria Math" w:hAnsi="Cambria Math" w:eastAsia="楷体" w:cs="Times New Roman"/>
                      <w:sz w:val="18"/>
                      <w:szCs w:val="18"/>
                      <w:highlight w:val="none"/>
                    </w:rPr>
                    <m:t>STOM</m:t>
                  </m:r>
                  <m:ctrlPr>
                    <w:rPr>
                      <w:rFonts w:ascii="Cambria Math" w:hAnsi="Cambria Math" w:eastAsia="楷体" w:cs="Times New Roman"/>
                      <w:sz w:val="18"/>
                      <w:szCs w:val="18"/>
                      <w:highlight w:val="none"/>
                    </w:rPr>
                  </m:ctrlPr>
                </m:e>
                <m:sub>
                  <m:r>
                    <m:rPr/>
                    <w:rPr>
                      <w:rFonts w:ascii="Cambria Math" w:hAnsi="Cambria Math" w:eastAsia="楷体" w:cs="Times New Roman"/>
                      <w:sz w:val="18"/>
                      <w:szCs w:val="18"/>
                      <w:highlight w:val="none"/>
                    </w:rPr>
                    <m:t>τ</m:t>
                  </m:r>
                  <m:ctrlPr>
                    <w:rPr>
                      <w:rFonts w:ascii="Cambria Math" w:hAnsi="Cambria Math" w:eastAsia="楷体" w:cs="Times New Roman"/>
                      <w:sz w:val="18"/>
                      <w:szCs w:val="18"/>
                      <w:highlight w:val="none"/>
                    </w:rPr>
                  </m:ctrlPr>
                </m:sub>
              </m:sSub>
            </m:oMath>
            <w:r>
              <w:rPr>
                <w:rFonts w:hint="eastAsia" w:ascii="楷体" w:hAnsi="楷体" w:eastAsia="楷体" w:cs="Times New Roman"/>
                <w:sz w:val="18"/>
                <w:szCs w:val="18"/>
                <w:highlight w:val="none"/>
              </w:rPr>
              <w:t>为τ月的换手率（每月包含21个交易日），年换手率定义为：</w:t>
            </w:r>
          </w:p>
          <w:p w14:paraId="105E0485">
            <w:pPr>
              <w:rPr>
                <w:rFonts w:ascii="楷体" w:hAnsi="楷体" w:eastAsia="楷体" w:cs="Times New Roman"/>
                <w:sz w:val="18"/>
                <w:szCs w:val="18"/>
                <w:highlight w:val="none"/>
              </w:rPr>
            </w:pPr>
            <m:oMathPara>
              <m:oMath>
                <m:r>
                  <m:rPr/>
                  <w:rPr>
                    <w:rFonts w:ascii="Cambria Math" w:hAnsi="Cambria Math" w:eastAsia="楷体" w:cs="Times New Roman"/>
                    <w:sz w:val="18"/>
                    <w:szCs w:val="18"/>
                    <w:highlight w:val="none"/>
                  </w:rPr>
                  <m:t>STOA</m:t>
                </m:r>
                <m:r>
                  <m:rPr>
                    <m:sty m:val="p"/>
                  </m:rPr>
                  <w:rPr>
                    <w:rFonts w:ascii="Cambria Math" w:hAnsi="Cambria Math" w:eastAsia="楷体" w:cs="Times New Roman"/>
                    <w:sz w:val="18"/>
                    <w:szCs w:val="18"/>
                    <w:highlight w:val="none"/>
                  </w:rPr>
                  <m:t>=ln⁡(</m:t>
                </m:r>
                <m:f>
                  <m:fPr>
                    <m:ctrlPr>
                      <w:rPr>
                        <w:rFonts w:ascii="Cambria Math" w:hAnsi="Cambria Math" w:eastAsia="楷体" w:cs="Times New Roman"/>
                        <w:sz w:val="18"/>
                        <w:szCs w:val="18"/>
                        <w:highlight w:val="none"/>
                      </w:rPr>
                    </m:ctrlPr>
                  </m:fPr>
                  <m:num>
                    <m:r>
                      <m:rPr/>
                      <w:rPr>
                        <w:rFonts w:ascii="Cambria Math" w:hAnsi="Cambria Math" w:eastAsia="楷体" w:cs="Times New Roman"/>
                        <w:sz w:val="18"/>
                        <w:szCs w:val="18"/>
                        <w:highlight w:val="none"/>
                      </w:rPr>
                      <m:t>1</m:t>
                    </m:r>
                    <m:ctrlPr>
                      <w:rPr>
                        <w:rFonts w:ascii="Cambria Math" w:hAnsi="Cambria Math" w:eastAsia="楷体" w:cs="Times New Roman"/>
                        <w:sz w:val="18"/>
                        <w:szCs w:val="18"/>
                        <w:highlight w:val="none"/>
                      </w:rPr>
                    </m:ctrlPr>
                  </m:num>
                  <m:den>
                    <m:r>
                      <m:rPr/>
                      <w:rPr>
                        <w:rFonts w:ascii="Cambria Math" w:hAnsi="Cambria Math" w:eastAsia="楷体" w:cs="Times New Roman"/>
                        <w:sz w:val="18"/>
                        <w:szCs w:val="18"/>
                        <w:highlight w:val="none"/>
                      </w:rPr>
                      <m:t>T</m:t>
                    </m:r>
                    <m:ctrlPr>
                      <w:rPr>
                        <w:rFonts w:ascii="Cambria Math" w:hAnsi="Cambria Math" w:eastAsia="楷体" w:cs="Times New Roman"/>
                        <w:sz w:val="18"/>
                        <w:szCs w:val="18"/>
                        <w:highlight w:val="none"/>
                      </w:rPr>
                    </m:ctrlPr>
                  </m:den>
                </m:f>
                <m:nary>
                  <m:naryPr>
                    <m:chr m:val="∑"/>
                    <m:limLoc m:val="subSup"/>
                    <m:ctrlPr>
                      <w:rPr>
                        <w:rFonts w:ascii="Cambria Math" w:hAnsi="Cambria Math" w:eastAsia="楷体" w:cs="Times New Roman"/>
                        <w:i/>
                        <w:sz w:val="18"/>
                        <w:szCs w:val="18"/>
                        <w:highlight w:val="none"/>
                      </w:rPr>
                    </m:ctrlPr>
                  </m:naryPr>
                  <m:sub>
                    <m:r>
                      <m:rPr/>
                      <w:rPr>
                        <w:rFonts w:ascii="Cambria Math" w:hAnsi="Cambria Math" w:eastAsia="楷体" w:cs="Times New Roman"/>
                        <w:sz w:val="18"/>
                        <w:szCs w:val="18"/>
                        <w:highlight w:val="none"/>
                      </w:rPr>
                      <m:t>τ=1</m:t>
                    </m:r>
                    <m:ctrlPr>
                      <w:rPr>
                        <w:rFonts w:ascii="Cambria Math" w:hAnsi="Cambria Math" w:eastAsia="楷体" w:cs="Times New Roman"/>
                        <w:i/>
                        <w:sz w:val="18"/>
                        <w:szCs w:val="18"/>
                        <w:highlight w:val="none"/>
                      </w:rPr>
                    </m:ctrlPr>
                  </m:sub>
                  <m:sup>
                    <m:r>
                      <m:rPr/>
                      <w:rPr>
                        <w:rFonts w:ascii="Cambria Math" w:hAnsi="Cambria Math" w:eastAsia="楷体" w:cs="Times New Roman"/>
                        <w:sz w:val="18"/>
                        <w:szCs w:val="18"/>
                        <w:highlight w:val="none"/>
                      </w:rPr>
                      <m:t>T</m:t>
                    </m:r>
                    <m:ctrlPr>
                      <w:rPr>
                        <w:rFonts w:ascii="Cambria Math" w:hAnsi="Cambria Math" w:eastAsia="楷体" w:cs="Times New Roman"/>
                        <w:i/>
                        <w:sz w:val="18"/>
                        <w:szCs w:val="18"/>
                        <w:highlight w:val="none"/>
                      </w:rPr>
                    </m:ctrlPr>
                  </m:sup>
                  <m:e>
                    <m:r>
                      <m:rPr>
                        <m:sty m:val="p"/>
                      </m:rPr>
                      <w:rPr>
                        <w:rFonts w:ascii="Cambria Math" w:hAnsi="Cambria Math" w:eastAsia="楷体" w:cs="Times New Roman"/>
                        <w:sz w:val="18"/>
                        <w:szCs w:val="18"/>
                        <w:highlight w:val="none"/>
                      </w:rPr>
                      <m:t>exp⁡</m:t>
                    </m:r>
                    <m:r>
                      <m:rPr/>
                      <w:rPr>
                        <w:rFonts w:ascii="Cambria Math" w:hAnsi="Cambria Math" w:eastAsia="楷体" w:cs="Times New Roman"/>
                        <w:sz w:val="18"/>
                        <w:szCs w:val="18"/>
                        <w:highlight w:val="none"/>
                      </w:rPr>
                      <m:t>(</m:t>
                    </m:r>
                    <m:sSub>
                      <m:sSubPr>
                        <m:ctrlPr>
                          <w:rPr>
                            <w:rFonts w:ascii="Cambria Math" w:hAnsi="Cambria Math" w:eastAsia="楷体" w:cs="Times New Roman"/>
                            <w:i/>
                            <w:sz w:val="18"/>
                            <w:szCs w:val="18"/>
                            <w:highlight w:val="none"/>
                          </w:rPr>
                        </m:ctrlPr>
                      </m:sSubPr>
                      <m:e>
                        <m:r>
                          <m:rPr/>
                          <w:rPr>
                            <w:rFonts w:ascii="Cambria Math" w:hAnsi="Cambria Math" w:eastAsia="楷体" w:cs="Times New Roman"/>
                            <w:sz w:val="18"/>
                            <w:szCs w:val="18"/>
                            <w:highlight w:val="none"/>
                          </w:rPr>
                          <m:t>STOM</m:t>
                        </m:r>
                        <m:ctrlPr>
                          <w:rPr>
                            <w:rFonts w:ascii="Cambria Math" w:hAnsi="Cambria Math" w:eastAsia="楷体" w:cs="Times New Roman"/>
                            <w:i/>
                            <w:sz w:val="18"/>
                            <w:szCs w:val="18"/>
                            <w:highlight w:val="none"/>
                          </w:rPr>
                        </m:ctrlPr>
                      </m:e>
                      <m:sub>
                        <m:r>
                          <m:rPr/>
                          <w:rPr>
                            <w:rFonts w:ascii="Cambria Math" w:hAnsi="Cambria Math" w:eastAsia="楷体" w:cs="Times New Roman"/>
                            <w:sz w:val="18"/>
                            <w:szCs w:val="18"/>
                            <w:highlight w:val="none"/>
                          </w:rPr>
                          <m:t>τ</m:t>
                        </m:r>
                        <m:ctrlPr>
                          <w:rPr>
                            <w:rFonts w:ascii="Cambria Math" w:hAnsi="Cambria Math" w:eastAsia="楷体" w:cs="Times New Roman"/>
                            <w:i/>
                            <w:sz w:val="18"/>
                            <w:szCs w:val="18"/>
                            <w:highlight w:val="none"/>
                          </w:rPr>
                        </m:ctrlPr>
                      </m:sub>
                    </m:sSub>
                    <m:ctrlPr>
                      <w:rPr>
                        <w:rFonts w:ascii="Cambria Math" w:hAnsi="Cambria Math" w:eastAsia="楷体" w:cs="Times New Roman"/>
                        <w:i/>
                        <w:sz w:val="18"/>
                        <w:szCs w:val="18"/>
                        <w:highlight w:val="none"/>
                      </w:rPr>
                    </m:ctrlPr>
                  </m:e>
                </m:nary>
                <m:r>
                  <m:rPr/>
                  <w:rPr>
                    <w:rFonts w:ascii="Cambria Math" w:hAnsi="Cambria Math" w:eastAsia="楷体" w:cs="Times New Roman"/>
                    <w:sz w:val="18"/>
                    <w:szCs w:val="18"/>
                    <w:highlight w:val="none"/>
                  </w:rPr>
                  <m:t>))</m:t>
                </m:r>
              </m:oMath>
            </m:oMathPara>
          </w:p>
          <w:p w14:paraId="56A4EBC2">
            <w:pPr>
              <w:rPr>
                <w:rFonts w:ascii="楷体" w:hAnsi="楷体" w:eastAsia="楷体" w:cs="Times New Roman"/>
                <w:sz w:val="18"/>
                <w:szCs w:val="18"/>
                <w:highlight w:val="none"/>
              </w:rPr>
            </w:pPr>
            <w:r>
              <w:rPr>
                <w:rFonts w:hint="eastAsia" w:ascii="楷体" w:hAnsi="楷体" w:eastAsia="楷体" w:cs="Times New Roman"/>
                <w:sz w:val="18"/>
                <w:szCs w:val="18"/>
                <w:highlight w:val="none"/>
              </w:rPr>
              <w:t>T=12个月</w:t>
            </w:r>
          </w:p>
        </w:tc>
      </w:tr>
      <w:tr w14:paraId="4F15211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7ADF313A">
            <w:pPr>
              <w:jc w:val="center"/>
              <w:rPr>
                <w:rFonts w:ascii="楷体" w:hAnsi="楷体" w:eastAsia="楷体"/>
                <w:sz w:val="18"/>
                <w:szCs w:val="18"/>
                <w:highlight w:val="none"/>
              </w:rPr>
            </w:pPr>
          </w:p>
        </w:tc>
        <w:tc>
          <w:tcPr>
            <w:tcW w:w="1276" w:type="dxa"/>
            <w:vMerge w:val="continue"/>
            <w:vAlign w:val="center"/>
          </w:tcPr>
          <w:p w14:paraId="3673A3C6">
            <w:pPr>
              <w:jc w:val="center"/>
              <w:rPr>
                <w:rFonts w:ascii="楷体" w:hAnsi="楷体" w:eastAsia="楷体"/>
                <w:sz w:val="18"/>
                <w:szCs w:val="18"/>
                <w:highlight w:val="none"/>
              </w:rPr>
            </w:pPr>
          </w:p>
        </w:tc>
        <w:tc>
          <w:tcPr>
            <w:tcW w:w="1843" w:type="dxa"/>
            <w:vAlign w:val="center"/>
          </w:tcPr>
          <w:p w14:paraId="4E3E1DF2">
            <w:pPr>
              <w:jc w:val="center"/>
              <w:rPr>
                <w:rFonts w:ascii="楷体" w:hAnsi="楷体" w:eastAsia="楷体"/>
                <w:sz w:val="18"/>
                <w:szCs w:val="18"/>
                <w:highlight w:val="none"/>
              </w:rPr>
            </w:pPr>
            <w:r>
              <w:rPr>
                <w:rFonts w:hint="eastAsia" w:ascii="楷体" w:hAnsi="楷体" w:eastAsia="楷体"/>
                <w:sz w:val="18"/>
                <w:szCs w:val="18"/>
                <w:highlight w:val="none"/>
              </w:rPr>
              <w:t>Annualized traded value ratio</w:t>
            </w:r>
          </w:p>
        </w:tc>
        <w:tc>
          <w:tcPr>
            <w:tcW w:w="1145" w:type="dxa"/>
            <w:vAlign w:val="center"/>
          </w:tcPr>
          <w:p w14:paraId="72BFE86D">
            <w:pPr>
              <w:jc w:val="center"/>
              <w:rPr>
                <w:rFonts w:ascii="楷体" w:hAnsi="楷体" w:eastAsia="楷体"/>
                <w:sz w:val="18"/>
                <w:szCs w:val="18"/>
                <w:highlight w:val="none"/>
              </w:rPr>
            </w:pPr>
            <w:r>
              <w:rPr>
                <w:rFonts w:hint="eastAsia" w:ascii="楷体" w:hAnsi="楷体" w:eastAsia="楷体"/>
                <w:sz w:val="18"/>
                <w:szCs w:val="18"/>
                <w:highlight w:val="none"/>
              </w:rPr>
              <w:t>年化交易量比率</w:t>
            </w:r>
          </w:p>
        </w:tc>
        <w:tc>
          <w:tcPr>
            <w:tcW w:w="4950" w:type="dxa"/>
            <w:vAlign w:val="center"/>
          </w:tcPr>
          <w:p w14:paraId="7B6DE14F">
            <w:pPr>
              <w:rPr>
                <w:rFonts w:ascii="楷体" w:hAnsi="楷体" w:eastAsia="楷体" w:cs="Times New Roman"/>
                <w:sz w:val="18"/>
                <w:szCs w:val="18"/>
                <w:highlight w:val="none"/>
              </w:rPr>
            </w:pPr>
            <w:r>
              <w:rPr>
                <w:rFonts w:hint="eastAsia" w:ascii="楷体" w:hAnsi="楷体" w:eastAsia="楷体" w:cs="Times New Roman"/>
                <w:sz w:val="18"/>
                <w:szCs w:val="18"/>
                <w:highlight w:val="none"/>
              </w:rPr>
              <w:t>对日换手率进行加权求和，时间窗口252个交易日，半衰期63个交易日</w:t>
            </w:r>
          </w:p>
        </w:tc>
      </w:tr>
      <w:tr w14:paraId="36CA5C2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restart"/>
            <w:vAlign w:val="center"/>
          </w:tcPr>
          <w:p w14:paraId="2AFB79B6">
            <w:pPr>
              <w:jc w:val="center"/>
              <w:rPr>
                <w:rFonts w:ascii="楷体" w:hAnsi="楷体" w:eastAsia="楷体"/>
                <w:sz w:val="18"/>
                <w:szCs w:val="18"/>
                <w:highlight w:val="none"/>
              </w:rPr>
            </w:pPr>
            <w:r>
              <w:rPr>
                <w:rFonts w:ascii="楷体" w:hAnsi="楷体" w:eastAsia="楷体"/>
                <w:sz w:val="18"/>
                <w:szCs w:val="18"/>
                <w:highlight w:val="none"/>
              </w:rPr>
              <w:t>Momentum</w:t>
            </w:r>
          </w:p>
        </w:tc>
        <w:tc>
          <w:tcPr>
            <w:tcW w:w="1276" w:type="dxa"/>
            <w:vAlign w:val="center"/>
          </w:tcPr>
          <w:p w14:paraId="387D57E9">
            <w:pPr>
              <w:jc w:val="center"/>
              <w:rPr>
                <w:rFonts w:ascii="楷体" w:hAnsi="楷体" w:eastAsia="楷体"/>
                <w:sz w:val="18"/>
                <w:szCs w:val="18"/>
                <w:highlight w:val="none"/>
              </w:rPr>
            </w:pPr>
            <w:r>
              <w:rPr>
                <w:rFonts w:ascii="楷体" w:hAnsi="楷体" w:eastAsia="楷体"/>
                <w:sz w:val="18"/>
                <w:szCs w:val="18"/>
                <w:highlight w:val="none"/>
              </w:rPr>
              <w:t>Short Term reversal</w:t>
            </w:r>
          </w:p>
        </w:tc>
        <w:tc>
          <w:tcPr>
            <w:tcW w:w="1843" w:type="dxa"/>
            <w:vAlign w:val="center"/>
          </w:tcPr>
          <w:p w14:paraId="129958BC">
            <w:pPr>
              <w:jc w:val="center"/>
              <w:rPr>
                <w:rFonts w:ascii="楷体" w:hAnsi="楷体" w:eastAsia="楷体"/>
                <w:sz w:val="18"/>
                <w:szCs w:val="18"/>
                <w:highlight w:val="none"/>
              </w:rPr>
            </w:pPr>
            <w:r>
              <w:rPr>
                <w:rFonts w:ascii="楷体" w:hAnsi="楷体" w:eastAsia="楷体"/>
                <w:sz w:val="18"/>
                <w:szCs w:val="18"/>
                <w:highlight w:val="none"/>
              </w:rPr>
              <w:t>Short Term reversal</w:t>
            </w:r>
          </w:p>
        </w:tc>
        <w:tc>
          <w:tcPr>
            <w:tcW w:w="1145" w:type="dxa"/>
            <w:vAlign w:val="center"/>
          </w:tcPr>
          <w:p w14:paraId="42E327AC">
            <w:pPr>
              <w:jc w:val="center"/>
              <w:rPr>
                <w:rFonts w:ascii="楷体" w:hAnsi="楷体" w:eastAsia="楷体"/>
                <w:sz w:val="18"/>
                <w:szCs w:val="18"/>
                <w:highlight w:val="none"/>
              </w:rPr>
            </w:pPr>
            <w:r>
              <w:rPr>
                <w:rFonts w:hint="eastAsia" w:ascii="楷体" w:hAnsi="楷体" w:eastAsia="楷体"/>
                <w:sz w:val="18"/>
                <w:szCs w:val="18"/>
                <w:highlight w:val="none"/>
              </w:rPr>
              <w:t>短期反转</w:t>
            </w:r>
          </w:p>
        </w:tc>
        <w:tc>
          <w:tcPr>
            <w:tcW w:w="4950" w:type="dxa"/>
            <w:vAlign w:val="center"/>
          </w:tcPr>
          <w:p w14:paraId="754A4B0F">
            <w:pPr>
              <w:rPr>
                <w:rFonts w:ascii="楷体" w:hAnsi="楷体" w:eastAsia="楷体" w:cs="Times New Roman"/>
                <w:sz w:val="18"/>
                <w:szCs w:val="18"/>
                <w:highlight w:val="none"/>
              </w:rPr>
            </w:pPr>
            <w:r>
              <w:rPr>
                <w:rFonts w:hint="eastAsia" w:ascii="楷体" w:hAnsi="楷体" w:eastAsia="楷体" w:cs="Times New Roman"/>
                <w:sz w:val="18"/>
                <w:szCs w:val="18"/>
                <w:highlight w:val="none"/>
              </w:rPr>
              <w:t>最近一个月的加权累积对数日收益率</w:t>
            </w:r>
          </w:p>
          <w:p w14:paraId="6694F721">
            <w:pPr>
              <w:rPr>
                <w:rFonts w:ascii="楷体" w:hAnsi="楷体" w:eastAsia="楷体" w:cs="Times New Roman"/>
                <w:sz w:val="18"/>
                <w:szCs w:val="18"/>
                <w:highlight w:val="none"/>
              </w:rPr>
            </w:pPr>
            <m:oMathPara>
              <m:oMath>
                <m:r>
                  <m:rPr/>
                  <w:rPr>
                    <w:rFonts w:ascii="Cambria Math" w:hAnsi="Cambria Math" w:eastAsia="楷体" w:cs="Times New Roman"/>
                    <w:sz w:val="18"/>
                    <w:szCs w:val="18"/>
                    <w:highlight w:val="none"/>
                  </w:rPr>
                  <m:t>STREV</m:t>
                </m:r>
                <m:d>
                  <m:dPr>
                    <m:ctrlPr>
                      <w:rPr>
                        <w:rFonts w:ascii="Cambria Math" w:hAnsi="Cambria Math" w:eastAsia="楷体" w:cs="Times New Roman"/>
                        <w:i/>
                        <w:sz w:val="18"/>
                        <w:szCs w:val="18"/>
                        <w:highlight w:val="none"/>
                      </w:rPr>
                    </m:ctrlPr>
                  </m:dPr>
                  <m:e>
                    <m:r>
                      <m:rPr/>
                      <w:rPr>
                        <w:rFonts w:ascii="Cambria Math" w:hAnsi="Cambria Math" w:eastAsia="楷体" w:cs="Times New Roman"/>
                        <w:sz w:val="18"/>
                        <w:szCs w:val="18"/>
                        <w:highlight w:val="none"/>
                      </w:rPr>
                      <m:t>t</m:t>
                    </m:r>
                    <m:ctrlPr>
                      <w:rPr>
                        <w:rFonts w:ascii="Cambria Math" w:hAnsi="Cambria Math" w:eastAsia="楷体" w:cs="Times New Roman"/>
                        <w:i/>
                        <w:sz w:val="18"/>
                        <w:szCs w:val="18"/>
                        <w:highlight w:val="none"/>
                      </w:rPr>
                    </m:ctrlPr>
                  </m:e>
                </m:d>
                <m:r>
                  <m:rPr/>
                  <w:rPr>
                    <w:rFonts w:ascii="Cambria Math" w:hAnsi="Cambria Math" w:eastAsia="楷体" w:cs="Times New Roman"/>
                    <w:sz w:val="18"/>
                    <w:szCs w:val="18"/>
                    <w:highlight w:val="none"/>
                  </w:rPr>
                  <m:t>=</m:t>
                </m:r>
                <m:nary>
                  <m:naryPr>
                    <m:chr m:val="∑"/>
                    <m:limLoc m:val="undOvr"/>
                    <m:supHide m:val="1"/>
                    <m:ctrlPr>
                      <w:rPr>
                        <w:rFonts w:ascii="Cambria Math" w:hAnsi="Cambria Math" w:eastAsia="楷体" w:cs="Times New Roman"/>
                        <w:i/>
                        <w:sz w:val="18"/>
                        <w:szCs w:val="18"/>
                        <w:highlight w:val="none"/>
                      </w:rPr>
                    </m:ctrlPr>
                  </m:naryPr>
                  <m:sub>
                    <m:r>
                      <m:rPr/>
                      <w:rPr>
                        <w:rFonts w:ascii="Cambria Math" w:hAnsi="Cambria Math" w:eastAsia="楷体" w:cs="Times New Roman"/>
                        <w:sz w:val="18"/>
                        <w:szCs w:val="18"/>
                        <w:highlight w:val="none"/>
                      </w:rPr>
                      <m:t>τ∈T</m:t>
                    </m:r>
                    <m:ctrlPr>
                      <w:rPr>
                        <w:rFonts w:ascii="Cambria Math" w:hAnsi="Cambria Math" w:eastAsia="楷体" w:cs="Times New Roman"/>
                        <w:i/>
                        <w:sz w:val="18"/>
                        <w:szCs w:val="18"/>
                        <w:highlight w:val="none"/>
                      </w:rPr>
                    </m:ctrlPr>
                  </m:sub>
                  <m:sup>
                    <m:ctrlPr>
                      <w:rPr>
                        <w:rFonts w:ascii="Cambria Math" w:hAnsi="Cambria Math" w:eastAsia="楷体" w:cs="Times New Roman"/>
                        <w:i/>
                        <w:sz w:val="18"/>
                        <w:szCs w:val="18"/>
                        <w:highlight w:val="none"/>
                      </w:rPr>
                    </m:ctrlPr>
                  </m:sup>
                  <m:e>
                    <m:sSub>
                      <m:sSubPr>
                        <m:ctrlPr>
                          <w:rPr>
                            <w:rFonts w:ascii="Cambria Math" w:hAnsi="Cambria Math" w:eastAsia="楷体" w:cs="Times New Roman"/>
                            <w:i/>
                            <w:sz w:val="18"/>
                            <w:szCs w:val="18"/>
                            <w:highlight w:val="none"/>
                          </w:rPr>
                        </m:ctrlPr>
                      </m:sSubPr>
                      <m:e>
                        <m:r>
                          <m:rPr/>
                          <w:rPr>
                            <w:rFonts w:ascii="Cambria Math" w:hAnsi="Cambria Math" w:eastAsia="楷体" w:cs="Times New Roman"/>
                            <w:sz w:val="18"/>
                            <w:szCs w:val="18"/>
                            <w:highlight w:val="none"/>
                          </w:rPr>
                          <m:t>w</m:t>
                        </m:r>
                        <m:ctrlPr>
                          <w:rPr>
                            <w:rFonts w:ascii="Cambria Math" w:hAnsi="Cambria Math" w:eastAsia="楷体" w:cs="Times New Roman"/>
                            <w:i/>
                            <w:sz w:val="18"/>
                            <w:szCs w:val="18"/>
                            <w:highlight w:val="none"/>
                          </w:rPr>
                        </m:ctrlPr>
                      </m:e>
                      <m:sub>
                        <m:r>
                          <m:rPr/>
                          <w:rPr>
                            <w:rFonts w:ascii="Cambria Math" w:hAnsi="Cambria Math" w:eastAsia="楷体" w:cs="Times New Roman"/>
                            <w:sz w:val="18"/>
                            <w:szCs w:val="18"/>
                            <w:highlight w:val="none"/>
                          </w:rPr>
                          <m:t>τ−t−1</m:t>
                        </m:r>
                        <m:ctrlPr>
                          <w:rPr>
                            <w:rFonts w:ascii="Cambria Math" w:hAnsi="Cambria Math" w:eastAsia="楷体" w:cs="Times New Roman"/>
                            <w:i/>
                            <w:sz w:val="18"/>
                            <w:szCs w:val="18"/>
                            <w:highlight w:val="none"/>
                          </w:rPr>
                        </m:ctrlPr>
                      </m:sub>
                    </m:sSub>
                    <m:ctrlPr>
                      <w:rPr>
                        <w:rFonts w:ascii="Cambria Math" w:hAnsi="Cambria Math" w:eastAsia="楷体" w:cs="Times New Roman"/>
                        <w:i/>
                        <w:sz w:val="18"/>
                        <w:szCs w:val="18"/>
                        <w:highlight w:val="none"/>
                      </w:rPr>
                    </m:ctrlPr>
                  </m:e>
                </m:nary>
                <m:r>
                  <m:rPr/>
                  <w:rPr>
                    <w:rFonts w:ascii="Cambria Math" w:hAnsi="Cambria Math" w:eastAsia="楷体" w:cs="Times New Roman"/>
                    <w:sz w:val="18"/>
                    <w:szCs w:val="18"/>
                    <w:highlight w:val="none"/>
                  </w:rPr>
                  <m:t>[</m:t>
                </m:r>
                <m:func>
                  <m:funcPr>
                    <m:ctrlPr>
                      <w:rPr>
                        <w:rFonts w:ascii="Cambria Math" w:hAnsi="Cambria Math" w:eastAsia="楷体" w:cs="Times New Roman"/>
                        <w:sz w:val="18"/>
                        <w:szCs w:val="18"/>
                        <w:highlight w:val="none"/>
                      </w:rPr>
                    </m:ctrlPr>
                  </m:funcPr>
                  <m:fName>
                    <m:r>
                      <m:rPr>
                        <m:sty m:val="p"/>
                      </m:rPr>
                      <w:rPr>
                        <w:rFonts w:ascii="Cambria Math" w:hAnsi="Cambria Math" w:eastAsia="楷体" w:cs="Times New Roman"/>
                        <w:sz w:val="18"/>
                        <w:szCs w:val="18"/>
                        <w:highlight w:val="none"/>
                      </w:rPr>
                      <m:t>ln</m:t>
                    </m:r>
                    <m:ctrlPr>
                      <w:rPr>
                        <w:rFonts w:ascii="Cambria Math" w:hAnsi="Cambria Math" w:eastAsia="楷体" w:cs="Times New Roman"/>
                        <w:i/>
                        <w:sz w:val="18"/>
                        <w:szCs w:val="18"/>
                        <w:highlight w:val="none"/>
                      </w:rPr>
                    </m:ctrlPr>
                  </m:fName>
                  <m:e>
                    <m:d>
                      <m:dPr>
                        <m:ctrlPr>
                          <w:rPr>
                            <w:rFonts w:ascii="Cambria Math" w:hAnsi="Cambria Math" w:eastAsia="楷体" w:cs="Times New Roman"/>
                            <w:i/>
                            <w:sz w:val="18"/>
                            <w:szCs w:val="18"/>
                            <w:highlight w:val="none"/>
                          </w:rPr>
                        </m:ctrlPr>
                      </m:dPr>
                      <m:e>
                        <m:r>
                          <m:rPr/>
                          <w:rPr>
                            <w:rFonts w:ascii="Cambria Math" w:hAnsi="Cambria Math" w:eastAsia="楷体" w:cs="Times New Roman"/>
                            <w:sz w:val="18"/>
                            <w:szCs w:val="18"/>
                            <w:highlight w:val="none"/>
                          </w:rPr>
                          <m:t>1+r</m:t>
                        </m:r>
                        <m:d>
                          <m:dPr>
                            <m:ctrlPr>
                              <w:rPr>
                                <w:rFonts w:ascii="Cambria Math" w:hAnsi="Cambria Math" w:eastAsia="楷体" w:cs="Times New Roman"/>
                                <w:i/>
                                <w:sz w:val="18"/>
                                <w:szCs w:val="18"/>
                                <w:highlight w:val="none"/>
                              </w:rPr>
                            </m:ctrlPr>
                          </m:dPr>
                          <m:e>
                            <m:r>
                              <m:rPr/>
                              <w:rPr>
                                <w:rFonts w:ascii="Cambria Math" w:hAnsi="Cambria Math" w:eastAsia="楷体" w:cs="Times New Roman"/>
                                <w:sz w:val="18"/>
                                <w:szCs w:val="18"/>
                                <w:highlight w:val="none"/>
                              </w:rPr>
                              <m:t>τ</m:t>
                            </m:r>
                            <m:ctrlPr>
                              <w:rPr>
                                <w:rFonts w:ascii="Cambria Math" w:hAnsi="Cambria Math" w:eastAsia="楷体" w:cs="Times New Roman"/>
                                <w:i/>
                                <w:sz w:val="18"/>
                                <w:szCs w:val="18"/>
                                <w:highlight w:val="none"/>
                              </w:rPr>
                            </m:ctrlPr>
                          </m:e>
                        </m:d>
                        <m:ctrlPr>
                          <w:rPr>
                            <w:rFonts w:ascii="Cambria Math" w:hAnsi="Cambria Math" w:eastAsia="楷体" w:cs="Times New Roman"/>
                            <w:i/>
                            <w:sz w:val="18"/>
                            <w:szCs w:val="18"/>
                            <w:highlight w:val="none"/>
                          </w:rPr>
                        </m:ctrlPr>
                      </m:e>
                    </m:d>
                    <m:ctrlPr>
                      <w:rPr>
                        <w:rFonts w:ascii="Cambria Math" w:hAnsi="Cambria Math" w:eastAsia="楷体" w:cs="Times New Roman"/>
                        <w:sz w:val="18"/>
                        <w:szCs w:val="18"/>
                        <w:highlight w:val="none"/>
                      </w:rPr>
                    </m:ctrlPr>
                  </m:e>
                </m:func>
                <m:r>
                  <m:rPr/>
                  <w:rPr>
                    <w:rFonts w:ascii="Cambria Math" w:hAnsi="Cambria Math" w:eastAsia="楷体" w:cs="Times New Roman"/>
                    <w:sz w:val="18"/>
                    <w:szCs w:val="18"/>
                    <w:highlight w:val="none"/>
                  </w:rPr>
                  <m:t>]</m:t>
                </m:r>
              </m:oMath>
            </m:oMathPara>
          </w:p>
          <w:p w14:paraId="7E2639B1">
            <w:pPr>
              <w:rPr>
                <w:rFonts w:ascii="楷体" w:hAnsi="楷体" w:eastAsia="楷体" w:cs="Times New Roman"/>
                <w:sz w:val="18"/>
                <w:szCs w:val="18"/>
                <w:highlight w:val="none"/>
              </w:rPr>
            </w:pPr>
            <m:oMath>
              <m:r>
                <m:rPr/>
                <w:rPr>
                  <w:rFonts w:ascii="Cambria Math" w:hAnsi="Cambria Math" w:eastAsia="楷体" w:cs="Times New Roman"/>
                  <w:sz w:val="18"/>
                  <w:szCs w:val="18"/>
                  <w:highlight w:val="none"/>
                </w:rPr>
                <m:t>r</m:t>
              </m:r>
            </m:oMath>
            <w:r>
              <w:rPr>
                <w:rFonts w:hint="eastAsia" w:ascii="楷体" w:hAnsi="楷体" w:eastAsia="楷体" w:cs="Times New Roman"/>
                <w:sz w:val="18"/>
                <w:szCs w:val="18"/>
                <w:highlight w:val="none"/>
              </w:rPr>
              <w:t>为算数平均股票收益率，</w:t>
            </w:r>
            <m:oMath>
              <m:r>
                <m:rPr/>
                <w:rPr>
                  <w:rFonts w:ascii="Cambria Math" w:hAnsi="Cambria Math" w:eastAsia="楷体" w:cs="Times New Roman"/>
                  <w:sz w:val="18"/>
                  <w:szCs w:val="18"/>
                  <w:highlight w:val="none"/>
                </w:rPr>
                <m:t>w</m:t>
              </m:r>
            </m:oMath>
            <w:r>
              <w:rPr>
                <w:rFonts w:hint="eastAsia" w:ascii="楷体" w:hAnsi="楷体" w:eastAsia="楷体" w:cs="Times New Roman"/>
                <w:sz w:val="18"/>
                <w:szCs w:val="18"/>
                <w:highlight w:val="none"/>
              </w:rPr>
              <w:t>为半衰指数权重，时间窗口21个交易日，半衰期5个交易日，T={t-1,.....,t-n</w:t>
            </w:r>
            <w:r>
              <w:rPr>
                <w:rFonts w:ascii="楷体" w:hAnsi="楷体" w:eastAsia="楷体" w:cs="Times New Roman"/>
                <w:sz w:val="18"/>
                <w:szCs w:val="18"/>
                <w:highlight w:val="none"/>
              </w:rPr>
              <w:t>}</w:t>
            </w:r>
          </w:p>
        </w:tc>
      </w:tr>
      <w:tr w14:paraId="019B355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675918BD">
            <w:pPr>
              <w:jc w:val="center"/>
              <w:rPr>
                <w:rFonts w:ascii="楷体" w:hAnsi="楷体" w:eastAsia="楷体"/>
                <w:sz w:val="18"/>
                <w:szCs w:val="18"/>
                <w:highlight w:val="none"/>
              </w:rPr>
            </w:pPr>
          </w:p>
        </w:tc>
        <w:tc>
          <w:tcPr>
            <w:tcW w:w="1276" w:type="dxa"/>
            <w:vAlign w:val="center"/>
          </w:tcPr>
          <w:p w14:paraId="40B8E161">
            <w:pPr>
              <w:jc w:val="center"/>
              <w:rPr>
                <w:rFonts w:ascii="楷体" w:hAnsi="楷体" w:eastAsia="楷体"/>
                <w:sz w:val="18"/>
                <w:szCs w:val="18"/>
                <w:highlight w:val="none"/>
              </w:rPr>
            </w:pPr>
            <w:r>
              <w:rPr>
                <w:rFonts w:ascii="楷体" w:hAnsi="楷体" w:eastAsia="楷体"/>
                <w:sz w:val="18"/>
                <w:szCs w:val="18"/>
                <w:highlight w:val="none"/>
              </w:rPr>
              <w:t>Seasonality</w:t>
            </w:r>
          </w:p>
        </w:tc>
        <w:tc>
          <w:tcPr>
            <w:tcW w:w="1843" w:type="dxa"/>
            <w:vAlign w:val="center"/>
          </w:tcPr>
          <w:p w14:paraId="1D83474F">
            <w:pPr>
              <w:jc w:val="center"/>
              <w:rPr>
                <w:rFonts w:ascii="楷体" w:hAnsi="楷体" w:eastAsia="楷体"/>
                <w:sz w:val="18"/>
                <w:szCs w:val="18"/>
                <w:highlight w:val="none"/>
              </w:rPr>
            </w:pPr>
            <w:r>
              <w:rPr>
                <w:rFonts w:ascii="楷体" w:hAnsi="楷体" w:eastAsia="楷体"/>
                <w:sz w:val="18"/>
                <w:szCs w:val="18"/>
                <w:highlight w:val="none"/>
              </w:rPr>
              <w:t>Seasonality</w:t>
            </w:r>
          </w:p>
        </w:tc>
        <w:tc>
          <w:tcPr>
            <w:tcW w:w="1145" w:type="dxa"/>
            <w:vAlign w:val="center"/>
          </w:tcPr>
          <w:p w14:paraId="04C1BF29">
            <w:pPr>
              <w:jc w:val="center"/>
              <w:rPr>
                <w:rFonts w:ascii="楷体" w:hAnsi="楷体" w:eastAsia="楷体"/>
                <w:sz w:val="18"/>
                <w:szCs w:val="18"/>
                <w:highlight w:val="none"/>
              </w:rPr>
            </w:pPr>
            <w:r>
              <w:rPr>
                <w:rFonts w:hint="eastAsia" w:ascii="楷体" w:hAnsi="楷体" w:eastAsia="楷体"/>
                <w:sz w:val="18"/>
                <w:szCs w:val="18"/>
                <w:highlight w:val="none"/>
              </w:rPr>
              <w:t>季节因子</w:t>
            </w:r>
          </w:p>
        </w:tc>
        <w:tc>
          <w:tcPr>
            <w:tcW w:w="4950" w:type="dxa"/>
            <w:vAlign w:val="center"/>
          </w:tcPr>
          <w:p w14:paraId="33600C5F">
            <w:pPr>
              <w:rPr>
                <w:rFonts w:ascii="楷体" w:hAnsi="楷体" w:eastAsia="楷体" w:cs="Times New Roman"/>
                <w:sz w:val="18"/>
                <w:szCs w:val="18"/>
                <w:highlight w:val="none"/>
              </w:rPr>
            </w:pPr>
            <w:r>
              <w:rPr>
                <w:rFonts w:hint="eastAsia" w:ascii="楷体" w:hAnsi="楷体" w:eastAsia="楷体" w:cs="Times New Roman"/>
                <w:sz w:val="18"/>
                <w:szCs w:val="18"/>
                <w:highlight w:val="none"/>
              </w:rPr>
              <w:t>过去五年的已实现次月收益率的平均值</w:t>
            </w:r>
          </w:p>
          <w:p w14:paraId="0F5E4BA2">
            <w:pPr>
              <w:rPr>
                <w:rFonts w:ascii="楷体" w:hAnsi="楷体" w:eastAsia="楷体" w:cs="Times New Roman"/>
                <w:i/>
                <w:sz w:val="18"/>
                <w:szCs w:val="18"/>
                <w:highlight w:val="none"/>
              </w:rPr>
            </w:pPr>
            <m:oMathPara>
              <m:oMath>
                <m:r>
                  <m:rPr/>
                  <w:rPr>
                    <w:rFonts w:ascii="Cambria Math" w:hAnsi="Cambria Math" w:eastAsia="楷体" w:cs="Times New Roman"/>
                    <w:sz w:val="18"/>
                    <w:szCs w:val="18"/>
                    <w:highlight w:val="none"/>
                  </w:rPr>
                  <m:t>SEASON</m:t>
                </m:r>
                <m:d>
                  <m:dPr>
                    <m:ctrlPr>
                      <w:rPr>
                        <w:rFonts w:ascii="Cambria Math" w:hAnsi="Cambria Math" w:eastAsia="楷体" w:cs="Times New Roman"/>
                        <w:i/>
                        <w:sz w:val="18"/>
                        <w:szCs w:val="18"/>
                        <w:highlight w:val="none"/>
                      </w:rPr>
                    </m:ctrlPr>
                  </m:dPr>
                  <m:e>
                    <m:r>
                      <m:rPr/>
                      <w:rPr>
                        <w:rFonts w:ascii="Cambria Math" w:hAnsi="Cambria Math" w:eastAsia="楷体" w:cs="Times New Roman"/>
                        <w:sz w:val="18"/>
                        <w:szCs w:val="18"/>
                        <w:highlight w:val="none"/>
                      </w:rPr>
                      <m:t>t</m:t>
                    </m:r>
                    <m:ctrlPr>
                      <w:rPr>
                        <w:rFonts w:ascii="Cambria Math" w:hAnsi="Cambria Math" w:eastAsia="楷体" w:cs="Times New Roman"/>
                        <w:i/>
                        <w:sz w:val="18"/>
                        <w:szCs w:val="18"/>
                        <w:highlight w:val="none"/>
                      </w:rPr>
                    </m:ctrlPr>
                  </m:e>
                </m:d>
                <m:r>
                  <m:rPr/>
                  <w:rPr>
                    <w:rFonts w:ascii="Cambria Math" w:hAnsi="Cambria Math" w:eastAsia="楷体" w:cs="Times New Roman"/>
                    <w:sz w:val="18"/>
                    <w:szCs w:val="18"/>
                    <w:highlight w:val="none"/>
                  </w:rPr>
                  <m:t>=</m:t>
                </m:r>
                <m:f>
                  <m:fPr>
                    <m:ctrlPr>
                      <w:rPr>
                        <w:rFonts w:ascii="Cambria Math" w:hAnsi="Cambria Math" w:eastAsia="楷体" w:cs="Times New Roman"/>
                        <w:i/>
                        <w:sz w:val="18"/>
                        <w:szCs w:val="18"/>
                        <w:highlight w:val="none"/>
                      </w:rPr>
                    </m:ctrlPr>
                  </m:fPr>
                  <m:num>
                    <m:r>
                      <m:rPr/>
                      <w:rPr>
                        <w:rFonts w:ascii="Cambria Math" w:hAnsi="Cambria Math" w:eastAsia="楷体" w:cs="Times New Roman"/>
                        <w:sz w:val="18"/>
                        <w:szCs w:val="18"/>
                        <w:highlight w:val="none"/>
                      </w:rPr>
                      <m:t>1</m:t>
                    </m:r>
                    <m:ctrlPr>
                      <w:rPr>
                        <w:rFonts w:ascii="Cambria Math" w:hAnsi="Cambria Math" w:eastAsia="楷体" w:cs="Times New Roman"/>
                        <w:i/>
                        <w:sz w:val="18"/>
                        <w:szCs w:val="18"/>
                        <w:highlight w:val="none"/>
                      </w:rPr>
                    </m:ctrlPr>
                  </m:num>
                  <m:den>
                    <m:r>
                      <m:rPr/>
                      <w:rPr>
                        <w:rFonts w:ascii="Cambria Math" w:hAnsi="Cambria Math" w:eastAsia="楷体" w:cs="Times New Roman"/>
                        <w:sz w:val="18"/>
                        <w:szCs w:val="18"/>
                        <w:highlight w:val="none"/>
                      </w:rPr>
                      <m:t>Y</m:t>
                    </m:r>
                    <m:ctrlPr>
                      <w:rPr>
                        <w:rFonts w:ascii="Cambria Math" w:hAnsi="Cambria Math" w:eastAsia="楷体" w:cs="Times New Roman"/>
                        <w:i/>
                        <w:sz w:val="18"/>
                        <w:szCs w:val="18"/>
                        <w:highlight w:val="none"/>
                      </w:rPr>
                    </m:ctrlPr>
                  </m:den>
                </m:f>
                <m:nary>
                  <m:naryPr>
                    <m:chr m:val="∑"/>
                    <m:limLoc m:val="undOvr"/>
                    <m:ctrlPr>
                      <w:rPr>
                        <w:rFonts w:ascii="Cambria Math" w:hAnsi="Cambria Math" w:eastAsia="楷体" w:cs="Times New Roman"/>
                        <w:i/>
                        <w:sz w:val="18"/>
                        <w:szCs w:val="18"/>
                        <w:highlight w:val="none"/>
                      </w:rPr>
                    </m:ctrlPr>
                  </m:naryPr>
                  <m:sub>
                    <m:r>
                      <m:rPr/>
                      <w:rPr>
                        <w:rFonts w:ascii="Cambria Math" w:hAnsi="Cambria Math" w:eastAsia="楷体" w:cs="Times New Roman"/>
                        <w:sz w:val="18"/>
                        <w:szCs w:val="18"/>
                        <w:highlight w:val="none"/>
                      </w:rPr>
                      <m:t>y=1</m:t>
                    </m:r>
                    <m:ctrlPr>
                      <w:rPr>
                        <w:rFonts w:ascii="Cambria Math" w:hAnsi="Cambria Math" w:eastAsia="楷体" w:cs="Times New Roman"/>
                        <w:i/>
                        <w:sz w:val="18"/>
                        <w:szCs w:val="18"/>
                        <w:highlight w:val="none"/>
                      </w:rPr>
                    </m:ctrlPr>
                  </m:sub>
                  <m:sup>
                    <m:r>
                      <m:rPr/>
                      <w:rPr>
                        <w:rFonts w:ascii="Cambria Math" w:hAnsi="Cambria Math" w:eastAsia="楷体" w:cs="Times New Roman"/>
                        <w:sz w:val="18"/>
                        <w:szCs w:val="18"/>
                        <w:highlight w:val="none"/>
                      </w:rPr>
                      <m:t>Y</m:t>
                    </m:r>
                    <m:ctrlPr>
                      <w:rPr>
                        <w:rFonts w:ascii="Cambria Math" w:hAnsi="Cambria Math" w:eastAsia="楷体" w:cs="Times New Roman"/>
                        <w:i/>
                        <w:sz w:val="18"/>
                        <w:szCs w:val="18"/>
                        <w:highlight w:val="none"/>
                      </w:rPr>
                    </m:ctrlPr>
                  </m:sup>
                  <m:e>
                    <m:sSub>
                      <m:sSubPr>
                        <m:ctrlPr>
                          <w:rPr>
                            <w:rFonts w:ascii="Cambria Math" w:hAnsi="Cambria Math" w:eastAsia="楷体" w:cs="Times New Roman"/>
                            <w:i/>
                            <w:sz w:val="18"/>
                            <w:szCs w:val="18"/>
                            <w:highlight w:val="none"/>
                          </w:rPr>
                        </m:ctrlPr>
                      </m:sSubPr>
                      <m:e>
                        <m:r>
                          <m:rPr/>
                          <w:rPr>
                            <w:rFonts w:ascii="Cambria Math" w:hAnsi="Cambria Math" w:eastAsia="楷体" w:cs="Times New Roman"/>
                            <w:sz w:val="18"/>
                            <w:szCs w:val="18"/>
                            <w:highlight w:val="none"/>
                          </w:rPr>
                          <m:t>r</m:t>
                        </m:r>
                        <m:ctrlPr>
                          <w:rPr>
                            <w:rFonts w:ascii="Cambria Math" w:hAnsi="Cambria Math" w:eastAsia="楷体" w:cs="Times New Roman"/>
                            <w:i/>
                            <w:sz w:val="18"/>
                            <w:szCs w:val="18"/>
                            <w:highlight w:val="none"/>
                          </w:rPr>
                        </m:ctrlPr>
                      </m:e>
                      <m:sub>
                        <m:r>
                          <m:rPr/>
                          <w:rPr>
                            <w:rFonts w:ascii="Cambria Math" w:hAnsi="Cambria Math" w:eastAsia="楷体" w:cs="Times New Roman"/>
                            <w:sz w:val="18"/>
                            <w:szCs w:val="18"/>
                            <w:highlight w:val="none"/>
                          </w:rPr>
                          <m:t>y</m:t>
                        </m:r>
                        <m:ctrlPr>
                          <w:rPr>
                            <w:rFonts w:ascii="Cambria Math" w:hAnsi="Cambria Math" w:eastAsia="楷体" w:cs="Times New Roman"/>
                            <w:i/>
                            <w:sz w:val="18"/>
                            <w:szCs w:val="18"/>
                            <w:highlight w:val="none"/>
                          </w:rPr>
                        </m:ctrlPr>
                      </m:sub>
                    </m:sSub>
                    <m:ctrlPr>
                      <w:rPr>
                        <w:rFonts w:ascii="Cambria Math" w:hAnsi="Cambria Math" w:eastAsia="楷体" w:cs="Times New Roman"/>
                        <w:i/>
                        <w:sz w:val="18"/>
                        <w:szCs w:val="18"/>
                        <w:highlight w:val="none"/>
                      </w:rPr>
                    </m:ctrlPr>
                  </m:e>
                </m:nary>
              </m:oMath>
            </m:oMathPara>
          </w:p>
          <w:p w14:paraId="1A74C623">
            <w:pPr>
              <w:rPr>
                <w:sz w:val="18"/>
                <w:szCs w:val="18"/>
                <w:highlight w:val="none"/>
              </w:rPr>
            </w:pPr>
            <m:oMath>
              <m:sSub>
                <m:sSubPr>
                  <m:ctrlPr>
                    <w:rPr>
                      <w:rFonts w:ascii="Cambria Math" w:hAnsi="Cambria Math" w:eastAsia="楷体" w:cs="Times New Roman"/>
                      <w:sz w:val="18"/>
                      <w:szCs w:val="18"/>
                      <w:highlight w:val="none"/>
                    </w:rPr>
                  </m:ctrlPr>
                </m:sSubPr>
                <m:e>
                  <m:r>
                    <m:rPr>
                      <m:sty m:val="p"/>
                    </m:rPr>
                    <w:rPr>
                      <w:rFonts w:ascii="Cambria Math" w:hAnsi="Cambria Math" w:eastAsia="楷体" w:cs="Times New Roman"/>
                      <w:sz w:val="18"/>
                      <w:szCs w:val="18"/>
                      <w:highlight w:val="none"/>
                    </w:rPr>
                    <m:t>r</m:t>
                  </m:r>
                  <m:ctrlPr>
                    <w:rPr>
                      <w:rFonts w:ascii="Cambria Math" w:hAnsi="Cambria Math" w:eastAsia="楷体" w:cs="Times New Roman"/>
                      <w:sz w:val="18"/>
                      <w:szCs w:val="18"/>
                      <w:highlight w:val="none"/>
                    </w:rPr>
                  </m:ctrlPr>
                </m:e>
                <m:sub>
                  <m:r>
                    <m:rPr>
                      <m:sty m:val="p"/>
                    </m:rPr>
                    <w:rPr>
                      <w:rFonts w:ascii="Cambria Math" w:hAnsi="Cambria Math" w:eastAsia="楷体" w:cs="Times New Roman"/>
                      <w:sz w:val="18"/>
                      <w:szCs w:val="18"/>
                      <w:highlight w:val="none"/>
                    </w:rPr>
                    <m:t>y</m:t>
                  </m:r>
                  <m:ctrlPr>
                    <w:rPr>
                      <w:rFonts w:ascii="Cambria Math" w:hAnsi="Cambria Math" w:eastAsia="楷体" w:cs="Times New Roman"/>
                      <w:sz w:val="18"/>
                      <w:szCs w:val="18"/>
                      <w:highlight w:val="none"/>
                    </w:rPr>
                  </m:ctrlPr>
                </m:sub>
              </m:sSub>
            </m:oMath>
            <w:r>
              <w:rPr>
                <w:rFonts w:hint="eastAsia" w:ascii="楷体" w:hAnsi="楷体" w:eastAsia="楷体" w:cs="Times New Roman"/>
                <w:sz w:val="18"/>
                <w:szCs w:val="18"/>
                <w:highlight w:val="none"/>
              </w:rPr>
              <w:t>为滞后y年的月收益率</w:t>
            </w:r>
          </w:p>
        </w:tc>
      </w:tr>
      <w:tr w14:paraId="52E5649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74720F67">
            <w:pPr>
              <w:jc w:val="center"/>
              <w:rPr>
                <w:rFonts w:ascii="楷体" w:hAnsi="楷体" w:eastAsia="楷体"/>
                <w:sz w:val="18"/>
                <w:szCs w:val="18"/>
                <w:highlight w:val="none"/>
              </w:rPr>
            </w:pPr>
          </w:p>
        </w:tc>
        <w:tc>
          <w:tcPr>
            <w:tcW w:w="1276" w:type="dxa"/>
            <w:vAlign w:val="center"/>
          </w:tcPr>
          <w:p w14:paraId="3A139E6D">
            <w:pPr>
              <w:jc w:val="center"/>
              <w:rPr>
                <w:rFonts w:ascii="楷体" w:hAnsi="楷体" w:eastAsia="楷体"/>
                <w:sz w:val="18"/>
                <w:szCs w:val="18"/>
                <w:highlight w:val="none"/>
              </w:rPr>
            </w:pPr>
            <w:r>
              <w:rPr>
                <w:rFonts w:ascii="楷体" w:hAnsi="楷体" w:eastAsia="楷体"/>
                <w:sz w:val="18"/>
                <w:szCs w:val="18"/>
                <w:highlight w:val="none"/>
              </w:rPr>
              <w:t>Industry Momentum</w:t>
            </w:r>
          </w:p>
        </w:tc>
        <w:tc>
          <w:tcPr>
            <w:tcW w:w="1843" w:type="dxa"/>
            <w:vAlign w:val="center"/>
          </w:tcPr>
          <w:p w14:paraId="00C3F5F5">
            <w:pPr>
              <w:jc w:val="center"/>
              <w:rPr>
                <w:rFonts w:ascii="楷体" w:hAnsi="楷体" w:eastAsia="楷体"/>
                <w:sz w:val="18"/>
                <w:szCs w:val="18"/>
                <w:highlight w:val="none"/>
              </w:rPr>
            </w:pPr>
            <w:r>
              <w:rPr>
                <w:rFonts w:ascii="楷体" w:hAnsi="楷体" w:eastAsia="楷体"/>
                <w:sz w:val="18"/>
                <w:szCs w:val="18"/>
                <w:highlight w:val="none"/>
              </w:rPr>
              <w:t>Industry Momentum</w:t>
            </w:r>
          </w:p>
        </w:tc>
        <w:tc>
          <w:tcPr>
            <w:tcW w:w="1145" w:type="dxa"/>
            <w:vAlign w:val="center"/>
          </w:tcPr>
          <w:p w14:paraId="7E3BE68F">
            <w:pPr>
              <w:jc w:val="center"/>
              <w:rPr>
                <w:rFonts w:ascii="楷体" w:hAnsi="楷体" w:eastAsia="楷体"/>
                <w:sz w:val="18"/>
                <w:szCs w:val="18"/>
                <w:highlight w:val="none"/>
              </w:rPr>
            </w:pPr>
            <w:r>
              <w:rPr>
                <w:rFonts w:hint="eastAsia" w:ascii="楷体" w:hAnsi="楷体" w:eastAsia="楷体"/>
                <w:sz w:val="18"/>
                <w:szCs w:val="18"/>
                <w:highlight w:val="none"/>
              </w:rPr>
              <w:t>行业动量</w:t>
            </w:r>
          </w:p>
        </w:tc>
        <w:tc>
          <w:tcPr>
            <w:tcW w:w="4950" w:type="dxa"/>
            <w:vAlign w:val="center"/>
          </w:tcPr>
          <w:p w14:paraId="30A8CF38">
            <w:pPr>
              <w:rPr>
                <w:rFonts w:ascii="楷体" w:hAnsi="楷体" w:eastAsia="楷体" w:cs="Times New Roman"/>
                <w:sz w:val="18"/>
                <w:szCs w:val="18"/>
                <w:highlight w:val="none"/>
              </w:rPr>
            </w:pPr>
            <w:r>
              <w:rPr>
                <w:rFonts w:hint="eastAsia" w:ascii="楷体" w:hAnsi="楷体" w:eastAsia="楷体" w:cs="Times New Roman"/>
                <w:sz w:val="18"/>
                <w:szCs w:val="18"/>
                <w:highlight w:val="none"/>
              </w:rPr>
              <w:t>该指标描述个股相对一级行业的强度</w:t>
            </w:r>
          </w:p>
          <w:p w14:paraId="6D107A92">
            <w:pPr>
              <w:rPr>
                <w:rFonts w:ascii="楷体" w:hAnsi="楷体" w:eastAsia="楷体" w:cs="Times New Roman"/>
                <w:sz w:val="18"/>
                <w:szCs w:val="18"/>
                <w:highlight w:val="none"/>
              </w:rPr>
            </w:pPr>
            <w:r>
              <w:rPr>
                <w:rFonts w:hint="eastAsia" w:ascii="楷体" w:hAnsi="楷体" w:eastAsia="楷体" w:cs="Times New Roman"/>
                <w:sz w:val="18"/>
                <w:szCs w:val="18"/>
                <w:highlight w:val="none"/>
              </w:rPr>
              <w:t>（1）个股相对强度定义为：</w:t>
            </w:r>
          </w:p>
          <w:p w14:paraId="34C95BEF">
            <w:pPr>
              <w:rPr>
                <w:rFonts w:ascii="Cambria Math" w:hAnsi="Cambria Math" w:eastAsia="楷体" w:cs="Times New Roman"/>
                <w:i/>
                <w:sz w:val="18"/>
                <w:szCs w:val="18"/>
                <w:highlight w:val="none"/>
              </w:rPr>
            </w:pPr>
            <m:oMathPara>
              <m:oMath>
                <m:sSub>
                  <m:sSubPr>
                    <m:ctrlPr>
                      <w:rPr>
                        <w:rFonts w:ascii="Cambria Math" w:hAnsi="Cambria Math" w:eastAsia="楷体" w:cs="Times New Roman"/>
                        <w:i/>
                        <w:sz w:val="18"/>
                        <w:szCs w:val="18"/>
                        <w:highlight w:val="none"/>
                      </w:rPr>
                    </m:ctrlPr>
                  </m:sSubPr>
                  <m:e>
                    <m:r>
                      <m:rPr/>
                      <w:rPr>
                        <w:rFonts w:ascii="Cambria Math" w:hAnsi="Cambria Math" w:eastAsia="楷体" w:cs="Times New Roman"/>
                        <w:sz w:val="18"/>
                        <w:szCs w:val="18"/>
                        <w:highlight w:val="none"/>
                      </w:rPr>
                      <m:t>RS</m:t>
                    </m:r>
                    <m:ctrlPr>
                      <w:rPr>
                        <w:rFonts w:ascii="Cambria Math" w:hAnsi="Cambria Math" w:eastAsia="楷体" w:cs="Times New Roman"/>
                        <w:i/>
                        <w:sz w:val="18"/>
                        <w:szCs w:val="18"/>
                        <w:highlight w:val="none"/>
                      </w:rPr>
                    </m:ctrlPr>
                  </m:e>
                  <m:sub>
                    <m:r>
                      <m:rPr/>
                      <w:rPr>
                        <w:rFonts w:ascii="Cambria Math" w:hAnsi="Cambria Math" w:eastAsia="楷体" w:cs="Times New Roman"/>
                        <w:sz w:val="18"/>
                        <w:szCs w:val="18"/>
                        <w:highlight w:val="none"/>
                      </w:rPr>
                      <m:t>S</m:t>
                    </m:r>
                    <m:ctrlPr>
                      <w:rPr>
                        <w:rFonts w:ascii="Cambria Math" w:hAnsi="Cambria Math" w:eastAsia="楷体" w:cs="Times New Roman"/>
                        <w:i/>
                        <w:sz w:val="18"/>
                        <w:szCs w:val="18"/>
                        <w:highlight w:val="none"/>
                      </w:rPr>
                    </m:ctrlPr>
                  </m:sub>
                </m:sSub>
                <m:d>
                  <m:dPr>
                    <m:ctrlPr>
                      <w:rPr>
                        <w:rFonts w:ascii="Cambria Math" w:hAnsi="Cambria Math" w:eastAsia="楷体" w:cs="Times New Roman"/>
                        <w:i/>
                        <w:sz w:val="18"/>
                        <w:szCs w:val="18"/>
                        <w:highlight w:val="none"/>
                      </w:rPr>
                    </m:ctrlPr>
                  </m:dPr>
                  <m:e>
                    <m:r>
                      <m:rPr/>
                      <w:rPr>
                        <w:rFonts w:ascii="Cambria Math" w:hAnsi="Cambria Math" w:eastAsia="楷体" w:cs="Times New Roman"/>
                        <w:sz w:val="18"/>
                        <w:szCs w:val="18"/>
                        <w:highlight w:val="none"/>
                      </w:rPr>
                      <m:t>t</m:t>
                    </m:r>
                    <m:ctrlPr>
                      <w:rPr>
                        <w:rFonts w:ascii="Cambria Math" w:hAnsi="Cambria Math" w:eastAsia="楷体" w:cs="Times New Roman"/>
                        <w:i/>
                        <w:sz w:val="18"/>
                        <w:szCs w:val="18"/>
                        <w:highlight w:val="none"/>
                      </w:rPr>
                    </m:ctrlPr>
                  </m:e>
                </m:d>
                <m:r>
                  <m:rPr/>
                  <w:rPr>
                    <w:rFonts w:ascii="Cambria Math" w:hAnsi="Cambria Math" w:eastAsia="楷体" w:cs="Times New Roman"/>
                    <w:sz w:val="18"/>
                    <w:szCs w:val="18"/>
                    <w:highlight w:val="none"/>
                  </w:rPr>
                  <m:t>=</m:t>
                </m:r>
                <m:nary>
                  <m:naryPr>
                    <m:chr m:val="∑"/>
                    <m:limLoc m:val="undOvr"/>
                    <m:supHide m:val="1"/>
                    <m:ctrlPr>
                      <w:rPr>
                        <w:rFonts w:ascii="Cambria Math" w:hAnsi="Cambria Math" w:eastAsia="楷体" w:cs="Times New Roman"/>
                        <w:i/>
                        <w:sz w:val="18"/>
                        <w:szCs w:val="18"/>
                        <w:highlight w:val="none"/>
                      </w:rPr>
                    </m:ctrlPr>
                  </m:naryPr>
                  <m:sub>
                    <m:r>
                      <m:rPr/>
                      <w:rPr>
                        <w:rFonts w:ascii="Cambria Math" w:hAnsi="Cambria Math" w:eastAsia="楷体" w:cs="Times New Roman"/>
                        <w:sz w:val="18"/>
                        <w:szCs w:val="18"/>
                        <w:highlight w:val="none"/>
                      </w:rPr>
                      <m:t>τϵT(t)</m:t>
                    </m:r>
                    <m:ctrlPr>
                      <w:rPr>
                        <w:rFonts w:ascii="Cambria Math" w:hAnsi="Cambria Math" w:eastAsia="楷体" w:cs="Times New Roman"/>
                        <w:i/>
                        <w:sz w:val="18"/>
                        <w:szCs w:val="18"/>
                        <w:highlight w:val="none"/>
                      </w:rPr>
                    </m:ctrlPr>
                  </m:sub>
                  <m:sup>
                    <m:ctrlPr>
                      <w:rPr>
                        <w:rFonts w:ascii="Cambria Math" w:hAnsi="Cambria Math" w:eastAsia="楷体" w:cs="Times New Roman"/>
                        <w:i/>
                        <w:sz w:val="18"/>
                        <w:szCs w:val="18"/>
                        <w:highlight w:val="none"/>
                      </w:rPr>
                    </m:ctrlPr>
                  </m:sup>
                  <m:e>
                    <m:sSub>
                      <m:sSubPr>
                        <m:ctrlPr>
                          <w:rPr>
                            <w:rFonts w:ascii="Cambria Math" w:hAnsi="Cambria Math" w:eastAsia="楷体" w:cs="Times New Roman"/>
                            <w:i/>
                            <w:sz w:val="18"/>
                            <w:szCs w:val="18"/>
                            <w:highlight w:val="none"/>
                          </w:rPr>
                        </m:ctrlPr>
                      </m:sSubPr>
                      <m:e>
                        <m:r>
                          <m:rPr/>
                          <w:rPr>
                            <w:rFonts w:ascii="Cambria Math" w:hAnsi="Cambria Math" w:eastAsia="楷体" w:cs="Times New Roman"/>
                            <w:sz w:val="18"/>
                            <w:szCs w:val="18"/>
                            <w:highlight w:val="none"/>
                          </w:rPr>
                          <m:t>w</m:t>
                        </m:r>
                        <m:ctrlPr>
                          <w:rPr>
                            <w:rFonts w:ascii="Cambria Math" w:hAnsi="Cambria Math" w:eastAsia="楷体" w:cs="Times New Roman"/>
                            <w:i/>
                            <w:sz w:val="18"/>
                            <w:szCs w:val="18"/>
                            <w:highlight w:val="none"/>
                          </w:rPr>
                        </m:ctrlPr>
                      </m:e>
                      <m:sub>
                        <m:r>
                          <m:rPr/>
                          <w:rPr>
                            <w:rFonts w:ascii="Cambria Math" w:hAnsi="Cambria Math" w:eastAsia="楷体" w:cs="Times New Roman"/>
                            <w:sz w:val="18"/>
                            <w:szCs w:val="18"/>
                            <w:highlight w:val="none"/>
                          </w:rPr>
                          <m:t>τ−t</m:t>
                        </m:r>
                        <m:ctrlPr>
                          <w:rPr>
                            <w:rFonts w:ascii="Cambria Math" w:hAnsi="Cambria Math" w:eastAsia="楷体" w:cs="Times New Roman"/>
                            <w:i/>
                            <w:sz w:val="18"/>
                            <w:szCs w:val="18"/>
                            <w:highlight w:val="none"/>
                          </w:rPr>
                        </m:ctrlPr>
                      </m:sub>
                    </m:sSub>
                    <m:r>
                      <m:rPr/>
                      <w:rPr>
                        <w:rFonts w:ascii="Cambria Math" w:hAnsi="Cambria Math" w:eastAsia="楷体" w:cs="Times New Roman"/>
                        <w:sz w:val="18"/>
                        <w:szCs w:val="18"/>
                        <w:highlight w:val="none"/>
                      </w:rPr>
                      <m:t>[ln⁡(1+</m:t>
                    </m:r>
                    <m:sSub>
                      <m:sSubPr>
                        <m:ctrlPr>
                          <w:rPr>
                            <w:rFonts w:ascii="Cambria Math" w:hAnsi="Cambria Math" w:eastAsia="楷体" w:cs="Times New Roman"/>
                            <w:i/>
                            <w:sz w:val="18"/>
                            <w:szCs w:val="18"/>
                            <w:highlight w:val="none"/>
                          </w:rPr>
                        </m:ctrlPr>
                      </m:sSubPr>
                      <m:e>
                        <m:r>
                          <m:rPr/>
                          <w:rPr>
                            <w:rFonts w:ascii="Cambria Math" w:hAnsi="Cambria Math" w:eastAsia="楷体" w:cs="Times New Roman"/>
                            <w:sz w:val="18"/>
                            <w:szCs w:val="18"/>
                            <w:highlight w:val="none"/>
                          </w:rPr>
                          <m:t>r</m:t>
                        </m:r>
                        <m:ctrlPr>
                          <w:rPr>
                            <w:rFonts w:ascii="Cambria Math" w:hAnsi="Cambria Math" w:eastAsia="楷体" w:cs="Times New Roman"/>
                            <w:i/>
                            <w:sz w:val="18"/>
                            <w:szCs w:val="18"/>
                            <w:highlight w:val="none"/>
                          </w:rPr>
                        </m:ctrlPr>
                      </m:e>
                      <m:sub>
                        <m:r>
                          <m:rPr/>
                          <w:rPr>
                            <w:rFonts w:ascii="Cambria Math" w:hAnsi="Cambria Math" w:eastAsia="楷体" w:cs="Times New Roman"/>
                            <w:sz w:val="18"/>
                            <w:szCs w:val="18"/>
                            <w:highlight w:val="none"/>
                          </w:rPr>
                          <m:t>s</m:t>
                        </m:r>
                        <m:ctrlPr>
                          <w:rPr>
                            <w:rFonts w:ascii="Cambria Math" w:hAnsi="Cambria Math" w:eastAsia="楷体" w:cs="Times New Roman"/>
                            <w:i/>
                            <w:sz w:val="18"/>
                            <w:szCs w:val="18"/>
                            <w:highlight w:val="none"/>
                          </w:rPr>
                        </m:ctrlPr>
                      </m:sub>
                    </m:sSub>
                    <m:r>
                      <m:rPr/>
                      <w:rPr>
                        <w:rFonts w:ascii="Cambria Math" w:hAnsi="Cambria Math" w:eastAsia="楷体" w:cs="Times New Roman"/>
                        <w:sz w:val="18"/>
                        <w:szCs w:val="18"/>
                        <w:highlight w:val="none"/>
                      </w:rPr>
                      <m:t>(τ)]</m:t>
                    </m:r>
                    <m:ctrlPr>
                      <w:rPr>
                        <w:rFonts w:ascii="Cambria Math" w:hAnsi="Cambria Math" w:eastAsia="楷体" w:cs="Times New Roman"/>
                        <w:i/>
                        <w:sz w:val="18"/>
                        <w:szCs w:val="18"/>
                        <w:highlight w:val="none"/>
                      </w:rPr>
                    </m:ctrlPr>
                  </m:e>
                </m:nary>
              </m:oMath>
            </m:oMathPara>
          </w:p>
          <w:p w14:paraId="4B9C704E">
            <w:pPr>
              <w:rPr>
                <w:rFonts w:ascii="楷体" w:hAnsi="楷体" w:eastAsia="楷体" w:cs="Times New Roman"/>
                <w:sz w:val="18"/>
                <w:szCs w:val="18"/>
                <w:highlight w:val="none"/>
              </w:rPr>
            </w:pPr>
            <w:r>
              <w:rPr>
                <w:rFonts w:hint="eastAsia" w:ascii="Cambria Math" w:hAnsi="Cambria Math" w:eastAsia="楷体" w:cs="Times New Roman"/>
                <w:iCs/>
                <w:sz w:val="18"/>
                <w:szCs w:val="18"/>
                <w:highlight w:val="none"/>
              </w:rPr>
              <w:t>式中，</w:t>
            </w:r>
            <m:oMath>
              <m:sSub>
                <m:sSubPr>
                  <m:ctrlPr>
                    <w:rPr>
                      <w:rFonts w:ascii="Cambria Math" w:hAnsi="Cambria Math" w:eastAsia="楷体" w:cs="Times New Roman"/>
                      <w:sz w:val="18"/>
                      <w:szCs w:val="18"/>
                      <w:highlight w:val="none"/>
                    </w:rPr>
                  </m:ctrlPr>
                </m:sSubPr>
                <m:e>
                  <m:r>
                    <m:rPr/>
                    <w:rPr>
                      <w:rFonts w:hint="eastAsia" w:ascii="Cambria Math" w:hAnsi="Cambria Math" w:eastAsia="楷体" w:cs="Times New Roman"/>
                      <w:sz w:val="18"/>
                      <w:szCs w:val="18"/>
                      <w:highlight w:val="none"/>
                    </w:rPr>
                    <m:t>r</m:t>
                  </m:r>
                  <m:ctrlPr>
                    <w:rPr>
                      <w:rFonts w:ascii="Cambria Math" w:hAnsi="Cambria Math" w:eastAsia="楷体" w:cs="Times New Roman"/>
                      <w:sz w:val="18"/>
                      <w:szCs w:val="18"/>
                      <w:highlight w:val="none"/>
                    </w:rPr>
                  </m:ctrlPr>
                </m:e>
                <m:sub>
                  <m:r>
                    <m:rPr/>
                    <w:rPr>
                      <w:rFonts w:hint="eastAsia" w:ascii="Cambria Math" w:hAnsi="Cambria Math" w:eastAsia="楷体" w:cs="Times New Roman"/>
                      <w:sz w:val="18"/>
                      <w:szCs w:val="18"/>
                      <w:highlight w:val="none"/>
                    </w:rPr>
                    <m:t>s</m:t>
                  </m:r>
                  <m:ctrlPr>
                    <w:rPr>
                      <w:rFonts w:ascii="Cambria Math" w:hAnsi="Cambria Math" w:eastAsia="楷体" w:cs="Times New Roman"/>
                      <w:sz w:val="18"/>
                      <w:szCs w:val="18"/>
                      <w:highlight w:val="none"/>
                    </w:rPr>
                  </m:ctrlPr>
                </m:sub>
              </m:sSub>
            </m:oMath>
            <w:r>
              <w:rPr>
                <w:rFonts w:hint="eastAsia" w:ascii="Cambria Math" w:hAnsi="Cambria Math" w:eastAsia="楷体" w:cs="Times New Roman"/>
                <w:sz w:val="18"/>
                <w:szCs w:val="18"/>
                <w:highlight w:val="none"/>
              </w:rPr>
              <w:t>为</w:t>
            </w:r>
            <w:r>
              <w:rPr>
                <w:rFonts w:hint="eastAsia" w:ascii="楷体" w:hAnsi="楷体" w:eastAsia="楷体" w:cs="Times New Roman"/>
                <w:sz w:val="18"/>
                <w:szCs w:val="18"/>
                <w:highlight w:val="none"/>
              </w:rPr>
              <w:t>日股票收益率，</w:t>
            </w:r>
            <m:oMath>
              <m:r>
                <m:rPr/>
                <w:rPr>
                  <w:rFonts w:ascii="Cambria Math" w:hAnsi="Cambria Math" w:eastAsia="楷体" w:cs="Times New Roman"/>
                  <w:sz w:val="18"/>
                  <w:szCs w:val="18"/>
                  <w:highlight w:val="none"/>
                </w:rPr>
                <m:t>w</m:t>
              </m:r>
            </m:oMath>
            <w:r>
              <w:rPr>
                <w:rFonts w:hint="eastAsia" w:ascii="楷体" w:hAnsi="楷体" w:eastAsia="楷体" w:cs="Times New Roman"/>
                <w:sz w:val="18"/>
                <w:szCs w:val="18"/>
                <w:highlight w:val="none"/>
              </w:rPr>
              <w:t>为半衰指数权重，时间窗口6个月，半衰期1个月，T(t)={t，...,t-n</w:t>
            </w:r>
            <w:r>
              <w:rPr>
                <w:rFonts w:ascii="楷体" w:hAnsi="楷体" w:eastAsia="楷体" w:cs="Times New Roman"/>
                <w:sz w:val="18"/>
                <w:szCs w:val="18"/>
                <w:highlight w:val="none"/>
              </w:rPr>
              <w:t>}</w:t>
            </w:r>
          </w:p>
          <w:p w14:paraId="4F743648">
            <w:pPr>
              <w:rPr>
                <w:rFonts w:ascii="楷体" w:hAnsi="楷体" w:eastAsia="楷体" w:cs="Times New Roman"/>
                <w:sz w:val="18"/>
                <w:szCs w:val="18"/>
                <w:highlight w:val="none"/>
              </w:rPr>
            </w:pPr>
            <w:r>
              <w:rPr>
                <w:rFonts w:hint="eastAsia" w:ascii="楷体" w:hAnsi="楷体" w:eastAsia="楷体" w:cs="Times New Roman"/>
                <w:sz w:val="18"/>
                <w:szCs w:val="18"/>
                <w:highlight w:val="none"/>
              </w:rPr>
              <w:t>（2）行业</w:t>
            </w:r>
            <m:oMath>
              <m:sSub>
                <m:sSubPr>
                  <m:ctrlPr>
                    <w:rPr>
                      <w:rFonts w:ascii="Cambria Math" w:hAnsi="Cambria Math" w:eastAsia="楷体" w:cs="Times New Roman"/>
                      <w:sz w:val="18"/>
                      <w:szCs w:val="18"/>
                      <w:highlight w:val="none"/>
                    </w:rPr>
                  </m:ctrlPr>
                </m:sSubPr>
                <m:e>
                  <m:r>
                    <m:rPr/>
                    <w:rPr>
                      <w:rFonts w:ascii="Cambria Math" w:hAnsi="Cambria Math" w:eastAsia="楷体" w:cs="Times New Roman"/>
                      <w:sz w:val="18"/>
                      <w:szCs w:val="18"/>
                      <w:highlight w:val="none"/>
                    </w:rPr>
                    <m:t>I</m:t>
                  </m:r>
                  <m:ctrlPr>
                    <w:rPr>
                      <w:rFonts w:ascii="Cambria Math" w:hAnsi="Cambria Math" w:eastAsia="楷体" w:cs="Times New Roman"/>
                      <w:sz w:val="18"/>
                      <w:szCs w:val="18"/>
                      <w:highlight w:val="none"/>
                    </w:rPr>
                  </m:ctrlPr>
                </m:e>
                <m:sub>
                  <m:r>
                    <m:rPr/>
                    <w:rPr>
                      <w:rFonts w:hint="eastAsia" w:ascii="Cambria Math" w:hAnsi="Cambria Math" w:eastAsia="楷体" w:cs="Times New Roman"/>
                      <w:sz w:val="18"/>
                      <w:szCs w:val="18"/>
                      <w:highlight w:val="none"/>
                    </w:rPr>
                    <m:t>t</m:t>
                  </m:r>
                  <m:ctrlPr>
                    <w:rPr>
                      <w:rFonts w:ascii="Cambria Math" w:hAnsi="Cambria Math" w:eastAsia="楷体" w:cs="Times New Roman"/>
                      <w:sz w:val="18"/>
                      <w:szCs w:val="18"/>
                      <w:highlight w:val="none"/>
                    </w:rPr>
                  </m:ctrlPr>
                </m:sub>
              </m:sSub>
            </m:oMath>
            <w:r>
              <w:rPr>
                <w:rFonts w:hint="eastAsia" w:ascii="楷体" w:hAnsi="楷体" w:eastAsia="楷体" w:cs="Times New Roman"/>
                <w:sz w:val="18"/>
                <w:szCs w:val="18"/>
                <w:highlight w:val="none"/>
              </w:rPr>
              <w:t>的相对强度定义为：</w:t>
            </w:r>
          </w:p>
          <w:p w14:paraId="0238FA0F">
            <w:pPr>
              <w:rPr>
                <w:rFonts w:ascii="楷体" w:hAnsi="楷体" w:eastAsia="楷体" w:cs="Times New Roman"/>
                <w:sz w:val="18"/>
                <w:szCs w:val="18"/>
                <w:highlight w:val="none"/>
              </w:rPr>
            </w:pPr>
            <m:oMathPara>
              <m:oMath>
                <m:sSub>
                  <m:sSubPr>
                    <m:ctrlPr>
                      <w:rPr>
                        <w:rFonts w:ascii="Cambria Math" w:hAnsi="Cambria Math" w:eastAsia="楷体" w:cs="Times New Roman"/>
                        <w:sz w:val="18"/>
                        <w:szCs w:val="18"/>
                        <w:highlight w:val="none"/>
                      </w:rPr>
                    </m:ctrlPr>
                  </m:sSubPr>
                  <m:e>
                    <m:r>
                      <m:rPr/>
                      <w:rPr>
                        <w:rFonts w:ascii="Cambria Math" w:hAnsi="Cambria Math" w:eastAsia="楷体" w:cs="Times New Roman"/>
                        <w:sz w:val="18"/>
                        <w:szCs w:val="18"/>
                        <w:highlight w:val="none"/>
                      </w:rPr>
                      <m:t>RS</m:t>
                    </m:r>
                    <m:ctrlPr>
                      <w:rPr>
                        <w:rFonts w:ascii="Cambria Math" w:hAnsi="Cambria Math" w:eastAsia="楷体" w:cs="Times New Roman"/>
                        <w:sz w:val="18"/>
                        <w:szCs w:val="18"/>
                        <w:highlight w:val="none"/>
                      </w:rPr>
                    </m:ctrlPr>
                  </m:e>
                  <m:sub>
                    <m:r>
                      <m:rPr/>
                      <w:rPr>
                        <w:rFonts w:ascii="Cambria Math" w:hAnsi="Cambria Math" w:eastAsia="楷体" w:cs="Times New Roman"/>
                        <w:sz w:val="18"/>
                        <w:szCs w:val="18"/>
                        <w:highlight w:val="none"/>
                      </w:rPr>
                      <m:t>I</m:t>
                    </m:r>
                    <m:ctrlPr>
                      <w:rPr>
                        <w:rFonts w:ascii="Cambria Math" w:hAnsi="Cambria Math" w:eastAsia="楷体" w:cs="Times New Roman"/>
                        <w:sz w:val="18"/>
                        <w:szCs w:val="18"/>
                        <w:highlight w:val="none"/>
                      </w:rPr>
                    </m:ctrlPr>
                  </m:sub>
                </m:sSub>
                <m:d>
                  <m:dPr>
                    <m:ctrlPr>
                      <w:rPr>
                        <w:rFonts w:ascii="Cambria Math" w:hAnsi="Cambria Math" w:eastAsia="楷体" w:cs="Times New Roman"/>
                        <w:i/>
                        <w:sz w:val="18"/>
                        <w:szCs w:val="18"/>
                        <w:highlight w:val="none"/>
                      </w:rPr>
                    </m:ctrlPr>
                  </m:dPr>
                  <m:e>
                    <m:r>
                      <m:rPr/>
                      <w:rPr>
                        <w:rFonts w:ascii="Cambria Math" w:hAnsi="Cambria Math" w:eastAsia="楷体" w:cs="Times New Roman"/>
                        <w:sz w:val="18"/>
                        <w:szCs w:val="18"/>
                        <w:highlight w:val="none"/>
                      </w:rPr>
                      <m:t>t</m:t>
                    </m:r>
                    <m:ctrlPr>
                      <w:rPr>
                        <w:rFonts w:ascii="Cambria Math" w:hAnsi="Cambria Math" w:eastAsia="楷体" w:cs="Times New Roman"/>
                        <w:i/>
                        <w:sz w:val="18"/>
                        <w:szCs w:val="18"/>
                        <w:highlight w:val="none"/>
                      </w:rPr>
                    </m:ctrlPr>
                  </m:e>
                </m:d>
                <m:r>
                  <m:rPr/>
                  <w:rPr>
                    <w:rFonts w:ascii="Cambria Math" w:hAnsi="Cambria Math" w:eastAsia="楷体" w:cs="Times New Roman"/>
                    <w:sz w:val="18"/>
                    <w:szCs w:val="18"/>
                    <w:highlight w:val="none"/>
                  </w:rPr>
                  <m:t>=</m:t>
                </m:r>
                <m:nary>
                  <m:naryPr>
                    <m:chr m:val="∑"/>
                    <m:limLoc m:val="undOvr"/>
                    <m:supHide m:val="1"/>
                    <m:ctrlPr>
                      <w:rPr>
                        <w:rFonts w:ascii="Cambria Math" w:hAnsi="Cambria Math" w:eastAsia="楷体" w:cs="Times New Roman"/>
                        <w:i/>
                        <w:sz w:val="18"/>
                        <w:szCs w:val="18"/>
                        <w:highlight w:val="none"/>
                      </w:rPr>
                    </m:ctrlPr>
                  </m:naryPr>
                  <m:sub>
                    <m:r>
                      <m:rPr/>
                      <w:rPr>
                        <w:rFonts w:hint="eastAsia" w:ascii="Cambria Math" w:hAnsi="Cambria Math" w:eastAsia="楷体" w:cs="Times New Roman"/>
                        <w:sz w:val="18"/>
                        <w:szCs w:val="18"/>
                        <w:highlight w:val="none"/>
                      </w:rPr>
                      <m:t>i</m:t>
                    </m:r>
                    <m:r>
                      <m:rPr/>
                      <w:rPr>
                        <w:rFonts w:ascii="Cambria Math" w:hAnsi="Cambria Math" w:eastAsia="楷体" w:cs="Times New Roman"/>
                        <w:sz w:val="18"/>
                        <w:szCs w:val="18"/>
                        <w:highlight w:val="none"/>
                      </w:rPr>
                      <m:t>∈I(t)</m:t>
                    </m:r>
                    <m:ctrlPr>
                      <w:rPr>
                        <w:rFonts w:ascii="Cambria Math" w:hAnsi="Cambria Math" w:eastAsia="楷体" w:cs="Times New Roman"/>
                        <w:i/>
                        <w:sz w:val="18"/>
                        <w:szCs w:val="18"/>
                        <w:highlight w:val="none"/>
                      </w:rPr>
                    </m:ctrlPr>
                  </m:sub>
                  <m:sup>
                    <m:ctrlPr>
                      <w:rPr>
                        <w:rFonts w:ascii="Cambria Math" w:hAnsi="Cambria Math" w:eastAsia="楷体" w:cs="Times New Roman"/>
                        <w:i/>
                        <w:sz w:val="18"/>
                        <w:szCs w:val="18"/>
                        <w:highlight w:val="none"/>
                      </w:rPr>
                    </m:ctrlPr>
                  </m:sup>
                  <m:e>
                    <m:sSub>
                      <m:sSubPr>
                        <m:ctrlPr>
                          <w:rPr>
                            <w:rFonts w:ascii="Cambria Math" w:hAnsi="Cambria Math" w:eastAsia="楷体" w:cs="Times New Roman"/>
                            <w:i/>
                            <w:sz w:val="18"/>
                            <w:szCs w:val="18"/>
                            <w:highlight w:val="none"/>
                          </w:rPr>
                        </m:ctrlPr>
                      </m:sSubPr>
                      <m:e>
                        <m:r>
                          <m:rPr/>
                          <w:rPr>
                            <w:rFonts w:ascii="Cambria Math" w:hAnsi="Cambria Math" w:eastAsia="楷体" w:cs="Times New Roman"/>
                            <w:sz w:val="18"/>
                            <w:szCs w:val="18"/>
                            <w:highlight w:val="none"/>
                          </w:rPr>
                          <m:t>c</m:t>
                        </m:r>
                        <m:ctrlPr>
                          <w:rPr>
                            <w:rFonts w:ascii="Cambria Math" w:hAnsi="Cambria Math" w:eastAsia="楷体" w:cs="Times New Roman"/>
                            <w:i/>
                            <w:sz w:val="18"/>
                            <w:szCs w:val="18"/>
                            <w:highlight w:val="none"/>
                          </w:rPr>
                        </m:ctrlPr>
                      </m:e>
                      <m:sub>
                        <m:r>
                          <m:rPr/>
                          <w:rPr>
                            <w:rFonts w:ascii="Cambria Math" w:hAnsi="Cambria Math" w:eastAsia="楷体" w:cs="Times New Roman"/>
                            <w:sz w:val="18"/>
                            <w:szCs w:val="18"/>
                            <w:highlight w:val="none"/>
                          </w:rPr>
                          <m:t>i</m:t>
                        </m:r>
                        <m:ctrlPr>
                          <w:rPr>
                            <w:rFonts w:ascii="Cambria Math" w:hAnsi="Cambria Math" w:eastAsia="楷体" w:cs="Times New Roman"/>
                            <w:i/>
                            <w:sz w:val="18"/>
                            <w:szCs w:val="18"/>
                            <w:highlight w:val="none"/>
                          </w:rPr>
                        </m:ctrlPr>
                      </m:sub>
                    </m:sSub>
                    <m:r>
                      <m:rPr/>
                      <w:rPr>
                        <w:rFonts w:ascii="Cambria Math" w:hAnsi="Cambria Math" w:eastAsia="楷体" w:cs="Times New Roman"/>
                        <w:sz w:val="18"/>
                        <w:szCs w:val="18"/>
                        <w:highlight w:val="none"/>
                      </w:rPr>
                      <m:t>(t)</m:t>
                    </m:r>
                    <m:sSub>
                      <m:sSubPr>
                        <m:ctrlPr>
                          <w:rPr>
                            <w:rFonts w:ascii="Cambria Math" w:hAnsi="Cambria Math" w:eastAsia="楷体" w:cs="Times New Roman"/>
                            <w:i/>
                            <w:sz w:val="18"/>
                            <w:szCs w:val="18"/>
                            <w:highlight w:val="none"/>
                          </w:rPr>
                        </m:ctrlPr>
                      </m:sSubPr>
                      <m:e>
                        <m:r>
                          <m:rPr/>
                          <w:rPr>
                            <w:rFonts w:ascii="Cambria Math" w:hAnsi="Cambria Math" w:eastAsia="楷体" w:cs="Times New Roman"/>
                            <w:sz w:val="18"/>
                            <w:szCs w:val="18"/>
                            <w:highlight w:val="none"/>
                          </w:rPr>
                          <m:t>RS</m:t>
                        </m:r>
                        <m:ctrlPr>
                          <w:rPr>
                            <w:rFonts w:ascii="Cambria Math" w:hAnsi="Cambria Math" w:eastAsia="楷体" w:cs="Times New Roman"/>
                            <w:i/>
                            <w:sz w:val="18"/>
                            <w:szCs w:val="18"/>
                            <w:highlight w:val="none"/>
                          </w:rPr>
                        </m:ctrlPr>
                      </m:e>
                      <m:sub>
                        <m:r>
                          <m:rPr/>
                          <w:rPr>
                            <w:rFonts w:ascii="Cambria Math" w:hAnsi="Cambria Math" w:eastAsia="楷体" w:cs="Times New Roman"/>
                            <w:sz w:val="18"/>
                            <w:szCs w:val="18"/>
                            <w:highlight w:val="none"/>
                          </w:rPr>
                          <m:t>i</m:t>
                        </m:r>
                        <m:ctrlPr>
                          <w:rPr>
                            <w:rFonts w:ascii="Cambria Math" w:hAnsi="Cambria Math" w:eastAsia="楷体" w:cs="Times New Roman"/>
                            <w:i/>
                            <w:sz w:val="18"/>
                            <w:szCs w:val="18"/>
                            <w:highlight w:val="none"/>
                          </w:rPr>
                        </m:ctrlPr>
                      </m:sub>
                    </m:sSub>
                    <m:r>
                      <m:rPr/>
                      <w:rPr>
                        <w:rFonts w:ascii="Cambria Math" w:hAnsi="Cambria Math" w:eastAsia="楷体" w:cs="Times New Roman"/>
                        <w:sz w:val="18"/>
                        <w:szCs w:val="18"/>
                        <w:highlight w:val="none"/>
                      </w:rPr>
                      <m:t>(t)</m:t>
                    </m:r>
                    <m:ctrlPr>
                      <w:rPr>
                        <w:rFonts w:ascii="Cambria Math" w:hAnsi="Cambria Math" w:eastAsia="楷体" w:cs="Times New Roman"/>
                        <w:i/>
                        <w:sz w:val="18"/>
                        <w:szCs w:val="18"/>
                        <w:highlight w:val="none"/>
                      </w:rPr>
                    </m:ctrlPr>
                  </m:e>
                </m:nary>
              </m:oMath>
            </m:oMathPara>
          </w:p>
          <w:p w14:paraId="4ECC26B2">
            <w:pPr>
              <w:rPr>
                <w:rFonts w:ascii="楷体" w:hAnsi="楷体" w:eastAsia="楷体" w:cs="Times New Roman"/>
                <w:sz w:val="18"/>
                <w:szCs w:val="18"/>
                <w:highlight w:val="none"/>
              </w:rPr>
            </w:pPr>
            <w:r>
              <w:rPr>
                <w:rFonts w:hint="eastAsia" w:ascii="楷体" w:hAnsi="楷体" w:eastAsia="楷体" w:cs="Times New Roman"/>
                <w:sz w:val="18"/>
                <w:szCs w:val="18"/>
                <w:highlight w:val="none"/>
              </w:rPr>
              <w:t>式中，</w:t>
            </w:r>
            <m:oMath>
              <m:sSub>
                <m:sSubPr>
                  <m:ctrlPr>
                    <w:rPr>
                      <w:rFonts w:ascii="Cambria Math" w:hAnsi="Cambria Math" w:eastAsia="楷体" w:cs="Times New Roman"/>
                      <w:i/>
                      <w:sz w:val="18"/>
                      <w:szCs w:val="18"/>
                      <w:highlight w:val="none"/>
                    </w:rPr>
                  </m:ctrlPr>
                </m:sSubPr>
                <m:e>
                  <m:r>
                    <m:rPr/>
                    <w:rPr>
                      <w:rFonts w:ascii="Cambria Math" w:hAnsi="Cambria Math" w:eastAsia="楷体" w:cs="Times New Roman"/>
                      <w:sz w:val="18"/>
                      <w:szCs w:val="18"/>
                      <w:highlight w:val="none"/>
                    </w:rPr>
                    <m:t>c</m:t>
                  </m:r>
                  <m:ctrlPr>
                    <w:rPr>
                      <w:rFonts w:ascii="Cambria Math" w:hAnsi="Cambria Math" w:eastAsia="楷体" w:cs="Times New Roman"/>
                      <w:i/>
                      <w:sz w:val="18"/>
                      <w:szCs w:val="18"/>
                      <w:highlight w:val="none"/>
                    </w:rPr>
                  </m:ctrlPr>
                </m:e>
                <m:sub>
                  <m:r>
                    <m:rPr/>
                    <w:rPr>
                      <w:rFonts w:ascii="Cambria Math" w:hAnsi="Cambria Math" w:eastAsia="楷体" w:cs="Times New Roman"/>
                      <w:sz w:val="18"/>
                      <w:szCs w:val="18"/>
                      <w:highlight w:val="none"/>
                    </w:rPr>
                    <m:t>i</m:t>
                  </m:r>
                  <m:ctrlPr>
                    <w:rPr>
                      <w:rFonts w:ascii="Cambria Math" w:hAnsi="Cambria Math" w:eastAsia="楷体" w:cs="Times New Roman"/>
                      <w:i/>
                      <w:sz w:val="18"/>
                      <w:szCs w:val="18"/>
                      <w:highlight w:val="none"/>
                    </w:rPr>
                  </m:ctrlPr>
                </m:sub>
              </m:sSub>
              <m:r>
                <m:rPr/>
                <w:rPr>
                  <w:rFonts w:ascii="Cambria Math" w:hAnsi="Cambria Math" w:eastAsia="楷体" w:cs="Times New Roman"/>
                  <w:sz w:val="18"/>
                  <w:szCs w:val="18"/>
                  <w:highlight w:val="none"/>
                </w:rPr>
                <m:t>(t)</m:t>
              </m:r>
            </m:oMath>
            <w:r>
              <w:rPr>
                <w:rFonts w:hint="eastAsia" w:ascii="楷体" w:hAnsi="楷体" w:eastAsia="楷体" w:cs="Times New Roman"/>
                <w:sz w:val="18"/>
                <w:szCs w:val="18"/>
                <w:highlight w:val="none"/>
              </w:rPr>
              <w:t>为行业i内个股流通市值的平方根</w:t>
            </w:r>
          </w:p>
          <w:p w14:paraId="4DC41AD1">
            <w:pPr>
              <w:rPr>
                <w:rFonts w:ascii="楷体" w:hAnsi="楷体" w:eastAsia="楷体" w:cs="Times New Roman"/>
                <w:sz w:val="18"/>
                <w:szCs w:val="18"/>
                <w:highlight w:val="none"/>
              </w:rPr>
            </w:pPr>
            <w:r>
              <w:rPr>
                <w:rFonts w:hint="eastAsia" w:ascii="楷体" w:hAnsi="楷体" w:eastAsia="楷体" w:cs="Times New Roman"/>
                <w:sz w:val="18"/>
                <w:szCs w:val="18"/>
                <w:highlight w:val="none"/>
              </w:rPr>
              <w:t>（3）最终该指标定义为：</w:t>
            </w:r>
          </w:p>
          <w:p w14:paraId="2FBE6FF9">
            <w:pPr>
              <w:rPr>
                <w:rFonts w:ascii="Cambria Math" w:hAnsi="Cambria Math" w:eastAsia="楷体" w:cs="Times New Roman"/>
                <w:sz w:val="18"/>
                <w:szCs w:val="18"/>
                <w:highlight w:val="none"/>
              </w:rPr>
            </w:pPr>
            <m:oMathPara>
              <m:oMath>
                <m:sSub>
                  <m:sSubPr>
                    <m:ctrlPr>
                      <w:rPr>
                        <w:rFonts w:ascii="Cambria Math" w:hAnsi="Cambria Math" w:eastAsia="楷体" w:cs="Times New Roman"/>
                        <w:sz w:val="18"/>
                        <w:szCs w:val="18"/>
                        <w:highlight w:val="none"/>
                      </w:rPr>
                    </m:ctrlPr>
                  </m:sSubPr>
                  <m:e>
                    <m:r>
                      <m:rPr>
                        <m:sty m:val="p"/>
                      </m:rPr>
                      <w:rPr>
                        <w:rFonts w:ascii="Cambria Math" w:hAnsi="Cambria Math" w:eastAsia="楷体" w:cs="Times New Roman"/>
                        <w:sz w:val="18"/>
                        <w:szCs w:val="18"/>
                        <w:highlight w:val="none"/>
                      </w:rPr>
                      <m:t>INDMOM</m:t>
                    </m:r>
                    <m:ctrlPr>
                      <w:rPr>
                        <w:rFonts w:ascii="Cambria Math" w:hAnsi="Cambria Math" w:eastAsia="楷体" w:cs="Times New Roman"/>
                        <w:sz w:val="18"/>
                        <w:szCs w:val="18"/>
                        <w:highlight w:val="none"/>
                      </w:rPr>
                    </m:ctrlPr>
                  </m:e>
                  <m:sub>
                    <m:r>
                      <m:rPr/>
                      <w:rPr>
                        <w:rFonts w:ascii="Cambria Math" w:hAnsi="Cambria Math" w:eastAsia="楷体" w:cs="Times New Roman"/>
                        <w:sz w:val="18"/>
                        <w:szCs w:val="18"/>
                        <w:highlight w:val="none"/>
                      </w:rPr>
                      <m:t>s</m:t>
                    </m:r>
                    <m:ctrlPr>
                      <w:rPr>
                        <w:rFonts w:ascii="Cambria Math" w:hAnsi="Cambria Math" w:eastAsia="楷体" w:cs="Times New Roman"/>
                        <w:sz w:val="18"/>
                        <w:szCs w:val="18"/>
                        <w:highlight w:val="none"/>
                      </w:rPr>
                    </m:ctrlPr>
                  </m:sub>
                </m:sSub>
                <m:d>
                  <m:dPr>
                    <m:ctrlPr>
                      <w:rPr>
                        <w:rFonts w:ascii="Cambria Math" w:hAnsi="Cambria Math" w:eastAsia="楷体" w:cs="Times New Roman"/>
                        <w:i/>
                        <w:sz w:val="18"/>
                        <w:szCs w:val="18"/>
                        <w:highlight w:val="none"/>
                      </w:rPr>
                    </m:ctrlPr>
                  </m:dPr>
                  <m:e>
                    <m:r>
                      <m:rPr/>
                      <w:rPr>
                        <w:rFonts w:ascii="Cambria Math" w:hAnsi="Cambria Math" w:eastAsia="楷体" w:cs="Times New Roman"/>
                        <w:sz w:val="18"/>
                        <w:szCs w:val="18"/>
                        <w:highlight w:val="none"/>
                      </w:rPr>
                      <m:t>t</m:t>
                    </m:r>
                    <m:ctrlPr>
                      <w:rPr>
                        <w:rFonts w:ascii="Cambria Math" w:hAnsi="Cambria Math" w:eastAsia="楷体" w:cs="Times New Roman"/>
                        <w:i/>
                        <w:sz w:val="18"/>
                        <w:szCs w:val="18"/>
                        <w:highlight w:val="none"/>
                      </w:rPr>
                    </m:ctrlPr>
                  </m:e>
                </m:d>
                <m:r>
                  <m:rPr/>
                  <w:rPr>
                    <w:rFonts w:ascii="Cambria Math" w:hAnsi="Cambria Math" w:eastAsia="楷体" w:cs="Times New Roman"/>
                    <w:sz w:val="18"/>
                    <w:szCs w:val="18"/>
                    <w:highlight w:val="none"/>
                  </w:rPr>
                  <m:t>=−</m:t>
                </m:r>
                <m:d>
                  <m:dPr>
                    <m:ctrlPr>
                      <w:rPr>
                        <w:rFonts w:ascii="Cambria Math" w:hAnsi="Cambria Math" w:eastAsia="楷体" w:cs="Times New Roman"/>
                        <w:i/>
                        <w:sz w:val="18"/>
                        <w:szCs w:val="18"/>
                        <w:highlight w:val="none"/>
                      </w:rPr>
                    </m:ctrlPr>
                  </m:dPr>
                  <m:e>
                    <m:sSub>
                      <m:sSubPr>
                        <m:ctrlPr>
                          <w:rPr>
                            <w:rFonts w:ascii="Cambria Math" w:hAnsi="Cambria Math" w:eastAsia="楷体" w:cs="Times New Roman"/>
                            <w:i/>
                            <w:sz w:val="18"/>
                            <w:szCs w:val="18"/>
                            <w:highlight w:val="none"/>
                          </w:rPr>
                        </m:ctrlPr>
                      </m:sSubPr>
                      <m:e>
                        <m:r>
                          <m:rPr/>
                          <w:rPr>
                            <w:rFonts w:ascii="Cambria Math" w:hAnsi="Cambria Math" w:eastAsia="楷体" w:cs="Times New Roman"/>
                            <w:sz w:val="18"/>
                            <w:szCs w:val="18"/>
                            <w:highlight w:val="none"/>
                          </w:rPr>
                          <m:t>c</m:t>
                        </m:r>
                        <m:ctrlPr>
                          <w:rPr>
                            <w:rFonts w:ascii="Cambria Math" w:hAnsi="Cambria Math" w:eastAsia="楷体" w:cs="Times New Roman"/>
                            <w:i/>
                            <w:sz w:val="18"/>
                            <w:szCs w:val="18"/>
                            <w:highlight w:val="none"/>
                          </w:rPr>
                        </m:ctrlPr>
                      </m:e>
                      <m:sub>
                        <m:r>
                          <m:rPr/>
                          <w:rPr>
                            <w:rFonts w:ascii="Cambria Math" w:hAnsi="Cambria Math" w:eastAsia="楷体" w:cs="Times New Roman"/>
                            <w:sz w:val="18"/>
                            <w:szCs w:val="18"/>
                            <w:highlight w:val="none"/>
                          </w:rPr>
                          <m:t>s</m:t>
                        </m:r>
                        <m:ctrlPr>
                          <w:rPr>
                            <w:rFonts w:ascii="Cambria Math" w:hAnsi="Cambria Math" w:eastAsia="楷体" w:cs="Times New Roman"/>
                            <w:i/>
                            <w:sz w:val="18"/>
                            <w:szCs w:val="18"/>
                            <w:highlight w:val="none"/>
                          </w:rPr>
                        </m:ctrlPr>
                      </m:sub>
                    </m:sSub>
                    <m:d>
                      <m:dPr>
                        <m:ctrlPr>
                          <w:rPr>
                            <w:rFonts w:ascii="Cambria Math" w:hAnsi="Cambria Math" w:eastAsia="楷体" w:cs="Times New Roman"/>
                            <w:i/>
                            <w:sz w:val="18"/>
                            <w:szCs w:val="18"/>
                            <w:highlight w:val="none"/>
                          </w:rPr>
                        </m:ctrlPr>
                      </m:dPr>
                      <m:e>
                        <m:r>
                          <m:rPr/>
                          <w:rPr>
                            <w:rFonts w:ascii="Cambria Math" w:hAnsi="Cambria Math" w:eastAsia="楷体" w:cs="Times New Roman"/>
                            <w:sz w:val="18"/>
                            <w:szCs w:val="18"/>
                            <w:highlight w:val="none"/>
                          </w:rPr>
                          <m:t>t</m:t>
                        </m:r>
                        <m:ctrlPr>
                          <w:rPr>
                            <w:rFonts w:ascii="Cambria Math" w:hAnsi="Cambria Math" w:eastAsia="楷体" w:cs="Times New Roman"/>
                            <w:i/>
                            <w:sz w:val="18"/>
                            <w:szCs w:val="18"/>
                            <w:highlight w:val="none"/>
                          </w:rPr>
                        </m:ctrlPr>
                      </m:e>
                    </m:d>
                    <m:sSub>
                      <m:sSubPr>
                        <m:ctrlPr>
                          <w:rPr>
                            <w:rFonts w:ascii="Cambria Math" w:hAnsi="Cambria Math" w:eastAsia="楷体" w:cs="Times New Roman"/>
                            <w:i/>
                            <w:sz w:val="18"/>
                            <w:szCs w:val="18"/>
                            <w:highlight w:val="none"/>
                          </w:rPr>
                        </m:ctrlPr>
                      </m:sSubPr>
                      <m:e>
                        <m:r>
                          <m:rPr/>
                          <w:rPr>
                            <w:rFonts w:ascii="Cambria Math" w:hAnsi="Cambria Math" w:eastAsia="楷体" w:cs="Times New Roman"/>
                            <w:sz w:val="18"/>
                            <w:szCs w:val="18"/>
                            <w:highlight w:val="none"/>
                          </w:rPr>
                          <m:t>RS</m:t>
                        </m:r>
                        <m:ctrlPr>
                          <w:rPr>
                            <w:rFonts w:ascii="Cambria Math" w:hAnsi="Cambria Math" w:eastAsia="楷体" w:cs="Times New Roman"/>
                            <w:i/>
                            <w:sz w:val="18"/>
                            <w:szCs w:val="18"/>
                            <w:highlight w:val="none"/>
                          </w:rPr>
                        </m:ctrlPr>
                      </m:e>
                      <m:sub>
                        <m:r>
                          <m:rPr/>
                          <w:rPr>
                            <w:rFonts w:ascii="Cambria Math" w:hAnsi="Cambria Math" w:eastAsia="楷体" w:cs="Times New Roman"/>
                            <w:sz w:val="18"/>
                            <w:szCs w:val="18"/>
                            <w:highlight w:val="none"/>
                          </w:rPr>
                          <m:t>s</m:t>
                        </m:r>
                        <m:ctrlPr>
                          <w:rPr>
                            <w:rFonts w:ascii="Cambria Math" w:hAnsi="Cambria Math" w:eastAsia="楷体" w:cs="Times New Roman"/>
                            <w:i/>
                            <w:sz w:val="18"/>
                            <w:szCs w:val="18"/>
                            <w:highlight w:val="none"/>
                          </w:rPr>
                        </m:ctrlPr>
                      </m:sub>
                    </m:sSub>
                    <m:d>
                      <m:dPr>
                        <m:ctrlPr>
                          <w:rPr>
                            <w:rFonts w:ascii="Cambria Math" w:hAnsi="Cambria Math" w:eastAsia="楷体" w:cs="Times New Roman"/>
                            <w:i/>
                            <w:sz w:val="18"/>
                            <w:szCs w:val="18"/>
                            <w:highlight w:val="none"/>
                          </w:rPr>
                        </m:ctrlPr>
                      </m:dPr>
                      <m:e>
                        <m:r>
                          <m:rPr/>
                          <w:rPr>
                            <w:rFonts w:ascii="Cambria Math" w:hAnsi="Cambria Math" w:eastAsia="楷体" w:cs="Times New Roman"/>
                            <w:sz w:val="18"/>
                            <w:szCs w:val="18"/>
                            <w:highlight w:val="none"/>
                          </w:rPr>
                          <m:t>t</m:t>
                        </m:r>
                        <m:ctrlPr>
                          <w:rPr>
                            <w:rFonts w:ascii="Cambria Math" w:hAnsi="Cambria Math" w:eastAsia="楷体" w:cs="Times New Roman"/>
                            <w:i/>
                            <w:sz w:val="18"/>
                            <w:szCs w:val="18"/>
                            <w:highlight w:val="none"/>
                          </w:rPr>
                        </m:ctrlPr>
                      </m:e>
                    </m:d>
                    <m:r>
                      <m:rPr/>
                      <w:rPr>
                        <w:rFonts w:ascii="Cambria Math" w:hAnsi="Cambria Math" w:eastAsia="楷体" w:cs="Times New Roman"/>
                        <w:sz w:val="18"/>
                        <w:szCs w:val="18"/>
                        <w:highlight w:val="none"/>
                      </w:rPr>
                      <m:t>−</m:t>
                    </m:r>
                    <m:sSub>
                      <m:sSubPr>
                        <m:ctrlPr>
                          <w:rPr>
                            <w:rFonts w:ascii="Cambria Math" w:hAnsi="Cambria Math" w:eastAsia="楷体" w:cs="Times New Roman"/>
                            <w:i/>
                            <w:sz w:val="18"/>
                            <w:szCs w:val="18"/>
                            <w:highlight w:val="none"/>
                          </w:rPr>
                        </m:ctrlPr>
                      </m:sSubPr>
                      <m:e>
                        <m:r>
                          <m:rPr/>
                          <w:rPr>
                            <w:rFonts w:ascii="Cambria Math" w:hAnsi="Cambria Math" w:eastAsia="楷体" w:cs="Times New Roman"/>
                            <w:sz w:val="18"/>
                            <w:szCs w:val="18"/>
                            <w:highlight w:val="none"/>
                          </w:rPr>
                          <m:t>RS</m:t>
                        </m:r>
                        <m:ctrlPr>
                          <w:rPr>
                            <w:rFonts w:ascii="Cambria Math" w:hAnsi="Cambria Math" w:eastAsia="楷体" w:cs="Times New Roman"/>
                            <w:i/>
                            <w:sz w:val="18"/>
                            <w:szCs w:val="18"/>
                            <w:highlight w:val="none"/>
                          </w:rPr>
                        </m:ctrlPr>
                      </m:e>
                      <m:sub>
                        <m:r>
                          <m:rPr/>
                          <w:rPr>
                            <w:rFonts w:ascii="Cambria Math" w:hAnsi="Cambria Math" w:eastAsia="楷体" w:cs="Times New Roman"/>
                            <w:sz w:val="18"/>
                            <w:szCs w:val="18"/>
                            <w:highlight w:val="none"/>
                          </w:rPr>
                          <m:t>I</m:t>
                        </m:r>
                        <m:ctrlPr>
                          <w:rPr>
                            <w:rFonts w:ascii="Cambria Math" w:hAnsi="Cambria Math" w:eastAsia="楷体" w:cs="Times New Roman"/>
                            <w:i/>
                            <w:sz w:val="18"/>
                            <w:szCs w:val="18"/>
                            <w:highlight w:val="none"/>
                          </w:rPr>
                        </m:ctrlPr>
                      </m:sub>
                    </m:sSub>
                    <m:d>
                      <m:dPr>
                        <m:ctrlPr>
                          <w:rPr>
                            <w:rFonts w:ascii="Cambria Math" w:hAnsi="Cambria Math" w:eastAsia="楷体" w:cs="Times New Roman"/>
                            <w:i/>
                            <w:sz w:val="18"/>
                            <w:szCs w:val="18"/>
                            <w:highlight w:val="none"/>
                          </w:rPr>
                        </m:ctrlPr>
                      </m:dPr>
                      <m:e>
                        <m:r>
                          <m:rPr/>
                          <w:rPr>
                            <w:rFonts w:ascii="Cambria Math" w:hAnsi="Cambria Math" w:eastAsia="楷体" w:cs="Times New Roman"/>
                            <w:sz w:val="18"/>
                            <w:szCs w:val="18"/>
                            <w:highlight w:val="none"/>
                          </w:rPr>
                          <m:t>t</m:t>
                        </m:r>
                        <m:ctrlPr>
                          <w:rPr>
                            <w:rFonts w:ascii="Cambria Math" w:hAnsi="Cambria Math" w:eastAsia="楷体" w:cs="Times New Roman"/>
                            <w:i/>
                            <w:sz w:val="18"/>
                            <w:szCs w:val="18"/>
                            <w:highlight w:val="none"/>
                          </w:rPr>
                        </m:ctrlPr>
                      </m:e>
                    </m:d>
                    <m:ctrlPr>
                      <w:rPr>
                        <w:rFonts w:ascii="Cambria Math" w:hAnsi="Cambria Math" w:eastAsia="楷体" w:cs="Times New Roman"/>
                        <w:i/>
                        <w:sz w:val="18"/>
                        <w:szCs w:val="18"/>
                        <w:highlight w:val="none"/>
                      </w:rPr>
                    </m:ctrlPr>
                  </m:e>
                </m:d>
              </m:oMath>
            </m:oMathPara>
          </w:p>
        </w:tc>
      </w:tr>
      <w:tr w14:paraId="4EAE943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365F864B">
            <w:pPr>
              <w:jc w:val="center"/>
              <w:rPr>
                <w:rFonts w:ascii="楷体" w:hAnsi="楷体" w:eastAsia="楷体"/>
                <w:sz w:val="18"/>
                <w:szCs w:val="18"/>
                <w:highlight w:val="none"/>
              </w:rPr>
            </w:pPr>
          </w:p>
        </w:tc>
        <w:tc>
          <w:tcPr>
            <w:tcW w:w="1276" w:type="dxa"/>
            <w:vMerge w:val="restart"/>
            <w:vAlign w:val="center"/>
          </w:tcPr>
          <w:p w14:paraId="1CD8975C">
            <w:pPr>
              <w:jc w:val="center"/>
              <w:rPr>
                <w:rFonts w:ascii="楷体" w:hAnsi="楷体" w:eastAsia="楷体"/>
                <w:sz w:val="18"/>
                <w:szCs w:val="18"/>
                <w:highlight w:val="none"/>
              </w:rPr>
            </w:pPr>
            <w:r>
              <w:rPr>
                <w:rFonts w:ascii="楷体" w:hAnsi="楷体" w:eastAsia="楷体"/>
                <w:sz w:val="18"/>
                <w:szCs w:val="18"/>
                <w:highlight w:val="none"/>
              </w:rPr>
              <w:t>Momentum</w:t>
            </w:r>
          </w:p>
          <w:p w14:paraId="0188E499">
            <w:pPr>
              <w:jc w:val="center"/>
              <w:rPr>
                <w:rFonts w:ascii="楷体" w:hAnsi="楷体" w:eastAsia="楷体"/>
                <w:sz w:val="18"/>
                <w:szCs w:val="18"/>
                <w:highlight w:val="none"/>
              </w:rPr>
            </w:pPr>
          </w:p>
        </w:tc>
        <w:tc>
          <w:tcPr>
            <w:tcW w:w="1843" w:type="dxa"/>
            <w:vAlign w:val="center"/>
          </w:tcPr>
          <w:p w14:paraId="2F0E13CE">
            <w:pPr>
              <w:jc w:val="center"/>
              <w:rPr>
                <w:rFonts w:ascii="楷体" w:hAnsi="楷体" w:eastAsia="楷体"/>
                <w:sz w:val="18"/>
                <w:szCs w:val="18"/>
                <w:highlight w:val="none"/>
              </w:rPr>
            </w:pPr>
            <w:r>
              <w:rPr>
                <w:rFonts w:ascii="楷体" w:hAnsi="楷体" w:eastAsia="楷体"/>
                <w:sz w:val="18"/>
                <w:szCs w:val="18"/>
                <w:highlight w:val="none"/>
              </w:rPr>
              <w:t>Relative strength</w:t>
            </w:r>
          </w:p>
        </w:tc>
        <w:tc>
          <w:tcPr>
            <w:tcW w:w="1145" w:type="dxa"/>
            <w:vAlign w:val="center"/>
          </w:tcPr>
          <w:p w14:paraId="73014F6C">
            <w:pPr>
              <w:jc w:val="center"/>
              <w:rPr>
                <w:rFonts w:ascii="楷体" w:hAnsi="楷体" w:eastAsia="楷体"/>
                <w:sz w:val="18"/>
                <w:szCs w:val="18"/>
                <w:highlight w:val="none"/>
              </w:rPr>
            </w:pPr>
            <w:r>
              <w:rPr>
                <w:rFonts w:hint="eastAsia" w:ascii="楷体" w:hAnsi="楷体" w:eastAsia="楷体"/>
                <w:sz w:val="18"/>
                <w:szCs w:val="18"/>
                <w:highlight w:val="none"/>
              </w:rPr>
              <w:t>相对于市场的强度</w:t>
            </w:r>
          </w:p>
        </w:tc>
        <w:tc>
          <w:tcPr>
            <w:tcW w:w="4950" w:type="dxa"/>
            <w:vAlign w:val="center"/>
          </w:tcPr>
          <w:p w14:paraId="33F0D776">
            <w:pPr>
              <w:rPr>
                <w:rFonts w:ascii="楷体" w:hAnsi="楷体" w:eastAsia="楷体" w:cs="Times New Roman"/>
                <w:sz w:val="18"/>
                <w:szCs w:val="18"/>
                <w:highlight w:val="none"/>
              </w:rPr>
            </w:pPr>
            <w:r>
              <w:rPr>
                <w:rFonts w:hint="eastAsia" w:ascii="楷体" w:hAnsi="楷体" w:eastAsia="楷体" w:cs="Times New Roman"/>
                <w:sz w:val="18"/>
                <w:szCs w:val="18"/>
                <w:highlight w:val="none"/>
              </w:rPr>
              <w:t>（1）计算非滞后的相对强度：对股票的对数收益率进行半衰指数加权求和，时间窗口252个交易日，半衰期126个交易日</w:t>
            </w:r>
          </w:p>
          <w:p w14:paraId="47F1B17F">
            <w:pPr>
              <w:rPr>
                <w:rFonts w:ascii="楷体" w:hAnsi="楷体" w:eastAsia="楷体" w:cs="Times New Roman"/>
                <w:sz w:val="18"/>
                <w:szCs w:val="18"/>
                <w:highlight w:val="none"/>
              </w:rPr>
            </w:pPr>
            <w:r>
              <w:rPr>
                <w:rFonts w:hint="eastAsia" w:ascii="楷体" w:hAnsi="楷体" w:eastAsia="楷体" w:cs="Times New Roman"/>
                <w:sz w:val="18"/>
                <w:szCs w:val="18"/>
                <w:highlight w:val="none"/>
              </w:rPr>
              <w:t>（2）以11个交易日为窗口，滞后11个交易日，取非滞后相对强度的等权平均值</w:t>
            </w:r>
          </w:p>
        </w:tc>
      </w:tr>
      <w:tr w14:paraId="5560756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1BD2E536">
            <w:pPr>
              <w:jc w:val="center"/>
              <w:rPr>
                <w:rFonts w:ascii="楷体" w:hAnsi="楷体" w:eastAsia="楷体"/>
                <w:sz w:val="18"/>
                <w:szCs w:val="18"/>
                <w:highlight w:val="none"/>
              </w:rPr>
            </w:pPr>
          </w:p>
        </w:tc>
        <w:tc>
          <w:tcPr>
            <w:tcW w:w="1276" w:type="dxa"/>
            <w:vMerge w:val="continue"/>
            <w:vAlign w:val="center"/>
          </w:tcPr>
          <w:p w14:paraId="55D2BD83">
            <w:pPr>
              <w:jc w:val="center"/>
              <w:rPr>
                <w:rFonts w:ascii="楷体" w:hAnsi="楷体" w:eastAsia="楷体"/>
                <w:sz w:val="18"/>
                <w:szCs w:val="18"/>
                <w:highlight w:val="none"/>
              </w:rPr>
            </w:pPr>
          </w:p>
        </w:tc>
        <w:tc>
          <w:tcPr>
            <w:tcW w:w="1843" w:type="dxa"/>
            <w:vAlign w:val="center"/>
          </w:tcPr>
          <w:p w14:paraId="6EF14455">
            <w:pPr>
              <w:jc w:val="center"/>
              <w:rPr>
                <w:rFonts w:ascii="楷体" w:hAnsi="楷体" w:eastAsia="楷体"/>
                <w:sz w:val="18"/>
                <w:szCs w:val="18"/>
                <w:highlight w:val="none"/>
              </w:rPr>
            </w:pPr>
            <w:r>
              <w:rPr>
                <w:rFonts w:ascii="楷体" w:hAnsi="楷体" w:eastAsia="楷体"/>
                <w:sz w:val="18"/>
                <w:szCs w:val="18"/>
                <w:highlight w:val="none"/>
              </w:rPr>
              <w:t>Historical alpha</w:t>
            </w:r>
          </w:p>
        </w:tc>
        <w:tc>
          <w:tcPr>
            <w:tcW w:w="1145" w:type="dxa"/>
            <w:vAlign w:val="center"/>
          </w:tcPr>
          <w:p w14:paraId="78297E9E">
            <w:pPr>
              <w:jc w:val="center"/>
              <w:rPr>
                <w:rFonts w:ascii="楷体" w:hAnsi="楷体" w:eastAsia="楷体"/>
                <w:sz w:val="18"/>
                <w:szCs w:val="18"/>
                <w:highlight w:val="none"/>
              </w:rPr>
            </w:pPr>
            <w:r>
              <w:rPr>
                <w:rFonts w:hint="eastAsia" w:ascii="楷体" w:hAnsi="楷体" w:eastAsia="楷体"/>
                <w:sz w:val="18"/>
                <w:szCs w:val="18"/>
                <w:highlight w:val="none"/>
              </w:rPr>
              <w:t>历史Alpha</w:t>
            </w:r>
          </w:p>
        </w:tc>
        <w:tc>
          <w:tcPr>
            <w:tcW w:w="4950" w:type="dxa"/>
            <w:vAlign w:val="center"/>
          </w:tcPr>
          <w:p w14:paraId="1B4F1506">
            <w:pPr>
              <w:rPr>
                <w:sz w:val="18"/>
                <w:szCs w:val="18"/>
                <w:highlight w:val="none"/>
              </w:rPr>
            </w:pPr>
            <w:r>
              <w:rPr>
                <w:rFonts w:hint="eastAsia" w:ascii="楷体" w:hAnsi="楷体" w:eastAsia="楷体"/>
                <w:sz w:val="18"/>
                <w:szCs w:val="18"/>
                <w:highlight w:val="none"/>
              </w:rPr>
              <w:t>在计算BETA所进行的时间序列回归中，取回归截距项</w:t>
            </w:r>
          </w:p>
        </w:tc>
      </w:tr>
      <w:tr w14:paraId="0316936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93" w:type="dxa"/>
            <w:vMerge w:val="restart"/>
            <w:vAlign w:val="center"/>
          </w:tcPr>
          <w:p w14:paraId="604783B2">
            <w:pPr>
              <w:jc w:val="center"/>
              <w:rPr>
                <w:rFonts w:ascii="楷体" w:hAnsi="楷体" w:eastAsia="楷体"/>
                <w:sz w:val="18"/>
                <w:szCs w:val="18"/>
                <w:highlight w:val="none"/>
              </w:rPr>
            </w:pPr>
            <w:r>
              <w:rPr>
                <w:rFonts w:ascii="楷体" w:hAnsi="楷体" w:eastAsia="楷体"/>
                <w:sz w:val="18"/>
                <w:szCs w:val="18"/>
                <w:highlight w:val="none"/>
              </w:rPr>
              <w:t>Quality</w:t>
            </w:r>
          </w:p>
        </w:tc>
        <w:tc>
          <w:tcPr>
            <w:tcW w:w="1276" w:type="dxa"/>
            <w:vMerge w:val="restart"/>
            <w:vAlign w:val="center"/>
          </w:tcPr>
          <w:p w14:paraId="4DB8C79A">
            <w:pPr>
              <w:jc w:val="center"/>
              <w:rPr>
                <w:rFonts w:ascii="楷体" w:hAnsi="楷体" w:eastAsia="楷体"/>
                <w:sz w:val="18"/>
                <w:szCs w:val="18"/>
                <w:highlight w:val="none"/>
              </w:rPr>
            </w:pPr>
            <w:r>
              <w:rPr>
                <w:rFonts w:ascii="楷体" w:hAnsi="楷体" w:eastAsia="楷体"/>
                <w:sz w:val="18"/>
                <w:szCs w:val="18"/>
                <w:highlight w:val="none"/>
              </w:rPr>
              <w:t>Leverage</w:t>
            </w:r>
          </w:p>
        </w:tc>
        <w:tc>
          <w:tcPr>
            <w:tcW w:w="1843" w:type="dxa"/>
            <w:vAlign w:val="center"/>
          </w:tcPr>
          <w:p w14:paraId="045B4F0D">
            <w:pPr>
              <w:jc w:val="center"/>
              <w:rPr>
                <w:rFonts w:ascii="楷体" w:hAnsi="楷体" w:eastAsia="楷体"/>
                <w:sz w:val="18"/>
                <w:szCs w:val="18"/>
                <w:highlight w:val="none"/>
              </w:rPr>
            </w:pPr>
            <w:r>
              <w:rPr>
                <w:rFonts w:ascii="楷体" w:hAnsi="楷体" w:eastAsia="楷体"/>
                <w:sz w:val="18"/>
                <w:szCs w:val="18"/>
                <w:highlight w:val="none"/>
              </w:rPr>
              <w:t>Market Leverage</w:t>
            </w:r>
          </w:p>
        </w:tc>
        <w:tc>
          <w:tcPr>
            <w:tcW w:w="1145" w:type="dxa"/>
            <w:vAlign w:val="center"/>
          </w:tcPr>
          <w:p w14:paraId="48629508">
            <w:pPr>
              <w:jc w:val="center"/>
              <w:rPr>
                <w:rFonts w:ascii="楷体" w:hAnsi="楷体" w:eastAsia="楷体"/>
                <w:sz w:val="18"/>
                <w:szCs w:val="18"/>
                <w:highlight w:val="none"/>
              </w:rPr>
            </w:pPr>
            <w:r>
              <w:rPr>
                <w:rFonts w:hint="eastAsia" w:ascii="楷体" w:hAnsi="楷体" w:eastAsia="楷体"/>
                <w:sz w:val="18"/>
                <w:szCs w:val="18"/>
                <w:highlight w:val="none"/>
              </w:rPr>
              <w:t>市场杠杆</w:t>
            </w:r>
          </w:p>
        </w:tc>
        <w:tc>
          <w:tcPr>
            <w:tcW w:w="4950" w:type="dxa"/>
            <w:vAlign w:val="center"/>
          </w:tcPr>
          <w:p w14:paraId="1573D86C">
            <w:pPr>
              <w:rPr>
                <w:rFonts w:ascii="楷体" w:hAnsi="楷体" w:eastAsia="楷体"/>
                <w:sz w:val="18"/>
                <w:szCs w:val="18"/>
                <w:highlight w:val="none"/>
              </w:rPr>
            </w:pPr>
            <w:r>
              <w:rPr>
                <w:rFonts w:hint="eastAsia" w:ascii="楷体" w:hAnsi="楷体" w:eastAsia="楷体"/>
                <w:sz w:val="18"/>
                <w:szCs w:val="18"/>
                <w:highlight w:val="none"/>
              </w:rPr>
              <w:t>计算公式为：</w:t>
            </w:r>
            <m:oMath>
              <m:r>
                <m:rPr/>
                <w:rPr>
                  <w:rFonts w:ascii="Cambria Math" w:hAnsi="Cambria Math" w:eastAsia="楷体"/>
                  <w:sz w:val="18"/>
                  <w:szCs w:val="18"/>
                  <w:highlight w:val="none"/>
                </w:rPr>
                <m:t>MLEV</m:t>
              </m:r>
              <m:r>
                <m:rPr>
                  <m:sty m:val="p"/>
                </m:rPr>
                <w:rPr>
                  <w:rFonts w:ascii="Cambria Math" w:hAnsi="Cambria Math" w:eastAsia="楷体"/>
                  <w:sz w:val="18"/>
                  <w:szCs w:val="18"/>
                  <w:highlight w:val="none"/>
                </w:rPr>
                <m:t>=</m:t>
              </m:r>
              <m:f>
                <m:fPr>
                  <m:ctrlPr>
                    <w:rPr>
                      <w:rFonts w:ascii="Cambria Math" w:hAnsi="Cambria Math" w:eastAsia="楷体"/>
                      <w:sz w:val="18"/>
                      <w:szCs w:val="18"/>
                      <w:highlight w:val="none"/>
                    </w:rPr>
                  </m:ctrlPr>
                </m:fPr>
                <m:num>
                  <m:r>
                    <m:rPr/>
                    <w:rPr>
                      <w:rFonts w:ascii="Cambria Math" w:hAnsi="Cambria Math" w:eastAsia="楷体"/>
                      <w:sz w:val="18"/>
                      <w:szCs w:val="18"/>
                      <w:highlight w:val="none"/>
                    </w:rPr>
                    <m:t>ME+PE+LD</m:t>
                  </m:r>
                  <m:ctrlPr>
                    <w:rPr>
                      <w:rFonts w:ascii="Cambria Math" w:hAnsi="Cambria Math" w:eastAsia="楷体"/>
                      <w:sz w:val="18"/>
                      <w:szCs w:val="18"/>
                      <w:highlight w:val="none"/>
                    </w:rPr>
                  </m:ctrlPr>
                </m:num>
                <m:den>
                  <m:r>
                    <m:rPr/>
                    <w:rPr>
                      <w:rFonts w:ascii="Cambria Math" w:hAnsi="Cambria Math" w:eastAsia="楷体"/>
                      <w:sz w:val="18"/>
                      <w:szCs w:val="18"/>
                      <w:highlight w:val="none"/>
                    </w:rPr>
                    <m:t>ME</m:t>
                  </m:r>
                  <m:ctrlPr>
                    <w:rPr>
                      <w:rFonts w:ascii="Cambria Math" w:hAnsi="Cambria Math" w:eastAsia="楷体"/>
                      <w:sz w:val="18"/>
                      <w:szCs w:val="18"/>
                      <w:highlight w:val="none"/>
                    </w:rPr>
                  </m:ctrlPr>
                </m:den>
              </m:f>
            </m:oMath>
          </w:p>
          <w:p w14:paraId="413141AC">
            <w:pPr>
              <w:rPr>
                <w:sz w:val="18"/>
                <w:szCs w:val="18"/>
                <w:highlight w:val="none"/>
              </w:rPr>
            </w:pPr>
            <w:r>
              <w:rPr>
                <w:rFonts w:hint="eastAsia" w:ascii="楷体" w:hAnsi="楷体" w:eastAsia="楷体"/>
                <w:sz w:val="18"/>
                <w:szCs w:val="18"/>
                <w:highlight w:val="none"/>
              </w:rPr>
              <w:t>其中ME为上一交易日的市值，PE和LD分别是上一财政年度的优先股和长期负债</w:t>
            </w:r>
          </w:p>
        </w:tc>
      </w:tr>
      <w:tr w14:paraId="448445A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25540CDE">
            <w:pPr>
              <w:jc w:val="center"/>
              <w:rPr>
                <w:rFonts w:ascii="楷体" w:hAnsi="楷体" w:eastAsia="楷体"/>
                <w:sz w:val="18"/>
                <w:szCs w:val="18"/>
                <w:highlight w:val="none"/>
              </w:rPr>
            </w:pPr>
          </w:p>
        </w:tc>
        <w:tc>
          <w:tcPr>
            <w:tcW w:w="1276" w:type="dxa"/>
            <w:vMerge w:val="continue"/>
            <w:vAlign w:val="center"/>
          </w:tcPr>
          <w:p w14:paraId="1B300C33">
            <w:pPr>
              <w:jc w:val="center"/>
              <w:rPr>
                <w:rFonts w:ascii="楷体" w:hAnsi="楷体" w:eastAsia="楷体"/>
                <w:sz w:val="18"/>
                <w:szCs w:val="18"/>
                <w:highlight w:val="none"/>
              </w:rPr>
            </w:pPr>
          </w:p>
        </w:tc>
        <w:tc>
          <w:tcPr>
            <w:tcW w:w="1843" w:type="dxa"/>
            <w:vAlign w:val="center"/>
          </w:tcPr>
          <w:p w14:paraId="2AAF2BBF">
            <w:pPr>
              <w:jc w:val="center"/>
              <w:rPr>
                <w:rFonts w:ascii="楷体" w:hAnsi="楷体" w:eastAsia="楷体"/>
                <w:sz w:val="18"/>
                <w:szCs w:val="18"/>
                <w:highlight w:val="none"/>
              </w:rPr>
            </w:pPr>
            <w:r>
              <w:rPr>
                <w:rFonts w:ascii="楷体" w:hAnsi="楷体" w:eastAsia="楷体"/>
                <w:sz w:val="18"/>
                <w:szCs w:val="18"/>
                <w:highlight w:val="none"/>
              </w:rPr>
              <w:t>Book Leverage</w:t>
            </w:r>
          </w:p>
        </w:tc>
        <w:tc>
          <w:tcPr>
            <w:tcW w:w="1145" w:type="dxa"/>
            <w:vAlign w:val="center"/>
          </w:tcPr>
          <w:p w14:paraId="032F577E">
            <w:pPr>
              <w:jc w:val="center"/>
              <w:rPr>
                <w:rFonts w:ascii="楷体" w:hAnsi="楷体" w:eastAsia="楷体"/>
                <w:sz w:val="18"/>
                <w:szCs w:val="18"/>
                <w:highlight w:val="none"/>
              </w:rPr>
            </w:pPr>
            <w:r>
              <w:rPr>
                <w:rFonts w:hint="eastAsia" w:ascii="楷体" w:hAnsi="楷体" w:eastAsia="楷体"/>
                <w:sz w:val="18"/>
                <w:szCs w:val="18"/>
                <w:highlight w:val="none"/>
              </w:rPr>
              <w:t>账面杠杆</w:t>
            </w:r>
          </w:p>
        </w:tc>
        <w:tc>
          <w:tcPr>
            <w:tcW w:w="4950" w:type="dxa"/>
            <w:vAlign w:val="center"/>
          </w:tcPr>
          <w:p w14:paraId="57638E4F">
            <w:pPr>
              <w:rPr>
                <w:rFonts w:ascii="楷体" w:hAnsi="楷体" w:eastAsia="楷体"/>
                <w:sz w:val="18"/>
                <w:szCs w:val="18"/>
                <w:highlight w:val="none"/>
              </w:rPr>
            </w:pPr>
            <w:r>
              <w:rPr>
                <w:rFonts w:hint="eastAsia" w:ascii="楷体" w:hAnsi="楷体" w:eastAsia="楷体"/>
                <w:sz w:val="18"/>
                <w:szCs w:val="18"/>
                <w:highlight w:val="none"/>
              </w:rPr>
              <w:t>计算公式为：</w:t>
            </w:r>
            <m:oMath>
              <m:r>
                <m:rPr/>
                <w:rPr>
                  <w:rFonts w:ascii="Cambria Math" w:hAnsi="Cambria Math" w:eastAsia="楷体"/>
                  <w:sz w:val="18"/>
                  <w:szCs w:val="18"/>
                  <w:highlight w:val="none"/>
                </w:rPr>
                <m:t>BLEV</m:t>
              </m:r>
              <m:r>
                <m:rPr>
                  <m:sty m:val="p"/>
                </m:rPr>
                <w:rPr>
                  <w:rFonts w:ascii="Cambria Math" w:hAnsi="Cambria Math" w:eastAsia="楷体"/>
                  <w:sz w:val="18"/>
                  <w:szCs w:val="18"/>
                  <w:highlight w:val="none"/>
                </w:rPr>
                <m:t>=</m:t>
              </m:r>
              <m:f>
                <m:fPr>
                  <m:ctrlPr>
                    <w:rPr>
                      <w:rFonts w:ascii="Cambria Math" w:hAnsi="Cambria Math" w:eastAsia="楷体"/>
                      <w:sz w:val="18"/>
                      <w:szCs w:val="18"/>
                      <w:highlight w:val="none"/>
                    </w:rPr>
                  </m:ctrlPr>
                </m:fPr>
                <m:num>
                  <m:r>
                    <m:rPr/>
                    <w:rPr>
                      <w:rFonts w:ascii="Cambria Math" w:hAnsi="Cambria Math" w:eastAsia="楷体"/>
                      <w:sz w:val="18"/>
                      <w:szCs w:val="18"/>
                      <w:highlight w:val="none"/>
                    </w:rPr>
                    <m:t>BE+PE+LD</m:t>
                  </m:r>
                  <m:ctrlPr>
                    <w:rPr>
                      <w:rFonts w:ascii="Cambria Math" w:hAnsi="Cambria Math" w:eastAsia="楷体"/>
                      <w:sz w:val="18"/>
                      <w:szCs w:val="18"/>
                      <w:highlight w:val="none"/>
                    </w:rPr>
                  </m:ctrlPr>
                </m:num>
                <m:den>
                  <m:r>
                    <m:rPr/>
                    <w:rPr>
                      <w:rFonts w:ascii="Cambria Math" w:hAnsi="Cambria Math" w:eastAsia="楷体"/>
                      <w:sz w:val="18"/>
                      <w:szCs w:val="18"/>
                      <w:highlight w:val="none"/>
                    </w:rPr>
                    <m:t>ME</m:t>
                  </m:r>
                  <m:ctrlPr>
                    <w:rPr>
                      <w:rFonts w:ascii="Cambria Math" w:hAnsi="Cambria Math" w:eastAsia="楷体"/>
                      <w:sz w:val="18"/>
                      <w:szCs w:val="18"/>
                      <w:highlight w:val="none"/>
                    </w:rPr>
                  </m:ctrlPr>
                </m:den>
              </m:f>
            </m:oMath>
          </w:p>
          <w:p w14:paraId="062D2883">
            <w:pPr>
              <w:rPr>
                <w:rFonts w:ascii="楷体" w:hAnsi="楷体" w:eastAsia="楷体" w:cs="Times New Roman"/>
                <w:sz w:val="18"/>
                <w:szCs w:val="18"/>
                <w:highlight w:val="none"/>
              </w:rPr>
            </w:pPr>
            <w:r>
              <w:rPr>
                <w:rFonts w:hint="eastAsia" w:ascii="楷体" w:hAnsi="楷体" w:eastAsia="楷体"/>
                <w:sz w:val="18"/>
                <w:szCs w:val="18"/>
                <w:highlight w:val="none"/>
              </w:rPr>
              <w:t>其中BE，PE和LD分别是上一财政年度的普通股账面价值，优先股和长期负债</w:t>
            </w:r>
          </w:p>
        </w:tc>
      </w:tr>
      <w:tr w14:paraId="07B16FC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07ED7EAA">
            <w:pPr>
              <w:jc w:val="center"/>
              <w:rPr>
                <w:rFonts w:ascii="楷体" w:hAnsi="楷体" w:eastAsia="楷体"/>
                <w:sz w:val="18"/>
                <w:szCs w:val="18"/>
                <w:highlight w:val="none"/>
              </w:rPr>
            </w:pPr>
          </w:p>
        </w:tc>
        <w:tc>
          <w:tcPr>
            <w:tcW w:w="1276" w:type="dxa"/>
            <w:vMerge w:val="continue"/>
            <w:vAlign w:val="center"/>
          </w:tcPr>
          <w:p w14:paraId="0D076411">
            <w:pPr>
              <w:jc w:val="center"/>
              <w:rPr>
                <w:rFonts w:ascii="楷体" w:hAnsi="楷体" w:eastAsia="楷体"/>
                <w:sz w:val="18"/>
                <w:szCs w:val="18"/>
                <w:highlight w:val="none"/>
              </w:rPr>
            </w:pPr>
          </w:p>
        </w:tc>
        <w:tc>
          <w:tcPr>
            <w:tcW w:w="1843" w:type="dxa"/>
            <w:vAlign w:val="center"/>
          </w:tcPr>
          <w:p w14:paraId="35A32FD8">
            <w:pPr>
              <w:jc w:val="center"/>
              <w:rPr>
                <w:rFonts w:ascii="楷体" w:hAnsi="楷体" w:eastAsia="楷体"/>
                <w:sz w:val="18"/>
                <w:szCs w:val="18"/>
                <w:highlight w:val="none"/>
              </w:rPr>
            </w:pPr>
            <w:r>
              <w:rPr>
                <w:rFonts w:ascii="楷体" w:hAnsi="楷体" w:eastAsia="楷体"/>
                <w:sz w:val="18"/>
                <w:szCs w:val="18"/>
                <w:highlight w:val="none"/>
              </w:rPr>
              <w:t>Debt to asset ratio</w:t>
            </w:r>
          </w:p>
        </w:tc>
        <w:tc>
          <w:tcPr>
            <w:tcW w:w="1145" w:type="dxa"/>
            <w:vAlign w:val="center"/>
          </w:tcPr>
          <w:p w14:paraId="78744E0A">
            <w:pPr>
              <w:jc w:val="center"/>
              <w:rPr>
                <w:rFonts w:ascii="楷体" w:hAnsi="楷体" w:eastAsia="楷体"/>
                <w:sz w:val="18"/>
                <w:szCs w:val="18"/>
                <w:highlight w:val="none"/>
              </w:rPr>
            </w:pPr>
            <w:r>
              <w:rPr>
                <w:rFonts w:hint="eastAsia" w:ascii="楷体" w:hAnsi="楷体" w:eastAsia="楷体"/>
                <w:sz w:val="18"/>
                <w:szCs w:val="18"/>
                <w:highlight w:val="none"/>
              </w:rPr>
              <w:t>资产负债比</w:t>
            </w:r>
          </w:p>
        </w:tc>
        <w:tc>
          <w:tcPr>
            <w:tcW w:w="4950" w:type="dxa"/>
            <w:vAlign w:val="center"/>
          </w:tcPr>
          <w:p w14:paraId="0637A9B3">
            <w:pPr>
              <w:rPr>
                <w:sz w:val="18"/>
                <w:szCs w:val="18"/>
                <w:highlight w:val="none"/>
              </w:rPr>
            </w:pPr>
            <w:r>
              <w:rPr>
                <w:rFonts w:hint="eastAsia" w:ascii="楷体" w:hAnsi="楷体" w:eastAsia="楷体"/>
                <w:sz w:val="18"/>
                <w:szCs w:val="18"/>
                <w:highlight w:val="none"/>
              </w:rPr>
              <w:t>计算公式为：</w:t>
            </w:r>
            <m:oMath>
              <m:r>
                <m:rPr/>
                <w:rPr>
                  <w:rFonts w:ascii="Cambria Math" w:hAnsi="Cambria Math" w:eastAsia="楷体"/>
                  <w:sz w:val="18"/>
                  <w:szCs w:val="18"/>
                  <w:highlight w:val="none"/>
                </w:rPr>
                <m:t>DTOA</m:t>
              </m:r>
              <m:r>
                <m:rPr>
                  <m:sty m:val="p"/>
                </m:rPr>
                <w:rPr>
                  <w:rFonts w:ascii="Cambria Math" w:hAnsi="Cambria Math"/>
                  <w:sz w:val="18"/>
                  <w:szCs w:val="18"/>
                  <w:highlight w:val="none"/>
                </w:rPr>
                <m:t>=</m:t>
              </m:r>
              <m:f>
                <m:fPr>
                  <m:ctrlPr>
                    <w:rPr>
                      <w:rFonts w:ascii="Cambria Math" w:hAnsi="Cambria Math"/>
                      <w:sz w:val="18"/>
                      <w:szCs w:val="18"/>
                      <w:highlight w:val="none"/>
                    </w:rPr>
                  </m:ctrlPr>
                </m:fPr>
                <m:num>
                  <m:r>
                    <m:rPr/>
                    <w:rPr>
                      <w:rFonts w:ascii="Cambria Math" w:hAnsi="Cambria Math"/>
                      <w:sz w:val="18"/>
                      <w:szCs w:val="18"/>
                      <w:highlight w:val="none"/>
                    </w:rPr>
                    <m:t>TL</m:t>
                  </m:r>
                  <m:ctrlPr>
                    <w:rPr>
                      <w:rFonts w:ascii="Cambria Math" w:hAnsi="Cambria Math"/>
                      <w:sz w:val="18"/>
                      <w:szCs w:val="18"/>
                      <w:highlight w:val="none"/>
                    </w:rPr>
                  </m:ctrlPr>
                </m:num>
                <m:den>
                  <m:r>
                    <m:rPr/>
                    <w:rPr>
                      <w:rFonts w:ascii="Cambria Math" w:hAnsi="Cambria Math"/>
                      <w:sz w:val="18"/>
                      <w:szCs w:val="18"/>
                      <w:highlight w:val="none"/>
                    </w:rPr>
                    <m:t>TA</m:t>
                  </m:r>
                  <m:ctrlPr>
                    <w:rPr>
                      <w:rFonts w:ascii="Cambria Math" w:hAnsi="Cambria Math"/>
                      <w:sz w:val="18"/>
                      <w:szCs w:val="18"/>
                      <w:highlight w:val="none"/>
                    </w:rPr>
                  </m:ctrlPr>
                </m:den>
              </m:f>
            </m:oMath>
          </w:p>
          <w:p w14:paraId="5217516A">
            <w:pPr>
              <w:rPr>
                <w:sz w:val="18"/>
                <w:szCs w:val="18"/>
                <w:highlight w:val="none"/>
              </w:rPr>
            </w:pPr>
            <w:r>
              <w:rPr>
                <w:rFonts w:hint="eastAsia" w:ascii="楷体" w:hAnsi="楷体" w:eastAsia="楷体"/>
                <w:sz w:val="18"/>
                <w:szCs w:val="18"/>
                <w:highlight w:val="none"/>
              </w:rPr>
              <w:t>TL、TA分别为上一财政年度总负债和总资产</w:t>
            </w:r>
          </w:p>
        </w:tc>
      </w:tr>
      <w:tr w14:paraId="5C77014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2F0F6310">
            <w:pPr>
              <w:jc w:val="center"/>
              <w:rPr>
                <w:rFonts w:ascii="楷体" w:hAnsi="楷体" w:eastAsia="楷体"/>
                <w:sz w:val="18"/>
                <w:szCs w:val="18"/>
                <w:highlight w:val="none"/>
              </w:rPr>
            </w:pPr>
          </w:p>
        </w:tc>
        <w:tc>
          <w:tcPr>
            <w:tcW w:w="1276" w:type="dxa"/>
            <w:vMerge w:val="restart"/>
            <w:vAlign w:val="center"/>
          </w:tcPr>
          <w:p w14:paraId="0B26DF4F">
            <w:pPr>
              <w:jc w:val="center"/>
              <w:rPr>
                <w:rFonts w:ascii="楷体" w:hAnsi="楷体" w:eastAsia="楷体"/>
                <w:sz w:val="18"/>
                <w:szCs w:val="18"/>
                <w:highlight w:val="none"/>
              </w:rPr>
            </w:pPr>
            <w:r>
              <w:rPr>
                <w:rFonts w:ascii="楷体" w:hAnsi="楷体" w:eastAsia="楷体"/>
                <w:sz w:val="18"/>
                <w:szCs w:val="18"/>
                <w:highlight w:val="none"/>
              </w:rPr>
              <w:t>Earnings Variab</w:t>
            </w:r>
            <w:r>
              <w:rPr>
                <w:rFonts w:hint="eastAsia" w:ascii="楷体" w:hAnsi="楷体" w:eastAsia="楷体"/>
                <w:sz w:val="18"/>
                <w:szCs w:val="18"/>
                <w:highlight w:val="none"/>
              </w:rPr>
              <w:t>i</w:t>
            </w:r>
            <w:r>
              <w:rPr>
                <w:rFonts w:ascii="楷体" w:hAnsi="楷体" w:eastAsia="楷体"/>
                <w:sz w:val="18"/>
                <w:szCs w:val="18"/>
                <w:highlight w:val="none"/>
              </w:rPr>
              <w:t>lity</w:t>
            </w:r>
          </w:p>
        </w:tc>
        <w:tc>
          <w:tcPr>
            <w:tcW w:w="1843" w:type="dxa"/>
            <w:vAlign w:val="center"/>
          </w:tcPr>
          <w:p w14:paraId="76958460">
            <w:pPr>
              <w:jc w:val="center"/>
              <w:rPr>
                <w:rFonts w:ascii="楷体" w:hAnsi="楷体" w:eastAsia="楷体"/>
                <w:sz w:val="18"/>
                <w:szCs w:val="18"/>
                <w:highlight w:val="none"/>
              </w:rPr>
            </w:pPr>
            <w:r>
              <w:rPr>
                <w:rFonts w:ascii="楷体" w:hAnsi="楷体" w:eastAsia="楷体"/>
                <w:sz w:val="18"/>
                <w:szCs w:val="18"/>
                <w:highlight w:val="none"/>
              </w:rPr>
              <w:t>Variation in Sales</w:t>
            </w:r>
          </w:p>
        </w:tc>
        <w:tc>
          <w:tcPr>
            <w:tcW w:w="1145" w:type="dxa"/>
            <w:vAlign w:val="center"/>
          </w:tcPr>
          <w:p w14:paraId="216DEE11">
            <w:pPr>
              <w:jc w:val="center"/>
              <w:rPr>
                <w:rFonts w:ascii="楷体" w:hAnsi="楷体" w:eastAsia="楷体"/>
                <w:sz w:val="18"/>
                <w:szCs w:val="18"/>
                <w:highlight w:val="none"/>
              </w:rPr>
            </w:pPr>
            <w:r>
              <w:rPr>
                <w:rFonts w:hint="eastAsia" w:ascii="楷体" w:hAnsi="楷体" w:eastAsia="楷体"/>
                <w:sz w:val="18"/>
                <w:szCs w:val="18"/>
                <w:highlight w:val="none"/>
              </w:rPr>
              <w:t>营业收入波动率</w:t>
            </w:r>
          </w:p>
        </w:tc>
        <w:tc>
          <w:tcPr>
            <w:tcW w:w="4950" w:type="dxa"/>
            <w:vAlign w:val="center"/>
          </w:tcPr>
          <w:p w14:paraId="77AE4876">
            <w:pPr>
              <w:rPr>
                <w:rFonts w:ascii="楷体" w:hAnsi="楷体" w:eastAsia="楷体" w:cs="Times New Roman"/>
                <w:sz w:val="18"/>
                <w:szCs w:val="18"/>
                <w:highlight w:val="none"/>
              </w:rPr>
            </w:pPr>
            <w:r>
              <w:rPr>
                <w:rFonts w:hint="eastAsia" w:ascii="楷体" w:hAnsi="楷体" w:eastAsia="楷体" w:cs="Times New Roman"/>
                <w:sz w:val="18"/>
                <w:szCs w:val="18"/>
                <w:highlight w:val="none"/>
              </w:rPr>
              <w:t>过去五个财年的年营业收入标准差除以平均年营业收入</w:t>
            </w:r>
          </w:p>
        </w:tc>
      </w:tr>
      <w:tr w14:paraId="098EE1E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3F017668">
            <w:pPr>
              <w:jc w:val="center"/>
              <w:rPr>
                <w:rFonts w:ascii="楷体" w:hAnsi="楷体" w:eastAsia="楷体"/>
                <w:sz w:val="18"/>
                <w:szCs w:val="18"/>
                <w:highlight w:val="none"/>
              </w:rPr>
            </w:pPr>
          </w:p>
        </w:tc>
        <w:tc>
          <w:tcPr>
            <w:tcW w:w="1276" w:type="dxa"/>
            <w:vMerge w:val="continue"/>
            <w:vAlign w:val="center"/>
          </w:tcPr>
          <w:p w14:paraId="67E5D7E3">
            <w:pPr>
              <w:jc w:val="center"/>
              <w:rPr>
                <w:rFonts w:ascii="楷体" w:hAnsi="楷体" w:eastAsia="楷体"/>
                <w:sz w:val="18"/>
                <w:szCs w:val="18"/>
                <w:highlight w:val="none"/>
              </w:rPr>
            </w:pPr>
          </w:p>
        </w:tc>
        <w:tc>
          <w:tcPr>
            <w:tcW w:w="1843" w:type="dxa"/>
            <w:vAlign w:val="center"/>
          </w:tcPr>
          <w:p w14:paraId="6B9E1EB7">
            <w:pPr>
              <w:jc w:val="center"/>
              <w:rPr>
                <w:rFonts w:ascii="楷体" w:hAnsi="楷体" w:eastAsia="楷体"/>
                <w:sz w:val="18"/>
                <w:szCs w:val="18"/>
                <w:highlight w:val="none"/>
              </w:rPr>
            </w:pPr>
            <w:r>
              <w:rPr>
                <w:rFonts w:ascii="楷体" w:hAnsi="楷体" w:eastAsia="楷体"/>
                <w:sz w:val="18"/>
                <w:szCs w:val="18"/>
                <w:highlight w:val="none"/>
              </w:rPr>
              <w:t>Variation in Earnings</w:t>
            </w:r>
          </w:p>
        </w:tc>
        <w:tc>
          <w:tcPr>
            <w:tcW w:w="1145" w:type="dxa"/>
            <w:vAlign w:val="center"/>
          </w:tcPr>
          <w:p w14:paraId="1082647F">
            <w:pPr>
              <w:jc w:val="center"/>
              <w:rPr>
                <w:rFonts w:ascii="楷体" w:hAnsi="楷体" w:eastAsia="楷体"/>
                <w:sz w:val="18"/>
                <w:szCs w:val="18"/>
                <w:highlight w:val="none"/>
              </w:rPr>
            </w:pPr>
            <w:r>
              <w:rPr>
                <w:rFonts w:hint="eastAsia" w:ascii="楷体" w:hAnsi="楷体" w:eastAsia="楷体"/>
                <w:sz w:val="18"/>
                <w:szCs w:val="18"/>
                <w:highlight w:val="none"/>
              </w:rPr>
              <w:t>盈利波动率</w:t>
            </w:r>
          </w:p>
        </w:tc>
        <w:tc>
          <w:tcPr>
            <w:tcW w:w="4950" w:type="dxa"/>
            <w:vAlign w:val="center"/>
          </w:tcPr>
          <w:p w14:paraId="6A6FE103">
            <w:pPr>
              <w:rPr>
                <w:sz w:val="18"/>
                <w:szCs w:val="18"/>
                <w:highlight w:val="none"/>
              </w:rPr>
            </w:pPr>
            <w:r>
              <w:rPr>
                <w:rFonts w:hint="eastAsia" w:ascii="楷体" w:hAnsi="楷体" w:eastAsia="楷体" w:cs="Times New Roman"/>
                <w:sz w:val="18"/>
                <w:szCs w:val="18"/>
                <w:highlight w:val="none"/>
              </w:rPr>
              <w:t>过去五个财年的年净利润标准差除以平均年净利润</w:t>
            </w:r>
          </w:p>
        </w:tc>
      </w:tr>
      <w:tr w14:paraId="3F818DE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75D3C256">
            <w:pPr>
              <w:jc w:val="center"/>
              <w:rPr>
                <w:rFonts w:ascii="楷体" w:hAnsi="楷体" w:eastAsia="楷体"/>
                <w:sz w:val="18"/>
                <w:szCs w:val="18"/>
                <w:highlight w:val="none"/>
              </w:rPr>
            </w:pPr>
          </w:p>
        </w:tc>
        <w:tc>
          <w:tcPr>
            <w:tcW w:w="1276" w:type="dxa"/>
            <w:vMerge w:val="continue"/>
            <w:vAlign w:val="center"/>
          </w:tcPr>
          <w:p w14:paraId="71BF7C4C">
            <w:pPr>
              <w:jc w:val="center"/>
              <w:rPr>
                <w:rFonts w:ascii="楷体" w:hAnsi="楷体" w:eastAsia="楷体"/>
                <w:sz w:val="18"/>
                <w:szCs w:val="18"/>
                <w:highlight w:val="none"/>
              </w:rPr>
            </w:pPr>
          </w:p>
        </w:tc>
        <w:tc>
          <w:tcPr>
            <w:tcW w:w="1843" w:type="dxa"/>
            <w:vAlign w:val="center"/>
          </w:tcPr>
          <w:p w14:paraId="31371FAD">
            <w:pPr>
              <w:jc w:val="center"/>
              <w:rPr>
                <w:rFonts w:ascii="楷体" w:hAnsi="楷体" w:eastAsia="楷体"/>
                <w:sz w:val="18"/>
                <w:szCs w:val="18"/>
                <w:highlight w:val="none"/>
              </w:rPr>
            </w:pPr>
            <w:r>
              <w:rPr>
                <w:rFonts w:ascii="楷体" w:hAnsi="楷体" w:eastAsia="楷体"/>
                <w:sz w:val="18"/>
                <w:szCs w:val="18"/>
                <w:highlight w:val="none"/>
              </w:rPr>
              <w:t>Variation in Cash-Flows</w:t>
            </w:r>
          </w:p>
        </w:tc>
        <w:tc>
          <w:tcPr>
            <w:tcW w:w="1145" w:type="dxa"/>
            <w:vAlign w:val="center"/>
          </w:tcPr>
          <w:p w14:paraId="7429632A">
            <w:pPr>
              <w:jc w:val="center"/>
              <w:rPr>
                <w:rFonts w:ascii="楷体" w:hAnsi="楷体" w:eastAsia="楷体"/>
                <w:sz w:val="18"/>
                <w:szCs w:val="18"/>
                <w:highlight w:val="none"/>
              </w:rPr>
            </w:pPr>
            <w:r>
              <w:rPr>
                <w:rFonts w:hint="eastAsia" w:ascii="楷体" w:hAnsi="楷体" w:eastAsia="楷体"/>
                <w:sz w:val="18"/>
                <w:szCs w:val="18"/>
                <w:highlight w:val="none"/>
              </w:rPr>
              <w:t>现金流波动率</w:t>
            </w:r>
          </w:p>
        </w:tc>
        <w:tc>
          <w:tcPr>
            <w:tcW w:w="4950" w:type="dxa"/>
            <w:vAlign w:val="center"/>
          </w:tcPr>
          <w:p w14:paraId="5C83F4DA">
            <w:pPr>
              <w:rPr>
                <w:sz w:val="18"/>
                <w:szCs w:val="18"/>
                <w:highlight w:val="none"/>
              </w:rPr>
            </w:pPr>
            <w:r>
              <w:rPr>
                <w:rFonts w:hint="eastAsia" w:ascii="楷体" w:hAnsi="楷体" w:eastAsia="楷体" w:cs="Times New Roman"/>
                <w:sz w:val="18"/>
                <w:szCs w:val="18"/>
                <w:highlight w:val="none"/>
              </w:rPr>
              <w:t>过去五个财年的年现金及现金等价物净增加额标准差除以平均年现金及现金等价物净增加额</w:t>
            </w:r>
          </w:p>
        </w:tc>
      </w:tr>
      <w:tr w14:paraId="68A783C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6C0C7AF9">
            <w:pPr>
              <w:jc w:val="center"/>
              <w:rPr>
                <w:rFonts w:ascii="楷体" w:hAnsi="楷体" w:eastAsia="楷体"/>
                <w:sz w:val="18"/>
                <w:szCs w:val="18"/>
                <w:highlight w:val="none"/>
              </w:rPr>
            </w:pPr>
          </w:p>
        </w:tc>
        <w:tc>
          <w:tcPr>
            <w:tcW w:w="1276" w:type="dxa"/>
            <w:vMerge w:val="continue"/>
            <w:vAlign w:val="center"/>
          </w:tcPr>
          <w:p w14:paraId="74AF4FA4">
            <w:pPr>
              <w:jc w:val="center"/>
              <w:rPr>
                <w:rFonts w:ascii="楷体" w:hAnsi="楷体" w:eastAsia="楷体"/>
                <w:sz w:val="18"/>
                <w:szCs w:val="18"/>
                <w:highlight w:val="none"/>
              </w:rPr>
            </w:pPr>
          </w:p>
        </w:tc>
        <w:tc>
          <w:tcPr>
            <w:tcW w:w="1843" w:type="dxa"/>
            <w:vAlign w:val="center"/>
          </w:tcPr>
          <w:p w14:paraId="0F068FC8">
            <w:pPr>
              <w:jc w:val="center"/>
              <w:rPr>
                <w:rFonts w:ascii="楷体" w:hAnsi="楷体" w:eastAsia="楷体"/>
                <w:sz w:val="18"/>
                <w:szCs w:val="18"/>
                <w:highlight w:val="none"/>
              </w:rPr>
            </w:pPr>
            <w:r>
              <w:rPr>
                <w:rFonts w:ascii="楷体" w:hAnsi="楷体" w:eastAsia="楷体"/>
                <w:sz w:val="18"/>
                <w:szCs w:val="18"/>
                <w:highlight w:val="none"/>
              </w:rPr>
              <w:t>Standard deviation of Analyst Forecast Earnings-to-Price</w:t>
            </w:r>
          </w:p>
        </w:tc>
        <w:tc>
          <w:tcPr>
            <w:tcW w:w="1145" w:type="dxa"/>
            <w:vAlign w:val="center"/>
          </w:tcPr>
          <w:p w14:paraId="40181FEB">
            <w:pPr>
              <w:jc w:val="center"/>
              <w:rPr>
                <w:rFonts w:ascii="楷体" w:hAnsi="楷体" w:eastAsia="楷体"/>
                <w:sz w:val="18"/>
                <w:szCs w:val="18"/>
                <w:highlight w:val="none"/>
              </w:rPr>
            </w:pPr>
            <w:r>
              <w:rPr>
                <w:rFonts w:hint="eastAsia" w:ascii="楷体" w:hAnsi="楷体" w:eastAsia="楷体"/>
                <w:sz w:val="18"/>
                <w:szCs w:val="18"/>
                <w:highlight w:val="none"/>
              </w:rPr>
              <w:t>分析师预测盈市率标准差</w:t>
            </w:r>
          </w:p>
        </w:tc>
        <w:tc>
          <w:tcPr>
            <w:tcW w:w="4950" w:type="dxa"/>
            <w:vAlign w:val="center"/>
          </w:tcPr>
          <w:p w14:paraId="5ABA1375">
            <w:pPr>
              <w:rPr>
                <w:rFonts w:ascii="楷体" w:hAnsi="楷体" w:eastAsia="楷体" w:cs="Times New Roman"/>
                <w:sz w:val="18"/>
                <w:szCs w:val="18"/>
                <w:highlight w:val="none"/>
              </w:rPr>
            </w:pPr>
            <w:r>
              <w:rPr>
                <w:rFonts w:hint="eastAsia" w:ascii="楷体" w:hAnsi="楷体" w:eastAsia="楷体" w:cs="Times New Roman"/>
                <w:sz w:val="18"/>
                <w:szCs w:val="18"/>
                <w:highlight w:val="none"/>
              </w:rPr>
              <w:t>预测12月eps</w:t>
            </w:r>
            <w:r>
              <w:rPr>
                <w:rFonts w:ascii="楷体" w:hAnsi="楷体" w:eastAsia="楷体" w:cs="Times New Roman"/>
                <w:sz w:val="18"/>
                <w:szCs w:val="18"/>
                <w:highlight w:val="none"/>
              </w:rPr>
              <w:t>的标准差除以当前股价</w:t>
            </w:r>
          </w:p>
        </w:tc>
      </w:tr>
      <w:tr w14:paraId="3FAF51A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32B8D9BC">
            <w:pPr>
              <w:jc w:val="center"/>
              <w:rPr>
                <w:rFonts w:ascii="楷体" w:hAnsi="楷体" w:eastAsia="楷体"/>
                <w:sz w:val="18"/>
                <w:szCs w:val="18"/>
                <w:highlight w:val="none"/>
              </w:rPr>
            </w:pPr>
          </w:p>
        </w:tc>
        <w:tc>
          <w:tcPr>
            <w:tcW w:w="1276" w:type="dxa"/>
            <w:vMerge w:val="restart"/>
            <w:vAlign w:val="center"/>
          </w:tcPr>
          <w:p w14:paraId="2151E3A0">
            <w:pPr>
              <w:jc w:val="center"/>
              <w:rPr>
                <w:rFonts w:ascii="楷体" w:hAnsi="楷体" w:eastAsia="楷体"/>
                <w:sz w:val="18"/>
                <w:szCs w:val="18"/>
                <w:highlight w:val="none"/>
              </w:rPr>
            </w:pPr>
            <w:r>
              <w:rPr>
                <w:rFonts w:ascii="楷体" w:hAnsi="楷体" w:eastAsia="楷体"/>
                <w:sz w:val="18"/>
                <w:szCs w:val="18"/>
                <w:highlight w:val="none"/>
              </w:rPr>
              <w:t>Earnings Quality</w:t>
            </w:r>
          </w:p>
        </w:tc>
        <w:tc>
          <w:tcPr>
            <w:tcW w:w="1843" w:type="dxa"/>
            <w:vAlign w:val="center"/>
          </w:tcPr>
          <w:p w14:paraId="6CA966B2">
            <w:pPr>
              <w:jc w:val="center"/>
              <w:rPr>
                <w:rFonts w:ascii="楷体" w:hAnsi="楷体" w:eastAsia="楷体"/>
                <w:sz w:val="18"/>
                <w:szCs w:val="18"/>
                <w:highlight w:val="none"/>
              </w:rPr>
            </w:pPr>
            <w:r>
              <w:rPr>
                <w:rFonts w:ascii="楷体" w:hAnsi="楷体" w:eastAsia="楷体"/>
                <w:sz w:val="18"/>
                <w:szCs w:val="18"/>
                <w:highlight w:val="none"/>
              </w:rPr>
              <w:t>Accruals Balancesheet version</w:t>
            </w:r>
          </w:p>
        </w:tc>
        <w:tc>
          <w:tcPr>
            <w:tcW w:w="1145" w:type="dxa"/>
            <w:vAlign w:val="center"/>
          </w:tcPr>
          <w:p w14:paraId="1C0004D9">
            <w:pPr>
              <w:jc w:val="center"/>
              <w:rPr>
                <w:rFonts w:ascii="楷体" w:hAnsi="楷体" w:eastAsia="楷体"/>
                <w:sz w:val="18"/>
                <w:szCs w:val="18"/>
                <w:highlight w:val="none"/>
              </w:rPr>
            </w:pPr>
            <w:r>
              <w:rPr>
                <w:rFonts w:hint="eastAsia" w:ascii="楷体" w:hAnsi="楷体" w:eastAsia="楷体"/>
                <w:sz w:val="18"/>
                <w:szCs w:val="18"/>
                <w:highlight w:val="none"/>
              </w:rPr>
              <w:t>资产负债表应计项目</w:t>
            </w:r>
          </w:p>
        </w:tc>
        <w:tc>
          <w:tcPr>
            <w:tcW w:w="4950" w:type="dxa"/>
            <w:vAlign w:val="center"/>
          </w:tcPr>
          <w:p w14:paraId="0D26F5D7">
            <w:pPr>
              <w:pStyle w:val="15"/>
              <w:rPr>
                <w:rFonts w:ascii="楷体" w:hAnsi="楷体" w:eastAsia="楷体"/>
                <w:sz w:val="18"/>
                <w:szCs w:val="18"/>
                <w:highlight w:val="none"/>
              </w:rPr>
            </w:pPr>
            <w:r>
              <w:rPr>
                <w:rFonts w:hint="eastAsia" w:ascii="楷体" w:hAnsi="楷体" w:eastAsia="楷体"/>
                <w:sz w:val="18"/>
                <w:szCs w:val="18"/>
                <w:highlight w:val="none"/>
              </w:rPr>
              <w:t>（1）资产负债表应计项目总额计算公式为：</w:t>
            </w:r>
          </w:p>
          <w:p w14:paraId="470D7950">
            <w:pPr>
              <w:pStyle w:val="5"/>
              <w:widowControl/>
              <w:jc w:val="both"/>
              <w:rPr>
                <w:rFonts w:ascii="楷体" w:hAnsi="楷体" w:eastAsia="楷体" w:cstheme="minorBidi"/>
                <w:kern w:val="2"/>
                <w:sz w:val="18"/>
                <w:szCs w:val="18"/>
                <w:highlight w:val="none"/>
              </w:rPr>
            </w:pPr>
            <m:oMath>
              <m:r>
                <m:rPr/>
                <w:rPr>
                  <w:rFonts w:ascii="Cambria Math" w:hAnsi="Cambria Math" w:eastAsia="楷体"/>
                  <w:sz w:val="18"/>
                  <w:szCs w:val="18"/>
                  <w:highlight w:val="none"/>
                </w:rPr>
                <m:t>A</m:t>
              </m:r>
              <m:r>
                <m:rPr/>
                <w:rPr>
                  <w:rFonts w:ascii="Cambria Math" w:hAnsi="Cambria Math" w:eastAsia="楷体" w:cstheme="minorBidi"/>
                  <w:kern w:val="2"/>
                  <w:sz w:val="18"/>
                  <w:szCs w:val="18"/>
                  <w:highlight w:val="none"/>
                </w:rPr>
                <m:t>CCR_BS</m:t>
              </m:r>
            </m:oMath>
            <w:r>
              <w:rPr>
                <w:rFonts w:ascii="Cambria Math" w:hAnsi="Cambria Math" w:eastAsia="楷体" w:cstheme="minorBidi"/>
                <w:i/>
                <w:kern w:val="2"/>
                <w:sz w:val="18"/>
                <w:szCs w:val="18"/>
                <w:highlight w:val="none"/>
              </w:rPr>
              <w:t>=</w:t>
            </w:r>
            <w:r>
              <w:rPr>
                <w:rFonts w:ascii="楷体" w:hAnsi="楷体" w:eastAsia="楷体" w:cstheme="minorBidi"/>
                <w:kern w:val="2"/>
                <w:sz w:val="18"/>
                <w:szCs w:val="18"/>
                <w:highlight w:val="none"/>
              </w:rPr>
              <w:t xml:space="preserve"> </w:t>
            </w:r>
            <m:oMath>
              <m:sSub>
                <m:sSubPr>
                  <m:ctrlPr>
                    <w:rPr>
                      <w:rFonts w:ascii="Cambria Math" w:hAnsi="Cambria Math" w:eastAsia="楷体" w:cstheme="minorBidi"/>
                      <w:i/>
                      <w:iCs/>
                      <w:kern w:val="2"/>
                      <w:sz w:val="18"/>
                      <w:szCs w:val="18"/>
                      <w:highlight w:val="none"/>
                    </w:rPr>
                  </m:ctrlPr>
                </m:sSubPr>
                <m:e>
                  <m:r>
                    <m:rPr/>
                    <w:rPr>
                      <w:rFonts w:ascii="Cambria Math" w:hAnsi="Cambria Math" w:eastAsia="楷体" w:cstheme="minorBidi"/>
                      <w:kern w:val="2"/>
                      <w:sz w:val="18"/>
                      <w:szCs w:val="18"/>
                      <w:highlight w:val="none"/>
                    </w:rPr>
                    <m:t>NOA</m:t>
                  </m:r>
                  <m:ctrlPr>
                    <w:rPr>
                      <w:rFonts w:ascii="Cambria Math" w:hAnsi="Cambria Math" w:eastAsia="楷体" w:cstheme="minorBidi"/>
                      <w:i/>
                      <w:iCs/>
                      <w:kern w:val="2"/>
                      <w:sz w:val="18"/>
                      <w:szCs w:val="18"/>
                      <w:highlight w:val="none"/>
                    </w:rPr>
                  </m:ctrlPr>
                </m:e>
                <m:sub>
                  <m:r>
                    <m:rPr/>
                    <w:rPr>
                      <w:rFonts w:hint="eastAsia" w:ascii="Cambria Math" w:hAnsi="Cambria Math" w:eastAsia="楷体" w:cstheme="minorBidi"/>
                      <w:kern w:val="2"/>
                      <w:sz w:val="18"/>
                      <w:szCs w:val="18"/>
                      <w:highlight w:val="none"/>
                    </w:rPr>
                    <m:t>t</m:t>
                  </m:r>
                  <m:ctrlPr>
                    <w:rPr>
                      <w:rFonts w:ascii="Cambria Math" w:hAnsi="Cambria Math" w:eastAsia="楷体" w:cstheme="minorBidi"/>
                      <w:i/>
                      <w:iCs/>
                      <w:kern w:val="2"/>
                      <w:sz w:val="18"/>
                      <w:szCs w:val="18"/>
                      <w:highlight w:val="none"/>
                    </w:rPr>
                  </m:ctrlPr>
                </m:sub>
              </m:sSub>
            </m:oMath>
            <w:r>
              <w:rPr>
                <w:rFonts w:ascii="楷体" w:hAnsi="楷体" w:eastAsia="楷体" w:cstheme="minorBidi"/>
                <w:i/>
                <w:iCs/>
                <w:kern w:val="2"/>
                <w:sz w:val="18"/>
                <w:szCs w:val="18"/>
                <w:highlight w:val="none"/>
              </w:rPr>
              <w:t>-</w:t>
            </w:r>
            <m:oMath>
              <m:sSub>
                <m:sSubPr>
                  <m:ctrlPr>
                    <w:rPr>
                      <w:rFonts w:ascii="Cambria Math" w:hAnsi="Cambria Math" w:eastAsia="楷体" w:cstheme="minorBidi"/>
                      <w:i/>
                      <w:iCs/>
                      <w:kern w:val="2"/>
                      <w:sz w:val="18"/>
                      <w:szCs w:val="18"/>
                      <w:highlight w:val="none"/>
                    </w:rPr>
                  </m:ctrlPr>
                </m:sSubPr>
                <m:e>
                  <m:r>
                    <m:rPr/>
                    <w:rPr>
                      <w:rFonts w:ascii="Cambria Math" w:hAnsi="Cambria Math" w:eastAsia="楷体" w:cstheme="minorBidi"/>
                      <w:kern w:val="2"/>
                      <w:sz w:val="18"/>
                      <w:szCs w:val="18"/>
                      <w:highlight w:val="none"/>
                    </w:rPr>
                    <m:t xml:space="preserve"> NOA</m:t>
                  </m:r>
                  <m:ctrlPr>
                    <w:rPr>
                      <w:rFonts w:ascii="Cambria Math" w:hAnsi="Cambria Math" w:eastAsia="楷体" w:cstheme="minorBidi"/>
                      <w:i/>
                      <w:iCs/>
                      <w:kern w:val="2"/>
                      <w:sz w:val="18"/>
                      <w:szCs w:val="18"/>
                      <w:highlight w:val="none"/>
                    </w:rPr>
                  </m:ctrlPr>
                </m:e>
                <m:sub>
                  <m:r>
                    <m:rPr/>
                    <w:rPr>
                      <w:rFonts w:hint="eastAsia" w:ascii="Cambria Math" w:hAnsi="Cambria Math" w:eastAsia="楷体" w:cstheme="minorBidi"/>
                      <w:kern w:val="2"/>
                      <w:sz w:val="18"/>
                      <w:szCs w:val="18"/>
                      <w:highlight w:val="none"/>
                    </w:rPr>
                    <m:t>t−1</m:t>
                  </m:r>
                  <m:ctrlPr>
                    <w:rPr>
                      <w:rFonts w:ascii="Cambria Math" w:hAnsi="Cambria Math" w:eastAsia="楷体" w:cstheme="minorBidi"/>
                      <w:i/>
                      <w:iCs/>
                      <w:kern w:val="2"/>
                      <w:sz w:val="18"/>
                      <w:szCs w:val="18"/>
                      <w:highlight w:val="none"/>
                    </w:rPr>
                  </m:ctrlPr>
                </m:sub>
              </m:sSub>
              <m:r>
                <m:rPr>
                  <m:sty m:val="p"/>
                </m:rPr>
                <w:rPr>
                  <w:rFonts w:hint="eastAsia" w:ascii="微软雅黑" w:hAnsi="微软雅黑" w:eastAsia="微软雅黑" w:cs="微软雅黑"/>
                  <w:kern w:val="2"/>
                  <w:sz w:val="18"/>
                  <w:szCs w:val="18"/>
                  <w:highlight w:val="none"/>
                </w:rPr>
                <m:t>−</m:t>
              </m:r>
              <m:sSub>
                <m:sSubPr>
                  <m:ctrlPr>
                    <w:rPr>
                      <w:rFonts w:ascii="Cambria Math" w:hAnsi="Cambria Math" w:eastAsia="楷体" w:cstheme="minorBidi"/>
                      <w:i/>
                      <w:iCs/>
                      <w:kern w:val="2"/>
                      <w:sz w:val="18"/>
                      <w:szCs w:val="18"/>
                      <w:highlight w:val="none"/>
                    </w:rPr>
                  </m:ctrlPr>
                </m:sSubPr>
                <m:e>
                  <m:r>
                    <m:rPr/>
                    <w:rPr>
                      <w:rFonts w:ascii="Cambria Math" w:hAnsi="Cambria Math" w:eastAsia="楷体" w:cstheme="minorBidi"/>
                      <w:kern w:val="2"/>
                      <w:sz w:val="18"/>
                      <w:szCs w:val="18"/>
                      <w:highlight w:val="none"/>
                    </w:rPr>
                    <m:t>DA</m:t>
                  </m:r>
                  <m:ctrlPr>
                    <w:rPr>
                      <w:rFonts w:ascii="Cambria Math" w:hAnsi="Cambria Math" w:eastAsia="楷体" w:cstheme="minorBidi"/>
                      <w:i/>
                      <w:iCs/>
                      <w:kern w:val="2"/>
                      <w:sz w:val="18"/>
                      <w:szCs w:val="18"/>
                      <w:highlight w:val="none"/>
                    </w:rPr>
                  </m:ctrlPr>
                </m:e>
                <m:sub>
                  <m:r>
                    <m:rPr/>
                    <w:rPr>
                      <w:rFonts w:hint="eastAsia" w:ascii="Cambria Math" w:hAnsi="Cambria Math" w:eastAsia="楷体" w:cstheme="minorBidi"/>
                      <w:kern w:val="2"/>
                      <w:sz w:val="18"/>
                      <w:szCs w:val="18"/>
                      <w:highlight w:val="none"/>
                    </w:rPr>
                    <m:t>t</m:t>
                  </m:r>
                  <m:ctrlPr>
                    <w:rPr>
                      <w:rFonts w:ascii="Cambria Math" w:hAnsi="Cambria Math" w:eastAsia="楷体" w:cstheme="minorBidi"/>
                      <w:i/>
                      <w:iCs/>
                      <w:kern w:val="2"/>
                      <w:sz w:val="18"/>
                      <w:szCs w:val="18"/>
                      <w:highlight w:val="none"/>
                    </w:rPr>
                  </m:ctrlPr>
                </m:sub>
              </m:sSub>
            </m:oMath>
          </w:p>
          <w:p w14:paraId="3C2948D0">
            <w:pPr>
              <w:pStyle w:val="5"/>
              <w:widowControl/>
              <w:jc w:val="both"/>
              <w:rPr>
                <w:rFonts w:ascii="楷体" w:hAnsi="楷体" w:eastAsia="楷体" w:cstheme="minorBidi"/>
                <w:kern w:val="2"/>
                <w:sz w:val="18"/>
                <w:szCs w:val="18"/>
                <w:highlight w:val="none"/>
              </w:rPr>
            </w:pPr>
            <m:oMathPara>
              <m:oMath>
                <m:r>
                  <m:rPr/>
                  <w:rPr>
                    <w:rFonts w:ascii="Cambria Math" w:hAnsi="Cambria Math"/>
                    <w:color w:val="000000"/>
                    <w:sz w:val="18"/>
                    <w:szCs w:val="18"/>
                    <w:highlight w:val="none"/>
                  </w:rPr>
                  <m:t>NOA =</m:t>
                </m:r>
                <m:d>
                  <m:dPr>
                    <m:ctrlPr>
                      <w:rPr>
                        <w:rFonts w:ascii="Cambria Math" w:hAnsi="Cambria Math"/>
                        <w:i/>
                        <w:color w:val="000000"/>
                        <w:sz w:val="18"/>
                        <w:szCs w:val="18"/>
                        <w:highlight w:val="none"/>
                      </w:rPr>
                    </m:ctrlPr>
                  </m:dPr>
                  <m:e>
                    <m:r>
                      <m:rPr/>
                      <w:rPr>
                        <w:rFonts w:ascii="Cambria Math" w:hAnsi="Cambria Math"/>
                        <w:color w:val="000000"/>
                        <w:sz w:val="18"/>
                        <w:szCs w:val="18"/>
                        <w:highlight w:val="none"/>
                      </w:rPr>
                      <m:t>TA</m:t>
                    </m:r>
                    <m:r>
                      <m:rPr/>
                      <w:rPr>
                        <w:rFonts w:hint="eastAsia" w:ascii="Cambria Math" w:hAnsi="Cambria Math" w:eastAsia="MS Gothic" w:cs="MS Gothic"/>
                        <w:color w:val="000000"/>
                        <w:sz w:val="18"/>
                        <w:szCs w:val="18"/>
                        <w:highlight w:val="none"/>
                      </w:rPr>
                      <m:t>−</m:t>
                    </m:r>
                    <m:r>
                      <m:rPr/>
                      <w:rPr>
                        <w:rFonts w:ascii="Cambria Math" w:hAnsi="Cambria Math"/>
                        <w:color w:val="000000"/>
                        <w:sz w:val="18"/>
                        <w:szCs w:val="18"/>
                        <w:highlight w:val="none"/>
                      </w:rPr>
                      <m:t>Cash</m:t>
                    </m:r>
                    <m:ctrlPr>
                      <w:rPr>
                        <w:rFonts w:ascii="Cambria Math" w:hAnsi="Cambria Math"/>
                        <w:i/>
                        <w:color w:val="000000"/>
                        <w:sz w:val="18"/>
                        <w:szCs w:val="18"/>
                        <w:highlight w:val="none"/>
                      </w:rPr>
                    </m:ctrlPr>
                  </m:e>
                </m:d>
                <m:r>
                  <m:rPr/>
                  <w:rPr>
                    <w:rFonts w:ascii="Cambria Math" w:hAnsi="Cambria Math"/>
                    <w:color w:val="000000"/>
                    <w:sz w:val="18"/>
                    <w:szCs w:val="18"/>
                    <w:highlight w:val="none"/>
                  </w:rPr>
                  <m:t>–</m:t>
                </m:r>
                <m:d>
                  <m:dPr>
                    <m:ctrlPr>
                      <w:rPr>
                        <w:rFonts w:ascii="Cambria Math" w:hAnsi="Cambria Math"/>
                        <w:i/>
                        <w:color w:val="000000"/>
                        <w:sz w:val="18"/>
                        <w:szCs w:val="18"/>
                        <w:highlight w:val="none"/>
                      </w:rPr>
                    </m:ctrlPr>
                  </m:dPr>
                  <m:e>
                    <m:r>
                      <m:rPr/>
                      <w:rPr>
                        <w:rFonts w:ascii="Cambria Math" w:hAnsi="Cambria Math"/>
                        <w:color w:val="000000"/>
                        <w:sz w:val="18"/>
                        <w:szCs w:val="18"/>
                        <w:highlight w:val="none"/>
                      </w:rPr>
                      <m:t>TL–TD</m:t>
                    </m:r>
                    <m:ctrlPr>
                      <w:rPr>
                        <w:rFonts w:ascii="Cambria Math" w:hAnsi="Cambria Math"/>
                        <w:i/>
                        <w:color w:val="000000"/>
                        <w:sz w:val="18"/>
                        <w:szCs w:val="18"/>
                        <w:highlight w:val="none"/>
                      </w:rPr>
                    </m:ctrlPr>
                  </m:e>
                </m:d>
              </m:oMath>
            </m:oMathPara>
          </w:p>
          <w:p w14:paraId="451273D6">
            <w:pPr>
              <w:pStyle w:val="15"/>
              <w:rPr>
                <w:rFonts w:ascii="楷体" w:hAnsi="楷体" w:eastAsia="楷体"/>
                <w:sz w:val="18"/>
                <w:szCs w:val="18"/>
                <w:highlight w:val="none"/>
              </w:rPr>
            </w:pPr>
            <w:r>
              <w:rPr>
                <w:rFonts w:hint="eastAsia" w:ascii="楷体" w:hAnsi="楷体" w:eastAsia="楷体"/>
                <w:sz w:val="18"/>
                <w:szCs w:val="18"/>
                <w:highlight w:val="none"/>
              </w:rPr>
              <w:t>其中，NOA为净经营资产，Cash为现金及现金等价物，TA为总资产，TL为总负债，TD为总带息债务（负债合计-无息流动负债-无息非流动负债）,</w:t>
            </w:r>
            <w:r>
              <w:rPr>
                <w:rFonts w:ascii="楷体" w:hAnsi="楷体" w:eastAsia="楷体"/>
                <w:sz w:val="18"/>
                <w:szCs w:val="18"/>
                <w:highlight w:val="none"/>
              </w:rPr>
              <w:t>DA</w:t>
            </w:r>
            <w:r>
              <w:rPr>
                <w:rFonts w:hint="eastAsia" w:ascii="楷体" w:hAnsi="楷体" w:eastAsia="楷体"/>
                <w:sz w:val="18"/>
                <w:szCs w:val="18"/>
                <w:highlight w:val="none"/>
              </w:rPr>
              <w:t>为折旧与摊销之和</w:t>
            </w:r>
          </w:p>
          <w:p w14:paraId="73E2B8BB">
            <w:pPr>
              <w:rPr>
                <w:sz w:val="18"/>
                <w:szCs w:val="18"/>
                <w:highlight w:val="none"/>
              </w:rPr>
            </w:pPr>
            <w:r>
              <w:rPr>
                <w:rFonts w:hint="eastAsia" w:ascii="楷体" w:hAnsi="楷体" w:eastAsia="楷体"/>
                <w:sz w:val="18"/>
                <w:szCs w:val="18"/>
                <w:highlight w:val="none"/>
              </w:rPr>
              <w:t>（2）将</w:t>
            </w:r>
            <w:r>
              <w:rPr>
                <w:rFonts w:ascii="楷体" w:hAnsi="楷体" w:eastAsia="楷体"/>
                <w:sz w:val="18"/>
                <w:szCs w:val="18"/>
                <w:highlight w:val="none"/>
              </w:rPr>
              <w:t>负的ACCR</w:t>
            </w:r>
            <w:r>
              <w:rPr>
                <w:rFonts w:hint="eastAsia" w:ascii="楷体" w:hAnsi="楷体" w:eastAsia="楷体"/>
                <w:sz w:val="18"/>
                <w:szCs w:val="18"/>
                <w:highlight w:val="none"/>
              </w:rPr>
              <w:t>_</w:t>
            </w:r>
            <w:r>
              <w:rPr>
                <w:rFonts w:ascii="楷体" w:hAnsi="楷体" w:eastAsia="楷体"/>
                <w:sz w:val="18"/>
                <w:szCs w:val="18"/>
                <w:highlight w:val="none"/>
              </w:rPr>
              <w:t>BS</w:t>
            </w:r>
            <w:r>
              <w:rPr>
                <w:rFonts w:hint="eastAsia" w:ascii="楷体" w:hAnsi="楷体" w:eastAsia="楷体"/>
                <w:sz w:val="18"/>
                <w:szCs w:val="18"/>
                <w:highlight w:val="none"/>
              </w:rPr>
              <w:t>除以总资产T</w:t>
            </w:r>
            <w:r>
              <w:rPr>
                <w:rFonts w:ascii="楷体" w:hAnsi="楷体" w:eastAsia="楷体"/>
                <w:sz w:val="18"/>
                <w:szCs w:val="18"/>
                <w:highlight w:val="none"/>
              </w:rPr>
              <w:t>A:</w:t>
            </w:r>
          </w:p>
          <w:p w14:paraId="7AB1141D">
            <w:pPr>
              <w:rPr>
                <w:sz w:val="18"/>
                <w:szCs w:val="18"/>
                <w:highlight w:val="none"/>
              </w:rPr>
            </w:pPr>
            <m:oMathPara>
              <m:oMath>
                <m:r>
                  <m:rPr/>
                  <w:rPr>
                    <w:rFonts w:ascii="Cambria Math" w:hAnsi="Cambria Math" w:eastAsia="楷体" w:cs="Times New Roman"/>
                    <w:sz w:val="18"/>
                    <w:szCs w:val="18"/>
                    <w:highlight w:val="none"/>
                  </w:rPr>
                  <m:t>ABS=</m:t>
                </m:r>
                <m:f>
                  <m:fPr>
                    <m:ctrlPr>
                      <w:rPr>
                        <w:rFonts w:ascii="Cambria Math" w:hAnsi="Cambria Math" w:eastAsia="楷体" w:cs="Times New Roman"/>
                        <w:i/>
                        <w:sz w:val="18"/>
                        <w:szCs w:val="18"/>
                        <w:highlight w:val="none"/>
                      </w:rPr>
                    </m:ctrlPr>
                  </m:fPr>
                  <m:num>
                    <m:r>
                      <m:rPr/>
                      <w:rPr>
                        <w:rFonts w:ascii="Cambria Math" w:hAnsi="Cambria Math" w:eastAsia="楷体" w:cs="Times New Roman"/>
                        <w:sz w:val="18"/>
                        <w:szCs w:val="18"/>
                        <w:highlight w:val="none"/>
                      </w:rPr>
                      <m:t>−ACCR_BS</m:t>
                    </m:r>
                    <m:ctrlPr>
                      <w:rPr>
                        <w:rFonts w:ascii="Cambria Math" w:hAnsi="Cambria Math" w:eastAsia="楷体" w:cs="Times New Roman"/>
                        <w:i/>
                        <w:sz w:val="18"/>
                        <w:szCs w:val="18"/>
                        <w:highlight w:val="none"/>
                      </w:rPr>
                    </m:ctrlPr>
                  </m:num>
                  <m:den>
                    <m:r>
                      <m:rPr/>
                      <w:rPr>
                        <w:rFonts w:ascii="Cambria Math" w:hAnsi="Cambria Math" w:eastAsia="楷体" w:cs="Times New Roman"/>
                        <w:sz w:val="18"/>
                        <w:szCs w:val="18"/>
                        <w:highlight w:val="none"/>
                      </w:rPr>
                      <m:t>TA</m:t>
                    </m:r>
                    <m:ctrlPr>
                      <w:rPr>
                        <w:rFonts w:ascii="Cambria Math" w:hAnsi="Cambria Math" w:eastAsia="楷体" w:cs="Times New Roman"/>
                        <w:i/>
                        <w:sz w:val="18"/>
                        <w:szCs w:val="18"/>
                        <w:highlight w:val="none"/>
                      </w:rPr>
                    </m:ctrlPr>
                  </m:den>
                </m:f>
              </m:oMath>
            </m:oMathPara>
          </w:p>
        </w:tc>
      </w:tr>
      <w:tr w14:paraId="714688E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73564BD6">
            <w:pPr>
              <w:jc w:val="center"/>
              <w:rPr>
                <w:rFonts w:ascii="楷体" w:hAnsi="楷体" w:eastAsia="楷体"/>
                <w:sz w:val="18"/>
                <w:szCs w:val="18"/>
                <w:highlight w:val="none"/>
              </w:rPr>
            </w:pPr>
          </w:p>
        </w:tc>
        <w:tc>
          <w:tcPr>
            <w:tcW w:w="1276" w:type="dxa"/>
            <w:vMerge w:val="continue"/>
            <w:vAlign w:val="center"/>
          </w:tcPr>
          <w:p w14:paraId="04FDBBE6">
            <w:pPr>
              <w:jc w:val="center"/>
              <w:rPr>
                <w:rFonts w:ascii="楷体" w:hAnsi="楷体" w:eastAsia="楷体"/>
                <w:sz w:val="18"/>
                <w:szCs w:val="18"/>
                <w:highlight w:val="none"/>
              </w:rPr>
            </w:pPr>
          </w:p>
        </w:tc>
        <w:tc>
          <w:tcPr>
            <w:tcW w:w="1843" w:type="dxa"/>
            <w:vAlign w:val="center"/>
          </w:tcPr>
          <w:p w14:paraId="658BC344">
            <w:pPr>
              <w:jc w:val="center"/>
              <w:rPr>
                <w:rFonts w:ascii="楷体" w:hAnsi="楷体" w:eastAsia="楷体"/>
                <w:sz w:val="18"/>
                <w:szCs w:val="18"/>
                <w:highlight w:val="none"/>
              </w:rPr>
            </w:pPr>
            <w:r>
              <w:rPr>
                <w:rFonts w:ascii="楷体" w:hAnsi="楷体" w:eastAsia="楷体"/>
                <w:sz w:val="18"/>
                <w:szCs w:val="18"/>
                <w:highlight w:val="none"/>
              </w:rPr>
              <w:t>Accruals Cas</w:t>
            </w:r>
            <w:r>
              <w:rPr>
                <w:rFonts w:hint="eastAsia" w:ascii="楷体" w:hAnsi="楷体" w:eastAsia="楷体"/>
                <w:sz w:val="18"/>
                <w:szCs w:val="18"/>
                <w:highlight w:val="none"/>
              </w:rPr>
              <w:t>h</w:t>
            </w:r>
            <w:r>
              <w:rPr>
                <w:rFonts w:ascii="楷体" w:hAnsi="楷体" w:eastAsia="楷体"/>
                <w:sz w:val="18"/>
                <w:szCs w:val="18"/>
                <w:highlight w:val="none"/>
              </w:rPr>
              <w:t>flow version</w:t>
            </w:r>
          </w:p>
        </w:tc>
        <w:tc>
          <w:tcPr>
            <w:tcW w:w="1145" w:type="dxa"/>
            <w:vAlign w:val="center"/>
          </w:tcPr>
          <w:p w14:paraId="7E027CC7">
            <w:pPr>
              <w:rPr>
                <w:rFonts w:ascii="楷体" w:hAnsi="楷体" w:eastAsia="楷体"/>
                <w:sz w:val="18"/>
                <w:szCs w:val="18"/>
                <w:highlight w:val="none"/>
              </w:rPr>
            </w:pPr>
            <w:r>
              <w:rPr>
                <w:rFonts w:hint="eastAsia" w:ascii="楷体" w:hAnsi="楷体" w:eastAsia="楷体"/>
                <w:sz w:val="18"/>
                <w:szCs w:val="18"/>
                <w:highlight w:val="none"/>
              </w:rPr>
              <w:t>现金流量表应计项目</w:t>
            </w:r>
          </w:p>
        </w:tc>
        <w:tc>
          <w:tcPr>
            <w:tcW w:w="4950" w:type="dxa"/>
            <w:vAlign w:val="center"/>
          </w:tcPr>
          <w:p w14:paraId="1EEB2EB2">
            <w:pPr>
              <w:rPr>
                <w:rFonts w:ascii="楷体" w:hAnsi="楷体" w:eastAsia="楷体" w:cs="Times New Roman"/>
                <w:sz w:val="18"/>
                <w:szCs w:val="18"/>
                <w:highlight w:val="none"/>
              </w:rPr>
            </w:pPr>
            <w:r>
              <w:rPr>
                <w:rFonts w:hint="eastAsia" w:ascii="楷体" w:hAnsi="楷体" w:eastAsia="楷体" w:cs="Times New Roman"/>
                <w:sz w:val="18"/>
                <w:szCs w:val="18"/>
                <w:highlight w:val="none"/>
              </w:rPr>
              <w:t>（1）现金流量表应计项目总额计算公式为：</w:t>
            </w:r>
          </w:p>
          <w:p w14:paraId="016A6AFD">
            <w:pPr>
              <w:rPr>
                <w:rFonts w:ascii="楷体" w:hAnsi="楷体" w:eastAsia="楷体"/>
                <w:sz w:val="18"/>
                <w:szCs w:val="18"/>
                <w:highlight w:val="none"/>
              </w:rPr>
            </w:pPr>
            <m:oMathPara>
              <m:oMath>
                <m:r>
                  <m:rPr/>
                  <w:rPr>
                    <w:rFonts w:ascii="Cambria Math" w:hAnsi="Cambria Math" w:eastAsia="楷体" w:cs="Times New Roman"/>
                    <w:sz w:val="18"/>
                    <w:szCs w:val="18"/>
                    <w:highlight w:val="none"/>
                  </w:rPr>
                  <m:t>ACC</m:t>
                </m:r>
                <m:sSub>
                  <m:sSubPr>
                    <m:ctrlPr>
                      <w:rPr>
                        <w:rFonts w:ascii="Cambria Math" w:hAnsi="Cambria Math" w:eastAsia="楷体" w:cs="Times New Roman"/>
                        <w:i/>
                        <w:sz w:val="18"/>
                        <w:szCs w:val="18"/>
                        <w:highlight w:val="none"/>
                      </w:rPr>
                    </m:ctrlPr>
                  </m:sSubPr>
                  <m:e>
                    <m:r>
                      <m:rPr/>
                      <w:rPr>
                        <w:rFonts w:ascii="Cambria Math" w:hAnsi="Cambria Math" w:eastAsia="楷体" w:cs="Times New Roman"/>
                        <w:sz w:val="18"/>
                        <w:szCs w:val="18"/>
                        <w:highlight w:val="none"/>
                      </w:rPr>
                      <m:t>R</m:t>
                    </m:r>
                    <m:ctrlPr>
                      <w:rPr>
                        <w:rFonts w:ascii="Cambria Math" w:hAnsi="Cambria Math" w:eastAsia="楷体" w:cs="Times New Roman"/>
                        <w:i/>
                        <w:sz w:val="18"/>
                        <w:szCs w:val="18"/>
                        <w:highlight w:val="none"/>
                      </w:rPr>
                    </m:ctrlPr>
                  </m:e>
                  <m:sub>
                    <m:r>
                      <m:rPr/>
                      <w:rPr>
                        <w:rFonts w:ascii="Cambria Math" w:hAnsi="Cambria Math" w:eastAsia="楷体" w:cs="Times New Roman"/>
                        <w:sz w:val="18"/>
                        <w:szCs w:val="18"/>
                        <w:highlight w:val="none"/>
                      </w:rPr>
                      <m:t>CF</m:t>
                    </m:r>
                    <m:ctrlPr>
                      <w:rPr>
                        <w:rFonts w:ascii="Cambria Math" w:hAnsi="Cambria Math" w:eastAsia="楷体" w:cs="Times New Roman"/>
                        <w:i/>
                        <w:sz w:val="18"/>
                        <w:szCs w:val="18"/>
                        <w:highlight w:val="none"/>
                      </w:rPr>
                    </m:ctrlPr>
                  </m:sub>
                </m:sSub>
                <m:r>
                  <m:rPr/>
                  <w:rPr>
                    <w:rFonts w:ascii="Cambria Math" w:hAnsi="Cambria Math" w:eastAsia="楷体"/>
                    <w:sz w:val="18"/>
                    <w:szCs w:val="18"/>
                    <w:highlight w:val="none"/>
                  </w:rPr>
                  <m:t xml:space="preserve">= </m:t>
                </m:r>
                <m:sSub>
                  <m:sSubPr>
                    <m:ctrlPr>
                      <w:rPr>
                        <w:rFonts w:ascii="Cambria Math" w:hAnsi="Cambria Math" w:eastAsia="楷体"/>
                        <w:i/>
                        <w:sz w:val="18"/>
                        <w:szCs w:val="18"/>
                        <w:highlight w:val="none"/>
                      </w:rPr>
                    </m:ctrlPr>
                  </m:sSubPr>
                  <m:e>
                    <m:r>
                      <m:rPr/>
                      <w:rPr>
                        <w:rFonts w:ascii="Cambria Math" w:hAnsi="Cambria Math" w:eastAsia="楷体"/>
                        <w:sz w:val="18"/>
                        <w:szCs w:val="18"/>
                        <w:highlight w:val="none"/>
                      </w:rPr>
                      <m:t>Ni</m:t>
                    </m:r>
                    <m:ctrlPr>
                      <w:rPr>
                        <w:rFonts w:ascii="Cambria Math" w:hAnsi="Cambria Math" w:eastAsia="楷体"/>
                        <w:i/>
                        <w:sz w:val="18"/>
                        <w:szCs w:val="18"/>
                        <w:highlight w:val="none"/>
                      </w:rPr>
                    </m:ctrlPr>
                  </m:e>
                  <m:sub>
                    <m:r>
                      <m:rPr/>
                      <w:rPr>
                        <w:rFonts w:ascii="Cambria Math" w:hAnsi="Cambria Math" w:eastAsia="楷体"/>
                        <w:sz w:val="18"/>
                        <w:szCs w:val="18"/>
                        <w:highlight w:val="none"/>
                      </w:rPr>
                      <m:t>t</m:t>
                    </m:r>
                    <m:ctrlPr>
                      <w:rPr>
                        <w:rFonts w:ascii="Cambria Math" w:hAnsi="Cambria Math" w:eastAsia="楷体"/>
                        <w:i/>
                        <w:sz w:val="18"/>
                        <w:szCs w:val="18"/>
                        <w:highlight w:val="none"/>
                      </w:rPr>
                    </m:ctrlPr>
                  </m:sub>
                </m:sSub>
                <m:r>
                  <m:rPr/>
                  <w:rPr>
                    <w:rFonts w:ascii="Cambria Math" w:hAnsi="Cambria Math" w:eastAsia="楷体"/>
                    <w:sz w:val="18"/>
                    <w:szCs w:val="18"/>
                    <w:highlight w:val="none"/>
                  </w:rPr>
                  <m:t xml:space="preserve"> – </m:t>
                </m:r>
                <m:d>
                  <m:dPr>
                    <m:ctrlPr>
                      <w:rPr>
                        <w:rFonts w:ascii="Cambria Math" w:hAnsi="Cambria Math" w:eastAsia="楷体"/>
                        <w:i/>
                        <w:sz w:val="18"/>
                        <w:szCs w:val="18"/>
                        <w:highlight w:val="none"/>
                      </w:rPr>
                    </m:ctrlPr>
                  </m:dPr>
                  <m:e>
                    <m:sSub>
                      <m:sSubPr>
                        <m:ctrlPr>
                          <w:rPr>
                            <w:rFonts w:ascii="Cambria Math" w:hAnsi="Cambria Math" w:eastAsia="楷体"/>
                            <w:i/>
                            <w:sz w:val="18"/>
                            <w:szCs w:val="18"/>
                            <w:highlight w:val="none"/>
                          </w:rPr>
                        </m:ctrlPr>
                      </m:sSubPr>
                      <m:e>
                        <m:r>
                          <m:rPr/>
                          <w:rPr>
                            <w:rFonts w:ascii="Cambria Math" w:hAnsi="Cambria Math" w:eastAsia="楷体"/>
                            <w:sz w:val="18"/>
                            <w:szCs w:val="18"/>
                            <w:highlight w:val="none"/>
                          </w:rPr>
                          <m:t>CFO</m:t>
                        </m:r>
                        <m:ctrlPr>
                          <w:rPr>
                            <w:rFonts w:ascii="Cambria Math" w:hAnsi="Cambria Math" w:eastAsia="楷体"/>
                            <w:i/>
                            <w:sz w:val="18"/>
                            <w:szCs w:val="18"/>
                            <w:highlight w:val="none"/>
                          </w:rPr>
                        </m:ctrlPr>
                      </m:e>
                      <m:sub>
                        <m:r>
                          <m:rPr/>
                          <w:rPr>
                            <w:rFonts w:ascii="Cambria Math" w:hAnsi="Cambria Math" w:eastAsia="楷体"/>
                            <w:sz w:val="18"/>
                            <w:szCs w:val="18"/>
                            <w:highlight w:val="none"/>
                          </w:rPr>
                          <m:t>t</m:t>
                        </m:r>
                        <m:ctrlPr>
                          <w:rPr>
                            <w:rFonts w:ascii="Cambria Math" w:hAnsi="Cambria Math" w:eastAsia="楷体"/>
                            <w:i/>
                            <w:sz w:val="18"/>
                            <w:szCs w:val="18"/>
                            <w:highlight w:val="none"/>
                          </w:rPr>
                        </m:ctrlPr>
                      </m:sub>
                    </m:sSub>
                    <m:r>
                      <m:rPr/>
                      <w:rPr>
                        <w:rFonts w:ascii="Cambria Math" w:hAnsi="Cambria Math" w:eastAsia="楷体"/>
                        <w:sz w:val="18"/>
                        <w:szCs w:val="18"/>
                        <w:highlight w:val="none"/>
                      </w:rPr>
                      <m:t xml:space="preserve"> +</m:t>
                    </m:r>
                    <m:sSub>
                      <m:sSubPr>
                        <m:ctrlPr>
                          <w:rPr>
                            <w:rFonts w:ascii="Cambria Math" w:hAnsi="Cambria Math" w:eastAsia="楷体"/>
                            <w:i/>
                            <w:sz w:val="18"/>
                            <w:szCs w:val="18"/>
                            <w:highlight w:val="none"/>
                          </w:rPr>
                        </m:ctrlPr>
                      </m:sSubPr>
                      <m:e>
                        <m:r>
                          <m:rPr/>
                          <w:rPr>
                            <w:rFonts w:ascii="Cambria Math" w:hAnsi="Cambria Math" w:eastAsia="楷体"/>
                            <w:sz w:val="18"/>
                            <w:szCs w:val="18"/>
                            <w:highlight w:val="none"/>
                          </w:rPr>
                          <m:t>CFI</m:t>
                        </m:r>
                        <m:ctrlPr>
                          <w:rPr>
                            <w:rFonts w:ascii="Cambria Math" w:hAnsi="Cambria Math" w:eastAsia="楷体"/>
                            <w:i/>
                            <w:sz w:val="18"/>
                            <w:szCs w:val="18"/>
                            <w:highlight w:val="none"/>
                          </w:rPr>
                        </m:ctrlPr>
                      </m:e>
                      <m:sub>
                        <m:r>
                          <m:rPr/>
                          <w:rPr>
                            <w:rFonts w:ascii="Cambria Math" w:hAnsi="Cambria Math" w:eastAsia="楷体"/>
                            <w:sz w:val="18"/>
                            <w:szCs w:val="18"/>
                            <w:highlight w:val="none"/>
                          </w:rPr>
                          <m:t>t</m:t>
                        </m:r>
                        <m:ctrlPr>
                          <w:rPr>
                            <w:rFonts w:ascii="Cambria Math" w:hAnsi="Cambria Math" w:eastAsia="楷体"/>
                            <w:i/>
                            <w:sz w:val="18"/>
                            <w:szCs w:val="18"/>
                            <w:highlight w:val="none"/>
                          </w:rPr>
                        </m:ctrlPr>
                      </m:sub>
                    </m:sSub>
                    <m:r>
                      <m:rPr/>
                      <w:rPr>
                        <w:rFonts w:ascii="Cambria Math" w:hAnsi="Cambria Math" w:eastAsia="楷体"/>
                        <w:sz w:val="18"/>
                        <w:szCs w:val="18"/>
                        <w:highlight w:val="none"/>
                      </w:rPr>
                      <m:t xml:space="preserve"> </m:t>
                    </m:r>
                    <m:ctrlPr>
                      <w:rPr>
                        <w:rFonts w:ascii="Cambria Math" w:hAnsi="Cambria Math" w:eastAsia="楷体"/>
                        <w:i/>
                        <w:sz w:val="18"/>
                        <w:szCs w:val="18"/>
                        <w:highlight w:val="none"/>
                      </w:rPr>
                    </m:ctrlPr>
                  </m:e>
                </m:d>
                <m:r>
                  <m:rPr>
                    <m:sty m:val="p"/>
                  </m:rPr>
                  <w:rPr>
                    <w:rFonts w:ascii="Cambria Math" w:hAnsi="Cambria Math" w:eastAsia="微软雅黑" w:cs="微软雅黑"/>
                    <w:sz w:val="18"/>
                    <w:szCs w:val="18"/>
                    <w:highlight w:val="none"/>
                  </w:rPr>
                  <m:t>+</m:t>
                </m:r>
                <m:sSub>
                  <m:sSubPr>
                    <m:ctrlPr>
                      <w:rPr>
                        <w:rFonts w:ascii="Cambria Math" w:hAnsi="Cambria Math" w:eastAsia="楷体"/>
                        <w:i/>
                        <w:sz w:val="18"/>
                        <w:szCs w:val="18"/>
                        <w:highlight w:val="none"/>
                      </w:rPr>
                    </m:ctrlPr>
                  </m:sSubPr>
                  <m:e>
                    <m:r>
                      <m:rPr/>
                      <w:rPr>
                        <w:rFonts w:hint="eastAsia" w:ascii="Cambria Math" w:hAnsi="Cambria Math" w:eastAsia="楷体"/>
                        <w:sz w:val="18"/>
                        <w:szCs w:val="18"/>
                        <w:highlight w:val="none"/>
                      </w:rPr>
                      <m:t>DA</m:t>
                    </m:r>
                    <m:ctrlPr>
                      <w:rPr>
                        <w:rFonts w:ascii="Cambria Math" w:hAnsi="Cambria Math" w:eastAsia="楷体"/>
                        <w:i/>
                        <w:sz w:val="18"/>
                        <w:szCs w:val="18"/>
                        <w:highlight w:val="none"/>
                      </w:rPr>
                    </m:ctrlPr>
                  </m:e>
                  <m:sub>
                    <m:r>
                      <m:rPr/>
                      <w:rPr>
                        <w:rFonts w:ascii="Cambria Math" w:hAnsi="Cambria Math" w:eastAsia="楷体"/>
                        <w:sz w:val="18"/>
                        <w:szCs w:val="18"/>
                        <w:highlight w:val="none"/>
                      </w:rPr>
                      <m:t>t</m:t>
                    </m:r>
                    <m:ctrlPr>
                      <w:rPr>
                        <w:rFonts w:ascii="Cambria Math" w:hAnsi="Cambria Math" w:eastAsia="楷体"/>
                        <w:i/>
                        <w:sz w:val="18"/>
                        <w:szCs w:val="18"/>
                        <w:highlight w:val="none"/>
                      </w:rPr>
                    </m:ctrlPr>
                  </m:sub>
                </m:sSub>
              </m:oMath>
            </m:oMathPara>
          </w:p>
          <w:p w14:paraId="785D5BAD">
            <w:pPr>
              <w:rPr>
                <w:rFonts w:ascii="楷体" w:hAnsi="楷体" w:eastAsia="楷体" w:cs="Times New Roman"/>
                <w:sz w:val="18"/>
                <w:szCs w:val="18"/>
                <w:highlight w:val="none"/>
              </w:rPr>
            </w:pPr>
            <w:r>
              <w:rPr>
                <w:rFonts w:hint="eastAsia" w:ascii="楷体" w:hAnsi="楷体" w:eastAsia="楷体" w:cs="Times New Roman"/>
                <w:sz w:val="18"/>
                <w:szCs w:val="18"/>
                <w:highlight w:val="none"/>
              </w:rPr>
              <w:t>Ni为净利润，CFO为经营现金流量净额</w:t>
            </w:r>
            <w:r>
              <w:rPr>
                <w:rFonts w:ascii="楷体" w:hAnsi="楷体" w:eastAsia="楷体" w:cs="Times New Roman"/>
                <w:sz w:val="18"/>
                <w:szCs w:val="18"/>
                <w:highlight w:val="none"/>
              </w:rPr>
              <w:t>，</w:t>
            </w:r>
            <w:r>
              <w:rPr>
                <w:rFonts w:hint="eastAsia" w:ascii="楷体" w:hAnsi="楷体" w:eastAsia="楷体" w:cs="Times New Roman"/>
                <w:sz w:val="18"/>
                <w:szCs w:val="18"/>
                <w:highlight w:val="none"/>
              </w:rPr>
              <w:t>CFI为投资活动现金流量净额,</w:t>
            </w:r>
            <w:r>
              <w:rPr>
                <w:rFonts w:ascii="楷体" w:hAnsi="楷体" w:eastAsia="楷体" w:cs="Times New Roman"/>
                <w:sz w:val="18"/>
                <w:szCs w:val="18"/>
                <w:highlight w:val="none"/>
              </w:rPr>
              <w:t xml:space="preserve"> DA</w:t>
            </w:r>
            <w:r>
              <w:rPr>
                <w:rFonts w:hint="eastAsia" w:ascii="楷体" w:hAnsi="楷体" w:eastAsia="楷体" w:cs="Times New Roman"/>
                <w:sz w:val="18"/>
                <w:szCs w:val="18"/>
                <w:highlight w:val="none"/>
              </w:rPr>
              <w:t>为折旧与摊销之和</w:t>
            </w:r>
          </w:p>
          <w:p w14:paraId="442FD027">
            <w:pPr>
              <w:rPr>
                <w:rFonts w:ascii="楷体" w:hAnsi="楷体" w:eastAsia="楷体"/>
                <w:sz w:val="18"/>
                <w:szCs w:val="18"/>
                <w:highlight w:val="none"/>
              </w:rPr>
            </w:pPr>
            <w:r>
              <w:rPr>
                <w:rFonts w:hint="eastAsia" w:ascii="楷体" w:hAnsi="楷体" w:eastAsia="楷体"/>
                <w:sz w:val="18"/>
                <w:szCs w:val="18"/>
                <w:highlight w:val="none"/>
              </w:rPr>
              <w:t>（2）将</w:t>
            </w:r>
            <w:r>
              <w:rPr>
                <w:rFonts w:ascii="楷体" w:hAnsi="楷体" w:eastAsia="楷体"/>
                <w:sz w:val="18"/>
                <w:szCs w:val="18"/>
                <w:highlight w:val="none"/>
              </w:rPr>
              <w:t>负的ACCR</w:t>
            </w:r>
            <w:r>
              <w:rPr>
                <w:rFonts w:hint="eastAsia" w:ascii="楷体" w:hAnsi="楷体" w:eastAsia="楷体"/>
                <w:sz w:val="18"/>
                <w:szCs w:val="18"/>
                <w:highlight w:val="none"/>
              </w:rPr>
              <w:t>_CF除以总资产TA</w:t>
            </w:r>
            <w:r>
              <w:rPr>
                <w:rFonts w:ascii="楷体" w:hAnsi="楷体" w:eastAsia="楷体"/>
                <w:sz w:val="18"/>
                <w:szCs w:val="18"/>
                <w:highlight w:val="none"/>
              </w:rPr>
              <w:t>:</w:t>
            </w:r>
          </w:p>
          <w:p w14:paraId="02132C34">
            <w:pPr>
              <w:rPr>
                <w:rFonts w:ascii="楷体" w:hAnsi="楷体" w:eastAsia="楷体" w:cs="Times New Roman"/>
                <w:sz w:val="18"/>
                <w:szCs w:val="18"/>
                <w:highlight w:val="none"/>
              </w:rPr>
            </w:pPr>
            <m:oMathPara>
              <m:oMath>
                <m:r>
                  <m:rPr/>
                  <w:rPr>
                    <w:rFonts w:ascii="Cambria Math" w:hAnsi="Cambria Math" w:eastAsia="楷体" w:cs="Times New Roman"/>
                    <w:sz w:val="18"/>
                    <w:szCs w:val="18"/>
                    <w:highlight w:val="none"/>
                  </w:rPr>
                  <m:t>ACF=</m:t>
                </m:r>
                <m:f>
                  <m:fPr>
                    <m:ctrlPr>
                      <w:rPr>
                        <w:rFonts w:ascii="Cambria Math" w:hAnsi="Cambria Math" w:eastAsia="楷体" w:cs="Times New Roman"/>
                        <w:i/>
                        <w:sz w:val="18"/>
                        <w:szCs w:val="18"/>
                        <w:highlight w:val="none"/>
                      </w:rPr>
                    </m:ctrlPr>
                  </m:fPr>
                  <m:num>
                    <m:r>
                      <m:rPr/>
                      <w:rPr>
                        <w:rFonts w:ascii="Cambria Math" w:hAnsi="Cambria Math" w:eastAsia="楷体" w:cs="Times New Roman"/>
                        <w:sz w:val="18"/>
                        <w:szCs w:val="18"/>
                        <w:highlight w:val="none"/>
                      </w:rPr>
                      <m:t>−ACCR_CF</m:t>
                    </m:r>
                    <m:ctrlPr>
                      <w:rPr>
                        <w:rFonts w:ascii="Cambria Math" w:hAnsi="Cambria Math" w:eastAsia="楷体" w:cs="Times New Roman"/>
                        <w:i/>
                        <w:sz w:val="18"/>
                        <w:szCs w:val="18"/>
                        <w:highlight w:val="none"/>
                      </w:rPr>
                    </m:ctrlPr>
                  </m:num>
                  <m:den>
                    <m:r>
                      <m:rPr/>
                      <w:rPr>
                        <w:rFonts w:ascii="Cambria Math" w:hAnsi="Cambria Math" w:eastAsia="楷体" w:cs="Times New Roman"/>
                        <w:sz w:val="18"/>
                        <w:szCs w:val="18"/>
                        <w:highlight w:val="none"/>
                      </w:rPr>
                      <m:t>TA</m:t>
                    </m:r>
                    <m:ctrlPr>
                      <w:rPr>
                        <w:rFonts w:ascii="Cambria Math" w:hAnsi="Cambria Math" w:eastAsia="楷体" w:cs="Times New Roman"/>
                        <w:i/>
                        <w:sz w:val="18"/>
                        <w:szCs w:val="18"/>
                        <w:highlight w:val="none"/>
                      </w:rPr>
                    </m:ctrlPr>
                  </m:den>
                </m:f>
              </m:oMath>
            </m:oMathPara>
          </w:p>
        </w:tc>
      </w:tr>
      <w:tr w14:paraId="5BE0740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2ECEF760">
            <w:pPr>
              <w:jc w:val="center"/>
              <w:rPr>
                <w:rFonts w:ascii="楷体" w:hAnsi="楷体" w:eastAsia="楷体"/>
                <w:sz w:val="18"/>
                <w:szCs w:val="18"/>
                <w:highlight w:val="none"/>
              </w:rPr>
            </w:pPr>
          </w:p>
        </w:tc>
        <w:tc>
          <w:tcPr>
            <w:tcW w:w="1276" w:type="dxa"/>
            <w:vMerge w:val="restart"/>
            <w:vAlign w:val="center"/>
          </w:tcPr>
          <w:p w14:paraId="43283B2D">
            <w:pPr>
              <w:jc w:val="center"/>
              <w:rPr>
                <w:rFonts w:ascii="楷体" w:hAnsi="楷体" w:eastAsia="楷体"/>
                <w:sz w:val="18"/>
                <w:szCs w:val="18"/>
                <w:highlight w:val="none"/>
              </w:rPr>
            </w:pPr>
            <w:r>
              <w:rPr>
                <w:rFonts w:ascii="楷体" w:hAnsi="楷体" w:eastAsia="楷体"/>
                <w:sz w:val="18"/>
                <w:szCs w:val="18"/>
                <w:highlight w:val="none"/>
              </w:rPr>
              <w:t>Profitability</w:t>
            </w:r>
          </w:p>
        </w:tc>
        <w:tc>
          <w:tcPr>
            <w:tcW w:w="1843" w:type="dxa"/>
            <w:vAlign w:val="center"/>
          </w:tcPr>
          <w:p w14:paraId="32DCB318">
            <w:pPr>
              <w:jc w:val="center"/>
              <w:rPr>
                <w:rFonts w:ascii="楷体" w:hAnsi="楷体" w:eastAsia="楷体"/>
                <w:sz w:val="18"/>
                <w:szCs w:val="18"/>
                <w:highlight w:val="none"/>
              </w:rPr>
            </w:pPr>
            <w:r>
              <w:rPr>
                <w:rFonts w:ascii="楷体" w:hAnsi="楷体" w:eastAsia="楷体"/>
                <w:sz w:val="18"/>
                <w:szCs w:val="18"/>
                <w:highlight w:val="none"/>
              </w:rPr>
              <w:t>Asset turnover</w:t>
            </w:r>
          </w:p>
        </w:tc>
        <w:tc>
          <w:tcPr>
            <w:tcW w:w="1145" w:type="dxa"/>
            <w:vAlign w:val="center"/>
          </w:tcPr>
          <w:p w14:paraId="3A6269C2">
            <w:pPr>
              <w:jc w:val="center"/>
              <w:rPr>
                <w:rFonts w:ascii="楷体" w:hAnsi="楷体" w:eastAsia="楷体"/>
                <w:sz w:val="18"/>
                <w:szCs w:val="18"/>
                <w:highlight w:val="none"/>
              </w:rPr>
            </w:pPr>
            <w:r>
              <w:rPr>
                <w:rFonts w:hint="eastAsia" w:ascii="楷体" w:hAnsi="楷体" w:eastAsia="楷体"/>
                <w:sz w:val="18"/>
                <w:szCs w:val="18"/>
                <w:highlight w:val="none"/>
              </w:rPr>
              <w:t>资产周转率</w:t>
            </w:r>
          </w:p>
        </w:tc>
        <w:tc>
          <w:tcPr>
            <w:tcW w:w="4950" w:type="dxa"/>
            <w:vAlign w:val="center"/>
          </w:tcPr>
          <w:p w14:paraId="639BA35F">
            <w:pPr>
              <w:rPr>
                <w:rFonts w:ascii="楷体" w:hAnsi="楷体" w:eastAsia="楷体" w:cs="Times New Roman"/>
                <w:sz w:val="18"/>
                <w:szCs w:val="18"/>
                <w:highlight w:val="none"/>
              </w:rPr>
            </w:pPr>
            <m:oMathPara>
              <m:oMath>
                <m:r>
                  <m:rPr/>
                  <w:rPr>
                    <w:rFonts w:ascii="Cambria Math" w:hAnsi="Cambria Math" w:eastAsia="楷体" w:cs="Times New Roman"/>
                    <w:sz w:val="18"/>
                    <w:szCs w:val="18"/>
                    <w:highlight w:val="none"/>
                  </w:rPr>
                  <m:t>ATO</m:t>
                </m:r>
                <m:r>
                  <m:rPr>
                    <m:sty m:val="p"/>
                  </m:rPr>
                  <w:rPr>
                    <w:rFonts w:ascii="Cambria Math" w:hAnsi="Cambria Math" w:eastAsia="楷体" w:cs="Times New Roman"/>
                    <w:sz w:val="18"/>
                    <w:szCs w:val="18"/>
                    <w:highlight w:val="none"/>
                  </w:rPr>
                  <m:t>=</m:t>
                </m:r>
                <m:f>
                  <m:fPr>
                    <m:ctrlPr>
                      <w:rPr>
                        <w:rFonts w:ascii="Cambria Math" w:hAnsi="Cambria Math" w:eastAsia="楷体" w:cs="Times New Roman"/>
                        <w:sz w:val="18"/>
                        <w:szCs w:val="18"/>
                        <w:highlight w:val="none"/>
                      </w:rPr>
                    </m:ctrlPr>
                  </m:fPr>
                  <m:num>
                    <m:r>
                      <m:rPr/>
                      <w:rPr>
                        <w:rFonts w:ascii="Cambria Math" w:hAnsi="Cambria Math" w:eastAsia="楷体" w:cs="Times New Roman"/>
                        <w:sz w:val="18"/>
                        <w:szCs w:val="18"/>
                        <w:highlight w:val="none"/>
                      </w:rPr>
                      <m:t>S</m:t>
                    </m:r>
                    <m:r>
                      <m:rPr/>
                      <w:rPr>
                        <w:rFonts w:hint="eastAsia" w:ascii="Cambria Math" w:hAnsi="Cambria Math" w:eastAsia="楷体" w:cs="Times New Roman"/>
                        <w:sz w:val="18"/>
                        <w:szCs w:val="18"/>
                        <w:highlight w:val="none"/>
                      </w:rPr>
                      <m:t>ales</m:t>
                    </m:r>
                    <m:ctrlPr>
                      <w:rPr>
                        <w:rFonts w:ascii="Cambria Math" w:hAnsi="Cambria Math" w:eastAsia="楷体" w:cs="Times New Roman"/>
                        <w:sz w:val="18"/>
                        <w:szCs w:val="18"/>
                        <w:highlight w:val="none"/>
                      </w:rPr>
                    </m:ctrlPr>
                  </m:num>
                  <m:den>
                    <m:r>
                      <m:rPr/>
                      <w:rPr>
                        <w:rFonts w:ascii="Cambria Math" w:hAnsi="Cambria Math" w:eastAsia="楷体" w:cs="Times New Roman"/>
                        <w:sz w:val="18"/>
                        <w:szCs w:val="18"/>
                        <w:highlight w:val="none"/>
                      </w:rPr>
                      <m:t>TA</m:t>
                    </m:r>
                    <m:ctrlPr>
                      <w:rPr>
                        <w:rFonts w:ascii="Cambria Math" w:hAnsi="Cambria Math" w:eastAsia="楷体" w:cs="Times New Roman"/>
                        <w:sz w:val="18"/>
                        <w:szCs w:val="18"/>
                        <w:highlight w:val="none"/>
                      </w:rPr>
                    </m:ctrlPr>
                  </m:den>
                </m:f>
              </m:oMath>
            </m:oMathPara>
          </w:p>
          <w:p w14:paraId="546531F7">
            <w:pPr>
              <w:rPr>
                <w:rFonts w:ascii="楷体" w:hAnsi="楷体" w:eastAsia="楷体" w:cs="Times New Roman"/>
                <w:sz w:val="18"/>
                <w:szCs w:val="18"/>
                <w:highlight w:val="none"/>
              </w:rPr>
            </w:pPr>
            <w:r>
              <w:rPr>
                <w:rFonts w:hint="eastAsia" w:ascii="楷体" w:hAnsi="楷体" w:eastAsia="楷体" w:cs="Times New Roman"/>
                <w:sz w:val="18"/>
                <w:szCs w:val="18"/>
                <w:highlight w:val="none"/>
              </w:rPr>
              <w:t>Sales为过去</w:t>
            </w:r>
            <w:r>
              <w:rPr>
                <w:rFonts w:ascii="楷体" w:hAnsi="楷体" w:eastAsia="楷体" w:cs="Times New Roman"/>
                <w:sz w:val="18"/>
                <w:szCs w:val="18"/>
                <w:highlight w:val="none"/>
              </w:rPr>
              <w:t>12个月的</w:t>
            </w:r>
            <w:r>
              <w:rPr>
                <w:rFonts w:hint="eastAsia" w:ascii="楷体" w:hAnsi="楷体" w:eastAsia="楷体" w:cs="Times New Roman"/>
                <w:sz w:val="18"/>
                <w:szCs w:val="18"/>
                <w:highlight w:val="none"/>
              </w:rPr>
              <w:t>营业收入</w:t>
            </w:r>
            <w:r>
              <w:rPr>
                <w:rFonts w:ascii="楷体" w:hAnsi="楷体" w:eastAsia="楷体" w:cs="Times New Roman"/>
                <w:sz w:val="18"/>
                <w:szCs w:val="18"/>
                <w:highlight w:val="none"/>
              </w:rPr>
              <w:t>，TA</w:t>
            </w:r>
            <w:r>
              <w:rPr>
                <w:rFonts w:hint="eastAsia" w:ascii="楷体" w:hAnsi="楷体" w:eastAsia="楷体" w:cs="Times New Roman"/>
                <w:sz w:val="18"/>
                <w:szCs w:val="18"/>
                <w:highlight w:val="none"/>
              </w:rPr>
              <w:t>为</w:t>
            </w:r>
            <w:r>
              <w:rPr>
                <w:rFonts w:ascii="楷体" w:hAnsi="楷体" w:eastAsia="楷体" w:cs="Times New Roman"/>
                <w:sz w:val="18"/>
                <w:szCs w:val="18"/>
                <w:highlight w:val="none"/>
              </w:rPr>
              <w:t>最近报告</w:t>
            </w:r>
            <w:r>
              <w:rPr>
                <w:rFonts w:hint="eastAsia" w:ascii="楷体" w:hAnsi="楷体" w:eastAsia="楷体" w:cs="Times New Roman"/>
                <w:sz w:val="18"/>
                <w:szCs w:val="18"/>
                <w:highlight w:val="none"/>
              </w:rPr>
              <w:t>期</w:t>
            </w:r>
            <w:r>
              <w:rPr>
                <w:rFonts w:ascii="楷体" w:hAnsi="楷体" w:eastAsia="楷体" w:cs="Times New Roman"/>
                <w:sz w:val="18"/>
                <w:szCs w:val="18"/>
                <w:highlight w:val="none"/>
              </w:rPr>
              <w:t>的总资产</w:t>
            </w:r>
          </w:p>
        </w:tc>
      </w:tr>
      <w:tr w14:paraId="2CA4E97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4634EC16">
            <w:pPr>
              <w:jc w:val="center"/>
              <w:rPr>
                <w:rFonts w:ascii="楷体" w:hAnsi="楷体" w:eastAsia="楷体"/>
                <w:sz w:val="18"/>
                <w:szCs w:val="18"/>
                <w:highlight w:val="none"/>
              </w:rPr>
            </w:pPr>
          </w:p>
        </w:tc>
        <w:tc>
          <w:tcPr>
            <w:tcW w:w="1276" w:type="dxa"/>
            <w:vMerge w:val="continue"/>
            <w:vAlign w:val="center"/>
          </w:tcPr>
          <w:p w14:paraId="08F12DD4">
            <w:pPr>
              <w:jc w:val="center"/>
              <w:rPr>
                <w:rFonts w:ascii="楷体" w:hAnsi="楷体" w:eastAsia="楷体"/>
                <w:sz w:val="18"/>
                <w:szCs w:val="18"/>
                <w:highlight w:val="none"/>
              </w:rPr>
            </w:pPr>
          </w:p>
        </w:tc>
        <w:tc>
          <w:tcPr>
            <w:tcW w:w="1843" w:type="dxa"/>
            <w:vAlign w:val="center"/>
          </w:tcPr>
          <w:p w14:paraId="4A13ACF4">
            <w:pPr>
              <w:jc w:val="center"/>
              <w:rPr>
                <w:rFonts w:ascii="楷体" w:hAnsi="楷体" w:eastAsia="楷体"/>
                <w:sz w:val="18"/>
                <w:szCs w:val="18"/>
                <w:highlight w:val="none"/>
              </w:rPr>
            </w:pPr>
            <w:r>
              <w:rPr>
                <w:rFonts w:ascii="楷体" w:hAnsi="楷体" w:eastAsia="楷体"/>
                <w:sz w:val="18"/>
                <w:szCs w:val="18"/>
                <w:highlight w:val="none"/>
              </w:rPr>
              <w:t>Gross profitability</w:t>
            </w:r>
          </w:p>
        </w:tc>
        <w:tc>
          <w:tcPr>
            <w:tcW w:w="1145" w:type="dxa"/>
            <w:vAlign w:val="center"/>
          </w:tcPr>
          <w:p w14:paraId="4C1B79AC">
            <w:pPr>
              <w:jc w:val="center"/>
              <w:rPr>
                <w:rFonts w:ascii="楷体" w:hAnsi="楷体" w:eastAsia="楷体"/>
                <w:sz w:val="18"/>
                <w:szCs w:val="18"/>
                <w:highlight w:val="none"/>
              </w:rPr>
            </w:pPr>
            <w:r>
              <w:rPr>
                <w:rFonts w:hint="eastAsia" w:ascii="楷体" w:hAnsi="楷体" w:eastAsia="楷体"/>
                <w:sz w:val="18"/>
                <w:szCs w:val="18"/>
                <w:highlight w:val="none"/>
              </w:rPr>
              <w:t>资产毛利率</w:t>
            </w:r>
          </w:p>
        </w:tc>
        <w:tc>
          <w:tcPr>
            <w:tcW w:w="4950" w:type="dxa"/>
            <w:vAlign w:val="center"/>
          </w:tcPr>
          <w:p w14:paraId="27347DB3">
            <w:pPr>
              <w:rPr>
                <w:rFonts w:ascii="楷体" w:hAnsi="楷体" w:eastAsia="楷体" w:cs="Times New Roman"/>
                <w:sz w:val="18"/>
                <w:szCs w:val="18"/>
                <w:highlight w:val="none"/>
              </w:rPr>
            </w:pPr>
            <m:oMathPara>
              <m:oMath>
                <m:r>
                  <m:rPr/>
                  <w:rPr>
                    <w:rFonts w:ascii="Cambria Math" w:hAnsi="Cambria Math" w:eastAsia="楷体" w:cs="Times New Roman"/>
                    <w:sz w:val="18"/>
                    <w:szCs w:val="18"/>
                    <w:highlight w:val="none"/>
                  </w:rPr>
                  <m:t>GP</m:t>
                </m:r>
                <m:r>
                  <m:rPr>
                    <m:sty m:val="p"/>
                  </m:rPr>
                  <w:rPr>
                    <w:rFonts w:ascii="Cambria Math" w:hAnsi="Cambria Math" w:eastAsia="楷体" w:cs="Times New Roman"/>
                    <w:sz w:val="18"/>
                    <w:szCs w:val="18"/>
                    <w:highlight w:val="none"/>
                  </w:rPr>
                  <m:t>=</m:t>
                </m:r>
                <m:f>
                  <m:fPr>
                    <m:ctrlPr>
                      <w:rPr>
                        <w:rFonts w:ascii="Cambria Math" w:hAnsi="Cambria Math" w:eastAsia="楷体" w:cs="Times New Roman"/>
                        <w:sz w:val="18"/>
                        <w:szCs w:val="18"/>
                        <w:highlight w:val="none"/>
                      </w:rPr>
                    </m:ctrlPr>
                  </m:fPr>
                  <m:num>
                    <m:r>
                      <m:rPr/>
                      <w:rPr>
                        <w:rFonts w:ascii="Cambria Math" w:hAnsi="Cambria Math" w:eastAsia="楷体" w:cs="Times New Roman"/>
                        <w:sz w:val="18"/>
                        <w:szCs w:val="18"/>
                        <w:highlight w:val="none"/>
                      </w:rPr>
                      <m:t>Sales−COGS</m:t>
                    </m:r>
                    <m:ctrlPr>
                      <w:rPr>
                        <w:rFonts w:ascii="Cambria Math" w:hAnsi="Cambria Math" w:eastAsia="楷体" w:cs="Times New Roman"/>
                        <w:sz w:val="18"/>
                        <w:szCs w:val="18"/>
                        <w:highlight w:val="none"/>
                      </w:rPr>
                    </m:ctrlPr>
                  </m:num>
                  <m:den>
                    <m:r>
                      <m:rPr/>
                      <w:rPr>
                        <w:rFonts w:ascii="Cambria Math" w:hAnsi="Cambria Math" w:eastAsia="楷体" w:cs="Times New Roman"/>
                        <w:sz w:val="18"/>
                        <w:szCs w:val="18"/>
                        <w:highlight w:val="none"/>
                      </w:rPr>
                      <m:t>TA</m:t>
                    </m:r>
                    <m:ctrlPr>
                      <w:rPr>
                        <w:rFonts w:ascii="Cambria Math" w:hAnsi="Cambria Math" w:eastAsia="楷体" w:cs="Times New Roman"/>
                        <w:sz w:val="18"/>
                        <w:szCs w:val="18"/>
                        <w:highlight w:val="none"/>
                      </w:rPr>
                    </m:ctrlPr>
                  </m:den>
                </m:f>
              </m:oMath>
            </m:oMathPara>
          </w:p>
          <w:p w14:paraId="0E469F20">
            <w:pPr>
              <w:rPr>
                <w:sz w:val="18"/>
                <w:szCs w:val="18"/>
                <w:highlight w:val="none"/>
              </w:rPr>
            </w:pPr>
            <w:r>
              <w:rPr>
                <w:rFonts w:hint="eastAsia" w:ascii="楷体" w:hAnsi="楷体" w:eastAsia="楷体" w:cs="Times New Roman"/>
                <w:sz w:val="18"/>
                <w:szCs w:val="18"/>
                <w:highlight w:val="none"/>
              </w:rPr>
              <w:t>其中</w:t>
            </w:r>
            <w:r>
              <w:rPr>
                <w:rFonts w:ascii="楷体" w:hAnsi="楷体" w:eastAsia="楷体" w:cs="Times New Roman"/>
                <w:sz w:val="18"/>
                <w:szCs w:val="18"/>
                <w:highlight w:val="none"/>
              </w:rPr>
              <w:t>Sales、COGS和TA分别是上一个财务年度的</w:t>
            </w:r>
            <w:r>
              <w:rPr>
                <w:rFonts w:hint="eastAsia" w:ascii="楷体" w:hAnsi="楷体" w:eastAsia="楷体" w:cs="Times New Roman"/>
                <w:sz w:val="18"/>
                <w:szCs w:val="18"/>
                <w:highlight w:val="none"/>
              </w:rPr>
              <w:t>营业收入</w:t>
            </w:r>
            <w:r>
              <w:rPr>
                <w:rFonts w:ascii="楷体" w:hAnsi="楷体" w:eastAsia="楷体" w:cs="Times New Roman"/>
                <w:sz w:val="18"/>
                <w:szCs w:val="18"/>
                <w:highlight w:val="none"/>
              </w:rPr>
              <w:t>、</w:t>
            </w:r>
            <w:r>
              <w:rPr>
                <w:rFonts w:hint="eastAsia" w:ascii="楷体" w:hAnsi="楷体" w:eastAsia="楷体" w:cs="Times New Roman"/>
                <w:sz w:val="18"/>
                <w:szCs w:val="18"/>
                <w:highlight w:val="none"/>
              </w:rPr>
              <w:t>营业</w:t>
            </w:r>
            <w:r>
              <w:rPr>
                <w:rFonts w:ascii="楷体" w:hAnsi="楷体" w:eastAsia="楷体" w:cs="Times New Roman"/>
                <w:sz w:val="18"/>
                <w:szCs w:val="18"/>
                <w:highlight w:val="none"/>
              </w:rPr>
              <w:t>成本和总资产</w:t>
            </w:r>
          </w:p>
        </w:tc>
      </w:tr>
      <w:tr w14:paraId="5764A4E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61459DFC">
            <w:pPr>
              <w:jc w:val="center"/>
              <w:rPr>
                <w:rFonts w:ascii="楷体" w:hAnsi="楷体" w:eastAsia="楷体"/>
                <w:sz w:val="18"/>
                <w:szCs w:val="18"/>
                <w:highlight w:val="none"/>
              </w:rPr>
            </w:pPr>
          </w:p>
        </w:tc>
        <w:tc>
          <w:tcPr>
            <w:tcW w:w="1276" w:type="dxa"/>
            <w:vMerge w:val="continue"/>
            <w:vAlign w:val="center"/>
          </w:tcPr>
          <w:p w14:paraId="1AB5D420">
            <w:pPr>
              <w:jc w:val="center"/>
              <w:rPr>
                <w:rFonts w:ascii="楷体" w:hAnsi="楷体" w:eastAsia="楷体"/>
                <w:sz w:val="18"/>
                <w:szCs w:val="18"/>
                <w:highlight w:val="none"/>
              </w:rPr>
            </w:pPr>
          </w:p>
        </w:tc>
        <w:tc>
          <w:tcPr>
            <w:tcW w:w="1843" w:type="dxa"/>
            <w:vAlign w:val="center"/>
          </w:tcPr>
          <w:p w14:paraId="6600B9E5">
            <w:pPr>
              <w:jc w:val="center"/>
              <w:rPr>
                <w:rFonts w:ascii="楷体" w:hAnsi="楷体" w:eastAsia="楷体"/>
                <w:sz w:val="18"/>
                <w:szCs w:val="18"/>
                <w:highlight w:val="none"/>
              </w:rPr>
            </w:pPr>
            <w:r>
              <w:rPr>
                <w:rFonts w:ascii="楷体" w:hAnsi="楷体" w:eastAsia="楷体"/>
                <w:sz w:val="18"/>
                <w:szCs w:val="18"/>
                <w:highlight w:val="none"/>
              </w:rPr>
              <w:t>Gross Profit Margin</w:t>
            </w:r>
          </w:p>
        </w:tc>
        <w:tc>
          <w:tcPr>
            <w:tcW w:w="1145" w:type="dxa"/>
            <w:vAlign w:val="center"/>
          </w:tcPr>
          <w:p w14:paraId="7480DF69">
            <w:pPr>
              <w:jc w:val="center"/>
              <w:rPr>
                <w:rFonts w:ascii="楷体" w:hAnsi="楷体" w:eastAsia="楷体"/>
                <w:sz w:val="18"/>
                <w:szCs w:val="18"/>
                <w:highlight w:val="none"/>
              </w:rPr>
            </w:pPr>
            <w:r>
              <w:rPr>
                <w:rFonts w:hint="eastAsia" w:ascii="楷体" w:hAnsi="楷体" w:eastAsia="楷体"/>
                <w:sz w:val="18"/>
                <w:szCs w:val="18"/>
                <w:highlight w:val="none"/>
              </w:rPr>
              <w:t>销售毛利率</w:t>
            </w:r>
          </w:p>
        </w:tc>
        <w:tc>
          <w:tcPr>
            <w:tcW w:w="4950" w:type="dxa"/>
            <w:vAlign w:val="center"/>
          </w:tcPr>
          <w:p w14:paraId="20CAE751">
            <w:pPr>
              <w:rPr>
                <w:rFonts w:ascii="楷体" w:hAnsi="楷体" w:eastAsia="楷体" w:cs="Times New Roman"/>
                <w:sz w:val="18"/>
                <w:szCs w:val="18"/>
                <w:highlight w:val="none"/>
              </w:rPr>
            </w:pPr>
            <m:oMathPara>
              <m:oMath>
                <m:r>
                  <m:rPr/>
                  <w:rPr>
                    <w:rFonts w:ascii="Cambria Math" w:hAnsi="Cambria Math" w:eastAsia="楷体" w:cs="Times New Roman"/>
                    <w:sz w:val="18"/>
                    <w:szCs w:val="18"/>
                    <w:highlight w:val="none"/>
                  </w:rPr>
                  <m:t>GPM</m:t>
                </m:r>
                <m:r>
                  <m:rPr>
                    <m:sty m:val="p"/>
                  </m:rPr>
                  <w:rPr>
                    <w:rFonts w:ascii="Cambria Math" w:hAnsi="Cambria Math" w:eastAsia="楷体" w:cs="Times New Roman"/>
                    <w:sz w:val="18"/>
                    <w:szCs w:val="18"/>
                    <w:highlight w:val="none"/>
                  </w:rPr>
                  <m:t>=</m:t>
                </m:r>
                <m:f>
                  <m:fPr>
                    <m:ctrlPr>
                      <w:rPr>
                        <w:rFonts w:ascii="Cambria Math" w:hAnsi="Cambria Math" w:eastAsia="楷体" w:cs="Times New Roman"/>
                        <w:sz w:val="18"/>
                        <w:szCs w:val="18"/>
                        <w:highlight w:val="none"/>
                      </w:rPr>
                    </m:ctrlPr>
                  </m:fPr>
                  <m:num>
                    <m:r>
                      <m:rPr/>
                      <w:rPr>
                        <w:rFonts w:ascii="Cambria Math" w:hAnsi="Cambria Math" w:eastAsia="楷体" w:cs="Times New Roman"/>
                        <w:sz w:val="18"/>
                        <w:szCs w:val="18"/>
                        <w:highlight w:val="none"/>
                      </w:rPr>
                      <m:t>S</m:t>
                    </m:r>
                    <m:r>
                      <m:rPr/>
                      <w:rPr>
                        <w:rFonts w:hint="eastAsia" w:ascii="Cambria Math" w:hAnsi="Cambria Math" w:eastAsia="楷体" w:cs="Times New Roman"/>
                        <w:sz w:val="18"/>
                        <w:szCs w:val="18"/>
                        <w:highlight w:val="none"/>
                      </w:rPr>
                      <m:t>ales</m:t>
                    </m:r>
                    <m:r>
                      <m:rPr/>
                      <w:rPr>
                        <w:rFonts w:ascii="Cambria Math" w:hAnsi="Cambria Math" w:eastAsia="楷体" w:cs="Times New Roman"/>
                        <w:sz w:val="18"/>
                        <w:szCs w:val="18"/>
                        <w:highlight w:val="none"/>
                      </w:rPr>
                      <m:t>−COGS</m:t>
                    </m:r>
                    <m:ctrlPr>
                      <w:rPr>
                        <w:rFonts w:ascii="Cambria Math" w:hAnsi="Cambria Math" w:eastAsia="楷体" w:cs="Times New Roman"/>
                        <w:sz w:val="18"/>
                        <w:szCs w:val="18"/>
                        <w:highlight w:val="none"/>
                      </w:rPr>
                    </m:ctrlPr>
                  </m:num>
                  <m:den>
                    <m:r>
                      <m:rPr/>
                      <w:rPr>
                        <w:rFonts w:ascii="Cambria Math" w:hAnsi="Cambria Math" w:eastAsia="楷体" w:cs="Times New Roman"/>
                        <w:sz w:val="18"/>
                        <w:szCs w:val="18"/>
                        <w:highlight w:val="none"/>
                      </w:rPr>
                      <m:t>Sales</m:t>
                    </m:r>
                    <m:ctrlPr>
                      <w:rPr>
                        <w:rFonts w:ascii="Cambria Math" w:hAnsi="Cambria Math" w:eastAsia="楷体" w:cs="Times New Roman"/>
                        <w:sz w:val="18"/>
                        <w:szCs w:val="18"/>
                        <w:highlight w:val="none"/>
                      </w:rPr>
                    </m:ctrlPr>
                  </m:den>
                </m:f>
              </m:oMath>
            </m:oMathPara>
          </w:p>
          <w:p w14:paraId="4F310045">
            <w:pPr>
              <w:rPr>
                <w:rFonts w:ascii="楷体" w:hAnsi="楷体" w:eastAsia="楷体" w:cs="Times New Roman"/>
                <w:sz w:val="18"/>
                <w:szCs w:val="18"/>
                <w:highlight w:val="none"/>
              </w:rPr>
            </w:pPr>
            <w:r>
              <w:rPr>
                <w:rFonts w:hint="eastAsia" w:ascii="楷体" w:hAnsi="楷体" w:eastAsia="楷体" w:cs="Times New Roman"/>
                <w:sz w:val="18"/>
                <w:szCs w:val="18"/>
                <w:highlight w:val="none"/>
              </w:rPr>
              <w:t>其中</w:t>
            </w:r>
            <w:r>
              <w:rPr>
                <w:rFonts w:ascii="楷体" w:hAnsi="楷体" w:eastAsia="楷体" w:cs="Times New Roman"/>
                <w:sz w:val="18"/>
                <w:szCs w:val="18"/>
                <w:highlight w:val="none"/>
              </w:rPr>
              <w:t>Sales和C</w:t>
            </w:r>
            <w:r>
              <w:rPr>
                <w:rFonts w:hint="eastAsia" w:ascii="楷体" w:hAnsi="楷体" w:eastAsia="楷体" w:cs="Times New Roman"/>
                <w:sz w:val="18"/>
                <w:szCs w:val="18"/>
                <w:highlight w:val="none"/>
              </w:rPr>
              <w:t>O</w:t>
            </w:r>
            <w:r>
              <w:rPr>
                <w:rFonts w:ascii="楷体" w:hAnsi="楷体" w:eastAsia="楷体" w:cs="Times New Roman"/>
                <w:sz w:val="18"/>
                <w:szCs w:val="18"/>
                <w:highlight w:val="none"/>
              </w:rPr>
              <w:t>GS分别为上一会计年度的</w:t>
            </w:r>
            <w:r>
              <w:rPr>
                <w:rFonts w:hint="eastAsia" w:ascii="楷体" w:hAnsi="楷体" w:eastAsia="楷体" w:cs="Times New Roman"/>
                <w:sz w:val="18"/>
                <w:szCs w:val="18"/>
                <w:highlight w:val="none"/>
              </w:rPr>
              <w:t>营业收入和</w:t>
            </w:r>
            <w:r>
              <w:rPr>
                <w:rFonts w:ascii="楷体" w:hAnsi="楷体" w:eastAsia="楷体" w:cs="Times New Roman"/>
                <w:sz w:val="18"/>
                <w:szCs w:val="18"/>
                <w:highlight w:val="none"/>
              </w:rPr>
              <w:t>销</w:t>
            </w:r>
            <w:r>
              <w:rPr>
                <w:rFonts w:hint="eastAsia" w:ascii="楷体" w:hAnsi="楷体" w:eastAsia="楷体" w:cs="Times New Roman"/>
                <w:sz w:val="18"/>
                <w:szCs w:val="18"/>
                <w:highlight w:val="none"/>
              </w:rPr>
              <w:t>货</w:t>
            </w:r>
            <w:r>
              <w:rPr>
                <w:rFonts w:ascii="楷体" w:hAnsi="楷体" w:eastAsia="楷体" w:cs="Times New Roman"/>
                <w:sz w:val="18"/>
                <w:szCs w:val="18"/>
                <w:highlight w:val="none"/>
              </w:rPr>
              <w:t>成本</w:t>
            </w:r>
          </w:p>
        </w:tc>
      </w:tr>
      <w:tr w14:paraId="275C005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2FB0CA0D">
            <w:pPr>
              <w:jc w:val="center"/>
              <w:rPr>
                <w:rFonts w:ascii="楷体" w:hAnsi="楷体" w:eastAsia="楷体"/>
                <w:sz w:val="18"/>
                <w:szCs w:val="18"/>
                <w:highlight w:val="none"/>
              </w:rPr>
            </w:pPr>
          </w:p>
        </w:tc>
        <w:tc>
          <w:tcPr>
            <w:tcW w:w="1276" w:type="dxa"/>
            <w:vMerge w:val="continue"/>
            <w:vAlign w:val="center"/>
          </w:tcPr>
          <w:p w14:paraId="65F18DEE">
            <w:pPr>
              <w:jc w:val="center"/>
              <w:rPr>
                <w:rFonts w:ascii="楷体" w:hAnsi="楷体" w:eastAsia="楷体"/>
                <w:sz w:val="18"/>
                <w:szCs w:val="18"/>
                <w:highlight w:val="none"/>
              </w:rPr>
            </w:pPr>
          </w:p>
        </w:tc>
        <w:tc>
          <w:tcPr>
            <w:tcW w:w="1843" w:type="dxa"/>
            <w:vAlign w:val="center"/>
          </w:tcPr>
          <w:p w14:paraId="403B6565">
            <w:pPr>
              <w:jc w:val="center"/>
              <w:rPr>
                <w:rFonts w:ascii="楷体" w:hAnsi="楷体" w:eastAsia="楷体"/>
                <w:sz w:val="18"/>
                <w:szCs w:val="18"/>
                <w:highlight w:val="none"/>
              </w:rPr>
            </w:pPr>
            <w:r>
              <w:rPr>
                <w:rFonts w:ascii="楷体" w:hAnsi="楷体" w:eastAsia="楷体"/>
                <w:sz w:val="18"/>
                <w:szCs w:val="18"/>
                <w:highlight w:val="none"/>
              </w:rPr>
              <w:t>Return on assets</w:t>
            </w:r>
          </w:p>
        </w:tc>
        <w:tc>
          <w:tcPr>
            <w:tcW w:w="1145" w:type="dxa"/>
            <w:vAlign w:val="center"/>
          </w:tcPr>
          <w:p w14:paraId="40D0D14A">
            <w:pPr>
              <w:jc w:val="center"/>
              <w:rPr>
                <w:rFonts w:ascii="楷体" w:hAnsi="楷体" w:eastAsia="楷体"/>
                <w:sz w:val="18"/>
                <w:szCs w:val="18"/>
                <w:highlight w:val="none"/>
              </w:rPr>
            </w:pPr>
            <w:r>
              <w:rPr>
                <w:rFonts w:hint="eastAsia" w:ascii="楷体" w:hAnsi="楷体" w:eastAsia="楷体"/>
                <w:sz w:val="18"/>
                <w:szCs w:val="18"/>
                <w:highlight w:val="none"/>
              </w:rPr>
              <w:t>总资产收益率</w:t>
            </w:r>
          </w:p>
        </w:tc>
        <w:tc>
          <w:tcPr>
            <w:tcW w:w="4950" w:type="dxa"/>
            <w:vAlign w:val="center"/>
          </w:tcPr>
          <w:p w14:paraId="063844F7">
            <w:pPr>
              <w:rPr>
                <w:rFonts w:ascii="楷体" w:hAnsi="楷体" w:eastAsia="楷体" w:cs="Times New Roman"/>
                <w:sz w:val="18"/>
                <w:szCs w:val="18"/>
                <w:highlight w:val="none"/>
              </w:rPr>
            </w:pPr>
            <m:oMathPara>
              <m:oMath>
                <m:r>
                  <m:rPr/>
                  <w:rPr>
                    <w:rFonts w:ascii="Cambria Math" w:hAnsi="Cambria Math" w:eastAsia="楷体" w:cs="Times New Roman"/>
                    <w:sz w:val="18"/>
                    <w:szCs w:val="18"/>
                    <w:highlight w:val="none"/>
                  </w:rPr>
                  <m:t>ROA</m:t>
                </m:r>
                <m:r>
                  <m:rPr>
                    <m:sty m:val="p"/>
                  </m:rPr>
                  <w:rPr>
                    <w:rFonts w:ascii="Cambria Math" w:hAnsi="Cambria Math" w:eastAsia="楷体" w:cs="Times New Roman"/>
                    <w:sz w:val="18"/>
                    <w:szCs w:val="18"/>
                    <w:highlight w:val="none"/>
                  </w:rPr>
                  <m:t>=</m:t>
                </m:r>
                <m:f>
                  <m:fPr>
                    <m:ctrlPr>
                      <w:rPr>
                        <w:rFonts w:ascii="Cambria Math" w:hAnsi="Cambria Math" w:eastAsia="楷体" w:cs="Times New Roman"/>
                        <w:sz w:val="18"/>
                        <w:szCs w:val="18"/>
                        <w:highlight w:val="none"/>
                      </w:rPr>
                    </m:ctrlPr>
                  </m:fPr>
                  <m:num>
                    <m:r>
                      <m:rPr/>
                      <w:rPr>
                        <w:rFonts w:ascii="Cambria Math" w:hAnsi="Cambria Math" w:eastAsia="楷体" w:cs="Times New Roman"/>
                        <w:sz w:val="18"/>
                        <w:szCs w:val="18"/>
                        <w:highlight w:val="none"/>
                      </w:rPr>
                      <m:t>E</m:t>
                    </m:r>
                    <m:r>
                      <m:rPr/>
                      <w:rPr>
                        <w:rFonts w:hint="eastAsia" w:ascii="Cambria Math" w:hAnsi="Cambria Math" w:eastAsia="楷体" w:cs="Times New Roman"/>
                        <w:sz w:val="18"/>
                        <w:szCs w:val="18"/>
                        <w:highlight w:val="none"/>
                      </w:rPr>
                      <m:t>arnings</m:t>
                    </m:r>
                    <m:ctrlPr>
                      <w:rPr>
                        <w:rFonts w:ascii="Cambria Math" w:hAnsi="Cambria Math" w:eastAsia="楷体" w:cs="Times New Roman"/>
                        <w:sz w:val="18"/>
                        <w:szCs w:val="18"/>
                        <w:highlight w:val="none"/>
                      </w:rPr>
                    </m:ctrlPr>
                  </m:num>
                  <m:den>
                    <m:r>
                      <m:rPr/>
                      <w:rPr>
                        <w:rFonts w:ascii="Cambria Math" w:hAnsi="Cambria Math" w:eastAsia="楷体" w:cs="Times New Roman"/>
                        <w:sz w:val="18"/>
                        <w:szCs w:val="18"/>
                        <w:highlight w:val="none"/>
                      </w:rPr>
                      <m:t>TA</m:t>
                    </m:r>
                    <m:ctrlPr>
                      <w:rPr>
                        <w:rFonts w:ascii="Cambria Math" w:hAnsi="Cambria Math" w:eastAsia="楷体" w:cs="Times New Roman"/>
                        <w:sz w:val="18"/>
                        <w:szCs w:val="18"/>
                        <w:highlight w:val="none"/>
                      </w:rPr>
                    </m:ctrlPr>
                  </m:den>
                </m:f>
              </m:oMath>
            </m:oMathPara>
          </w:p>
          <w:p w14:paraId="6A821573">
            <w:pPr>
              <w:rPr>
                <w:rFonts w:ascii="楷体" w:hAnsi="楷体" w:eastAsia="楷体" w:cs="Times New Roman"/>
                <w:sz w:val="18"/>
                <w:szCs w:val="18"/>
                <w:highlight w:val="none"/>
              </w:rPr>
            </w:pPr>
            <w:r>
              <w:rPr>
                <w:rFonts w:ascii="楷体" w:hAnsi="楷体" w:eastAsia="楷体" w:cs="Times New Roman"/>
                <w:sz w:val="18"/>
                <w:szCs w:val="18"/>
                <w:highlight w:val="none"/>
              </w:rPr>
              <w:t>E</w:t>
            </w:r>
            <w:r>
              <w:rPr>
                <w:rFonts w:hint="eastAsia" w:ascii="楷体" w:hAnsi="楷体" w:eastAsia="楷体" w:cs="Times New Roman"/>
                <w:sz w:val="18"/>
                <w:szCs w:val="18"/>
                <w:highlight w:val="none"/>
              </w:rPr>
              <w:t>arnings为过去</w:t>
            </w:r>
            <w:r>
              <w:rPr>
                <w:rFonts w:ascii="楷体" w:hAnsi="楷体" w:eastAsia="楷体" w:cs="Times New Roman"/>
                <w:sz w:val="18"/>
                <w:szCs w:val="18"/>
                <w:highlight w:val="none"/>
              </w:rPr>
              <w:t>12个月的</w:t>
            </w:r>
            <w:r>
              <w:rPr>
                <w:rFonts w:hint="eastAsia" w:ascii="楷体" w:hAnsi="楷体" w:eastAsia="楷体" w:cs="Times New Roman"/>
                <w:sz w:val="18"/>
                <w:szCs w:val="18"/>
                <w:highlight w:val="none"/>
              </w:rPr>
              <w:t>净利润</w:t>
            </w:r>
            <w:r>
              <w:rPr>
                <w:rFonts w:ascii="楷体" w:hAnsi="楷体" w:eastAsia="楷体" w:cs="Times New Roman"/>
                <w:sz w:val="18"/>
                <w:szCs w:val="18"/>
                <w:highlight w:val="none"/>
              </w:rPr>
              <w:t>，TA</w:t>
            </w:r>
            <w:r>
              <w:rPr>
                <w:rFonts w:hint="eastAsia" w:ascii="楷体" w:hAnsi="楷体" w:eastAsia="楷体" w:cs="Times New Roman"/>
                <w:sz w:val="18"/>
                <w:szCs w:val="18"/>
                <w:highlight w:val="none"/>
              </w:rPr>
              <w:t>为</w:t>
            </w:r>
            <w:r>
              <w:rPr>
                <w:rFonts w:ascii="楷体" w:hAnsi="楷体" w:eastAsia="楷体" w:cs="Times New Roman"/>
                <w:sz w:val="18"/>
                <w:szCs w:val="18"/>
                <w:highlight w:val="none"/>
              </w:rPr>
              <w:t>最近报告</w:t>
            </w:r>
            <w:r>
              <w:rPr>
                <w:rFonts w:hint="eastAsia" w:ascii="楷体" w:hAnsi="楷体" w:eastAsia="楷体" w:cs="Times New Roman"/>
                <w:sz w:val="18"/>
                <w:szCs w:val="18"/>
                <w:highlight w:val="none"/>
              </w:rPr>
              <w:t>期</w:t>
            </w:r>
            <w:r>
              <w:rPr>
                <w:rFonts w:ascii="楷体" w:hAnsi="楷体" w:eastAsia="楷体" w:cs="Times New Roman"/>
                <w:sz w:val="18"/>
                <w:szCs w:val="18"/>
                <w:highlight w:val="none"/>
              </w:rPr>
              <w:t>的总资产</w:t>
            </w:r>
          </w:p>
        </w:tc>
      </w:tr>
      <w:tr w14:paraId="6EAD93B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0166083B">
            <w:pPr>
              <w:jc w:val="center"/>
              <w:rPr>
                <w:rFonts w:ascii="楷体" w:hAnsi="楷体" w:eastAsia="楷体"/>
                <w:sz w:val="18"/>
                <w:szCs w:val="18"/>
                <w:highlight w:val="none"/>
              </w:rPr>
            </w:pPr>
          </w:p>
        </w:tc>
        <w:tc>
          <w:tcPr>
            <w:tcW w:w="1276" w:type="dxa"/>
            <w:vMerge w:val="restart"/>
            <w:vAlign w:val="center"/>
          </w:tcPr>
          <w:p w14:paraId="4670F3B8">
            <w:pPr>
              <w:jc w:val="center"/>
              <w:rPr>
                <w:rFonts w:ascii="楷体" w:hAnsi="楷体" w:eastAsia="楷体"/>
                <w:sz w:val="18"/>
                <w:szCs w:val="18"/>
                <w:highlight w:val="none"/>
              </w:rPr>
            </w:pPr>
            <w:r>
              <w:rPr>
                <w:rFonts w:ascii="楷体" w:hAnsi="楷体" w:eastAsia="楷体"/>
                <w:sz w:val="18"/>
                <w:szCs w:val="18"/>
                <w:highlight w:val="none"/>
              </w:rPr>
              <w:t>Investment Quality</w:t>
            </w:r>
          </w:p>
        </w:tc>
        <w:tc>
          <w:tcPr>
            <w:tcW w:w="1843" w:type="dxa"/>
            <w:vAlign w:val="center"/>
          </w:tcPr>
          <w:p w14:paraId="048986EF">
            <w:pPr>
              <w:jc w:val="center"/>
              <w:rPr>
                <w:rFonts w:ascii="楷体" w:hAnsi="楷体" w:eastAsia="楷体"/>
                <w:sz w:val="18"/>
                <w:szCs w:val="18"/>
                <w:highlight w:val="none"/>
              </w:rPr>
            </w:pPr>
            <w:r>
              <w:rPr>
                <w:rFonts w:ascii="楷体" w:hAnsi="楷体" w:eastAsia="楷体"/>
                <w:sz w:val="18"/>
                <w:szCs w:val="18"/>
                <w:highlight w:val="none"/>
              </w:rPr>
              <w:t>Total Assets Growth Rate</w:t>
            </w:r>
          </w:p>
        </w:tc>
        <w:tc>
          <w:tcPr>
            <w:tcW w:w="1145" w:type="dxa"/>
            <w:vAlign w:val="center"/>
          </w:tcPr>
          <w:p w14:paraId="4AC42326">
            <w:pPr>
              <w:jc w:val="center"/>
              <w:rPr>
                <w:rFonts w:ascii="楷体" w:hAnsi="楷体" w:eastAsia="楷体"/>
                <w:sz w:val="18"/>
                <w:szCs w:val="18"/>
                <w:highlight w:val="none"/>
              </w:rPr>
            </w:pPr>
            <w:r>
              <w:rPr>
                <w:rFonts w:hint="eastAsia" w:ascii="楷体" w:hAnsi="楷体" w:eastAsia="楷体"/>
                <w:sz w:val="18"/>
                <w:szCs w:val="18"/>
                <w:highlight w:val="none"/>
              </w:rPr>
              <w:t>总资产增长率</w:t>
            </w:r>
          </w:p>
        </w:tc>
        <w:tc>
          <w:tcPr>
            <w:tcW w:w="4950" w:type="dxa"/>
            <w:vAlign w:val="center"/>
          </w:tcPr>
          <w:p w14:paraId="109D82B0">
            <w:pPr>
              <w:rPr>
                <w:rFonts w:ascii="楷体" w:hAnsi="楷体" w:eastAsia="楷体" w:cs="Times New Roman"/>
                <w:sz w:val="18"/>
                <w:szCs w:val="18"/>
                <w:highlight w:val="none"/>
              </w:rPr>
            </w:pPr>
            <w:r>
              <w:rPr>
                <w:rFonts w:hint="eastAsia" w:ascii="楷体" w:hAnsi="楷体" w:eastAsia="楷体" w:cs="Times New Roman"/>
                <w:sz w:val="18"/>
                <w:szCs w:val="18"/>
                <w:highlight w:val="none"/>
              </w:rPr>
              <w:t>最近</w:t>
            </w:r>
            <w:r>
              <w:rPr>
                <w:rFonts w:ascii="楷体" w:hAnsi="楷体" w:eastAsia="楷体" w:cs="Times New Roman"/>
                <w:sz w:val="18"/>
                <w:szCs w:val="18"/>
                <w:highlight w:val="none"/>
              </w:rPr>
              <w:t>5个财政年度</w:t>
            </w:r>
            <w:r>
              <w:rPr>
                <w:rFonts w:hint="eastAsia" w:ascii="楷体" w:hAnsi="楷体" w:eastAsia="楷体" w:cs="Times New Roman"/>
                <w:sz w:val="18"/>
                <w:szCs w:val="18"/>
                <w:highlight w:val="none"/>
              </w:rPr>
              <w:t>的</w:t>
            </w:r>
            <w:r>
              <w:rPr>
                <w:rFonts w:ascii="楷体" w:hAnsi="楷体" w:eastAsia="楷体" w:cs="Times New Roman"/>
                <w:sz w:val="18"/>
                <w:szCs w:val="18"/>
                <w:highlight w:val="none"/>
              </w:rPr>
              <w:t>总资产</w:t>
            </w:r>
            <w:r>
              <w:rPr>
                <w:rFonts w:hint="eastAsia" w:ascii="楷体" w:hAnsi="楷体" w:eastAsia="楷体" w:cs="Times New Roman"/>
                <w:sz w:val="18"/>
                <w:szCs w:val="18"/>
                <w:highlight w:val="none"/>
              </w:rPr>
              <w:t>对</w:t>
            </w:r>
            <w:r>
              <w:rPr>
                <w:rFonts w:ascii="楷体" w:hAnsi="楷体" w:eastAsia="楷体" w:cs="Times New Roman"/>
                <w:sz w:val="18"/>
                <w:szCs w:val="18"/>
                <w:highlight w:val="none"/>
              </w:rPr>
              <w:t>时间的回归</w:t>
            </w:r>
            <w:r>
              <w:rPr>
                <w:rFonts w:hint="eastAsia" w:ascii="楷体" w:hAnsi="楷体" w:eastAsia="楷体" w:cs="Times New Roman"/>
                <w:sz w:val="18"/>
                <w:szCs w:val="18"/>
                <w:highlight w:val="none"/>
              </w:rPr>
              <w:t>的斜率</w:t>
            </w:r>
            <w:r>
              <w:rPr>
                <w:rFonts w:ascii="楷体" w:hAnsi="楷体" w:eastAsia="楷体" w:cs="Times New Roman"/>
                <w:sz w:val="18"/>
                <w:szCs w:val="18"/>
                <w:highlight w:val="none"/>
              </w:rPr>
              <w:t>值，除以平均总资产，</w:t>
            </w:r>
            <w:r>
              <w:rPr>
                <w:rFonts w:hint="eastAsia" w:ascii="楷体" w:hAnsi="楷体" w:eastAsia="楷体" w:cs="Times New Roman"/>
                <w:sz w:val="18"/>
                <w:szCs w:val="18"/>
                <w:highlight w:val="none"/>
              </w:rPr>
              <w:t>最后取相反数</w:t>
            </w:r>
          </w:p>
        </w:tc>
      </w:tr>
      <w:tr w14:paraId="0158060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683A7F14">
            <w:pPr>
              <w:jc w:val="center"/>
              <w:rPr>
                <w:rFonts w:ascii="楷体" w:hAnsi="楷体" w:eastAsia="楷体"/>
                <w:sz w:val="18"/>
                <w:szCs w:val="18"/>
                <w:highlight w:val="none"/>
              </w:rPr>
            </w:pPr>
          </w:p>
        </w:tc>
        <w:tc>
          <w:tcPr>
            <w:tcW w:w="1276" w:type="dxa"/>
            <w:vMerge w:val="continue"/>
            <w:vAlign w:val="center"/>
          </w:tcPr>
          <w:p w14:paraId="0B9D8D41">
            <w:pPr>
              <w:jc w:val="center"/>
              <w:rPr>
                <w:rFonts w:ascii="楷体" w:hAnsi="楷体" w:eastAsia="楷体"/>
                <w:sz w:val="18"/>
                <w:szCs w:val="18"/>
                <w:highlight w:val="none"/>
              </w:rPr>
            </w:pPr>
          </w:p>
        </w:tc>
        <w:tc>
          <w:tcPr>
            <w:tcW w:w="1843" w:type="dxa"/>
            <w:vAlign w:val="center"/>
          </w:tcPr>
          <w:p w14:paraId="35A63D71">
            <w:pPr>
              <w:jc w:val="center"/>
              <w:rPr>
                <w:rFonts w:ascii="楷体" w:hAnsi="楷体" w:eastAsia="楷体"/>
                <w:sz w:val="18"/>
                <w:szCs w:val="18"/>
                <w:highlight w:val="none"/>
              </w:rPr>
            </w:pPr>
            <w:r>
              <w:rPr>
                <w:rFonts w:ascii="楷体" w:hAnsi="楷体" w:eastAsia="楷体"/>
                <w:sz w:val="18"/>
                <w:szCs w:val="18"/>
                <w:highlight w:val="none"/>
              </w:rPr>
              <w:t>Issuance growth</w:t>
            </w:r>
          </w:p>
        </w:tc>
        <w:tc>
          <w:tcPr>
            <w:tcW w:w="1145" w:type="dxa"/>
            <w:vAlign w:val="center"/>
          </w:tcPr>
          <w:p w14:paraId="4208722E">
            <w:pPr>
              <w:jc w:val="center"/>
              <w:rPr>
                <w:rFonts w:ascii="楷体" w:hAnsi="楷体" w:eastAsia="楷体"/>
                <w:sz w:val="18"/>
                <w:szCs w:val="18"/>
                <w:highlight w:val="none"/>
              </w:rPr>
            </w:pPr>
            <w:r>
              <w:rPr>
                <w:rFonts w:hint="eastAsia" w:ascii="楷体" w:hAnsi="楷体" w:eastAsia="楷体"/>
                <w:sz w:val="18"/>
                <w:szCs w:val="18"/>
                <w:highlight w:val="none"/>
              </w:rPr>
              <w:t>股票发行量增长率</w:t>
            </w:r>
          </w:p>
        </w:tc>
        <w:tc>
          <w:tcPr>
            <w:tcW w:w="4950" w:type="dxa"/>
            <w:vAlign w:val="center"/>
          </w:tcPr>
          <w:p w14:paraId="4A9E945D">
            <w:pPr>
              <w:rPr>
                <w:rFonts w:ascii="楷体" w:hAnsi="楷体" w:eastAsia="楷体" w:cs="Times New Roman"/>
                <w:sz w:val="18"/>
                <w:szCs w:val="18"/>
                <w:highlight w:val="none"/>
              </w:rPr>
            </w:pPr>
            <w:r>
              <w:rPr>
                <w:rFonts w:hint="eastAsia" w:ascii="楷体" w:hAnsi="楷体" w:eastAsia="楷体" w:cs="Times New Roman"/>
                <w:sz w:val="18"/>
                <w:szCs w:val="18"/>
                <w:highlight w:val="none"/>
              </w:rPr>
              <w:t>最近</w:t>
            </w:r>
            <w:r>
              <w:rPr>
                <w:rFonts w:ascii="楷体" w:hAnsi="楷体" w:eastAsia="楷体" w:cs="Times New Roman"/>
                <w:sz w:val="18"/>
                <w:szCs w:val="18"/>
                <w:highlight w:val="none"/>
              </w:rPr>
              <w:t>5个财政年度</w:t>
            </w:r>
            <w:r>
              <w:rPr>
                <w:rFonts w:hint="eastAsia" w:ascii="楷体" w:hAnsi="楷体" w:eastAsia="楷体" w:cs="Times New Roman"/>
                <w:sz w:val="18"/>
                <w:szCs w:val="18"/>
                <w:highlight w:val="none"/>
              </w:rPr>
              <w:t>的流通股本对</w:t>
            </w:r>
            <w:r>
              <w:rPr>
                <w:rFonts w:ascii="楷体" w:hAnsi="楷体" w:eastAsia="楷体" w:cs="Times New Roman"/>
                <w:sz w:val="18"/>
                <w:szCs w:val="18"/>
                <w:highlight w:val="none"/>
              </w:rPr>
              <w:t>时间的回归</w:t>
            </w:r>
            <w:r>
              <w:rPr>
                <w:rFonts w:hint="eastAsia" w:ascii="楷体" w:hAnsi="楷体" w:eastAsia="楷体" w:cs="Times New Roman"/>
                <w:sz w:val="18"/>
                <w:szCs w:val="18"/>
                <w:highlight w:val="none"/>
              </w:rPr>
              <w:t>的斜率</w:t>
            </w:r>
            <w:r>
              <w:rPr>
                <w:rFonts w:ascii="楷体" w:hAnsi="楷体" w:eastAsia="楷体" w:cs="Times New Roman"/>
                <w:sz w:val="18"/>
                <w:szCs w:val="18"/>
                <w:highlight w:val="none"/>
              </w:rPr>
              <w:t>值，除以平均</w:t>
            </w:r>
            <w:r>
              <w:rPr>
                <w:rFonts w:hint="eastAsia" w:ascii="楷体" w:hAnsi="楷体" w:eastAsia="楷体" w:cs="Times New Roman"/>
                <w:sz w:val="18"/>
                <w:szCs w:val="18"/>
                <w:highlight w:val="none"/>
              </w:rPr>
              <w:t>流通股本</w:t>
            </w:r>
            <w:r>
              <w:rPr>
                <w:rFonts w:ascii="楷体" w:hAnsi="楷体" w:eastAsia="楷体" w:cs="Times New Roman"/>
                <w:sz w:val="18"/>
                <w:szCs w:val="18"/>
                <w:highlight w:val="none"/>
              </w:rPr>
              <w:t>，</w:t>
            </w:r>
            <w:r>
              <w:rPr>
                <w:rFonts w:hint="eastAsia" w:ascii="楷体" w:hAnsi="楷体" w:eastAsia="楷体" w:cs="Times New Roman"/>
                <w:sz w:val="18"/>
                <w:szCs w:val="18"/>
                <w:highlight w:val="none"/>
              </w:rPr>
              <w:t>最后取相反数</w:t>
            </w:r>
          </w:p>
        </w:tc>
      </w:tr>
      <w:tr w14:paraId="25537DD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7AA7FAB2">
            <w:pPr>
              <w:jc w:val="center"/>
              <w:rPr>
                <w:rFonts w:ascii="楷体" w:hAnsi="楷体" w:eastAsia="楷体"/>
                <w:sz w:val="18"/>
                <w:szCs w:val="18"/>
                <w:highlight w:val="none"/>
              </w:rPr>
            </w:pPr>
          </w:p>
        </w:tc>
        <w:tc>
          <w:tcPr>
            <w:tcW w:w="1276" w:type="dxa"/>
            <w:vMerge w:val="continue"/>
            <w:vAlign w:val="center"/>
          </w:tcPr>
          <w:p w14:paraId="58E42588">
            <w:pPr>
              <w:jc w:val="center"/>
              <w:rPr>
                <w:rFonts w:ascii="楷体" w:hAnsi="楷体" w:eastAsia="楷体"/>
                <w:sz w:val="18"/>
                <w:szCs w:val="18"/>
                <w:highlight w:val="none"/>
              </w:rPr>
            </w:pPr>
          </w:p>
        </w:tc>
        <w:tc>
          <w:tcPr>
            <w:tcW w:w="1843" w:type="dxa"/>
            <w:vAlign w:val="center"/>
          </w:tcPr>
          <w:p w14:paraId="3A0FA58C">
            <w:pPr>
              <w:jc w:val="center"/>
              <w:rPr>
                <w:rFonts w:ascii="楷体" w:hAnsi="楷体" w:eastAsia="楷体"/>
                <w:sz w:val="18"/>
                <w:szCs w:val="18"/>
                <w:highlight w:val="none"/>
              </w:rPr>
            </w:pPr>
            <w:r>
              <w:rPr>
                <w:rFonts w:ascii="楷体" w:hAnsi="楷体" w:eastAsia="楷体"/>
                <w:sz w:val="18"/>
                <w:szCs w:val="18"/>
                <w:highlight w:val="none"/>
              </w:rPr>
              <w:t>Capital expenditure growth</w:t>
            </w:r>
          </w:p>
        </w:tc>
        <w:tc>
          <w:tcPr>
            <w:tcW w:w="1145" w:type="dxa"/>
            <w:vAlign w:val="center"/>
          </w:tcPr>
          <w:p w14:paraId="228BA8D3">
            <w:pPr>
              <w:jc w:val="center"/>
              <w:rPr>
                <w:rFonts w:ascii="楷体" w:hAnsi="楷体" w:eastAsia="楷体"/>
                <w:sz w:val="18"/>
                <w:szCs w:val="18"/>
                <w:highlight w:val="none"/>
              </w:rPr>
            </w:pPr>
            <w:r>
              <w:rPr>
                <w:rFonts w:hint="eastAsia" w:ascii="楷体" w:hAnsi="楷体" w:eastAsia="楷体"/>
                <w:sz w:val="18"/>
                <w:szCs w:val="18"/>
                <w:highlight w:val="none"/>
              </w:rPr>
              <w:t>资本支出增长率</w:t>
            </w:r>
          </w:p>
        </w:tc>
        <w:tc>
          <w:tcPr>
            <w:tcW w:w="4950" w:type="dxa"/>
            <w:vAlign w:val="center"/>
          </w:tcPr>
          <w:p w14:paraId="54C32CC9">
            <w:pPr>
              <w:rPr>
                <w:rFonts w:ascii="楷体" w:hAnsi="楷体" w:eastAsia="楷体" w:cs="Times New Roman"/>
                <w:sz w:val="18"/>
                <w:szCs w:val="18"/>
                <w:highlight w:val="none"/>
              </w:rPr>
            </w:pPr>
            <w:r>
              <w:rPr>
                <w:rFonts w:hint="eastAsia" w:ascii="楷体" w:hAnsi="楷体" w:eastAsia="楷体" w:cs="Times New Roman"/>
                <w:sz w:val="18"/>
                <w:szCs w:val="18"/>
                <w:highlight w:val="none"/>
              </w:rPr>
              <w:t>将过去5个财政年度的资本支出对时间的回归的斜率值，除以平均资本支出，最后取相反数</w:t>
            </w:r>
          </w:p>
        </w:tc>
      </w:tr>
      <w:tr w14:paraId="379DE21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993" w:type="dxa"/>
            <w:vMerge w:val="restart"/>
            <w:vAlign w:val="center"/>
          </w:tcPr>
          <w:p w14:paraId="515089D8">
            <w:pPr>
              <w:jc w:val="center"/>
              <w:rPr>
                <w:rFonts w:ascii="楷体" w:hAnsi="楷体" w:eastAsia="楷体"/>
                <w:sz w:val="18"/>
                <w:szCs w:val="18"/>
                <w:highlight w:val="none"/>
              </w:rPr>
            </w:pPr>
            <w:r>
              <w:rPr>
                <w:rFonts w:ascii="楷体" w:hAnsi="楷体" w:eastAsia="楷体"/>
                <w:sz w:val="18"/>
                <w:szCs w:val="18"/>
                <w:highlight w:val="none"/>
              </w:rPr>
              <w:t>Value</w:t>
            </w:r>
          </w:p>
        </w:tc>
        <w:tc>
          <w:tcPr>
            <w:tcW w:w="1276" w:type="dxa"/>
            <w:vAlign w:val="center"/>
          </w:tcPr>
          <w:p w14:paraId="2C565405">
            <w:pPr>
              <w:jc w:val="center"/>
              <w:rPr>
                <w:rFonts w:ascii="楷体" w:hAnsi="楷体" w:eastAsia="楷体"/>
                <w:sz w:val="18"/>
                <w:szCs w:val="18"/>
                <w:highlight w:val="none"/>
              </w:rPr>
            </w:pPr>
            <w:r>
              <w:rPr>
                <w:rFonts w:ascii="楷体" w:hAnsi="楷体" w:eastAsia="楷体"/>
                <w:sz w:val="18"/>
                <w:szCs w:val="18"/>
                <w:highlight w:val="none"/>
              </w:rPr>
              <w:t>BTOP</w:t>
            </w:r>
          </w:p>
        </w:tc>
        <w:tc>
          <w:tcPr>
            <w:tcW w:w="1843" w:type="dxa"/>
            <w:vAlign w:val="center"/>
          </w:tcPr>
          <w:p w14:paraId="1AC9513A">
            <w:pPr>
              <w:jc w:val="center"/>
              <w:rPr>
                <w:rFonts w:ascii="楷体" w:hAnsi="楷体" w:eastAsia="楷体"/>
                <w:sz w:val="18"/>
                <w:szCs w:val="18"/>
                <w:highlight w:val="none"/>
              </w:rPr>
            </w:pPr>
            <w:r>
              <w:rPr>
                <w:rFonts w:ascii="楷体" w:hAnsi="楷体" w:eastAsia="楷体"/>
                <w:sz w:val="18"/>
                <w:szCs w:val="18"/>
                <w:highlight w:val="none"/>
              </w:rPr>
              <w:t>Book to price</w:t>
            </w:r>
          </w:p>
        </w:tc>
        <w:tc>
          <w:tcPr>
            <w:tcW w:w="1145" w:type="dxa"/>
            <w:vAlign w:val="center"/>
          </w:tcPr>
          <w:p w14:paraId="5884A1A3">
            <w:pPr>
              <w:jc w:val="center"/>
              <w:rPr>
                <w:rFonts w:ascii="楷体" w:hAnsi="楷体" w:eastAsia="楷体"/>
                <w:sz w:val="18"/>
                <w:szCs w:val="18"/>
                <w:highlight w:val="none"/>
              </w:rPr>
            </w:pPr>
            <w:r>
              <w:rPr>
                <w:rFonts w:hint="eastAsia" w:ascii="楷体" w:hAnsi="楷体" w:eastAsia="楷体"/>
                <w:sz w:val="18"/>
                <w:szCs w:val="18"/>
                <w:highlight w:val="none"/>
              </w:rPr>
              <w:t>账面市值比</w:t>
            </w:r>
          </w:p>
        </w:tc>
        <w:tc>
          <w:tcPr>
            <w:tcW w:w="4950" w:type="dxa"/>
            <w:vAlign w:val="center"/>
          </w:tcPr>
          <w:p w14:paraId="551699CD">
            <w:pPr>
              <w:rPr>
                <w:rFonts w:ascii="楷体" w:hAnsi="楷体" w:eastAsia="楷体" w:cs="Times New Roman"/>
                <w:sz w:val="18"/>
                <w:szCs w:val="18"/>
                <w:highlight w:val="none"/>
              </w:rPr>
            </w:pPr>
            <w:r>
              <w:rPr>
                <w:rFonts w:hint="eastAsia" w:ascii="楷体" w:hAnsi="楷体" w:eastAsia="楷体" w:cs="Times New Roman"/>
                <w:sz w:val="18"/>
                <w:szCs w:val="18"/>
                <w:highlight w:val="none"/>
              </w:rPr>
              <w:t>将最近报告期的普通股账面价值除以当前市值</w:t>
            </w:r>
          </w:p>
        </w:tc>
      </w:tr>
      <w:tr w14:paraId="702E36C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993" w:type="dxa"/>
            <w:vMerge w:val="continue"/>
            <w:tcBorders/>
            <w:vAlign w:val="center"/>
          </w:tcPr>
          <w:p w14:paraId="393F325E">
            <w:pPr>
              <w:jc w:val="center"/>
              <w:rPr>
                <w:rFonts w:ascii="楷体" w:hAnsi="楷体" w:eastAsia="楷体"/>
                <w:sz w:val="18"/>
                <w:szCs w:val="18"/>
                <w:highlight w:val="none"/>
              </w:rPr>
            </w:pPr>
          </w:p>
        </w:tc>
        <w:tc>
          <w:tcPr>
            <w:tcW w:w="1276" w:type="dxa"/>
            <w:vMerge w:val="restart"/>
            <w:vAlign w:val="center"/>
          </w:tcPr>
          <w:p w14:paraId="3342F097">
            <w:pPr>
              <w:jc w:val="center"/>
              <w:rPr>
                <w:rFonts w:ascii="楷体" w:hAnsi="楷体" w:eastAsia="楷体"/>
                <w:sz w:val="18"/>
                <w:szCs w:val="18"/>
                <w:highlight w:val="none"/>
              </w:rPr>
            </w:pPr>
            <w:r>
              <w:rPr>
                <w:rFonts w:ascii="楷体" w:hAnsi="楷体" w:eastAsia="楷体"/>
                <w:sz w:val="18"/>
                <w:szCs w:val="18"/>
                <w:highlight w:val="none"/>
              </w:rPr>
              <w:t>Earnings Yield</w:t>
            </w:r>
          </w:p>
        </w:tc>
        <w:tc>
          <w:tcPr>
            <w:tcW w:w="1843" w:type="dxa"/>
            <w:vAlign w:val="center"/>
          </w:tcPr>
          <w:p w14:paraId="3667D4F1">
            <w:pPr>
              <w:jc w:val="center"/>
              <w:rPr>
                <w:rFonts w:ascii="楷体" w:hAnsi="楷体" w:eastAsia="楷体"/>
                <w:sz w:val="18"/>
                <w:szCs w:val="18"/>
                <w:highlight w:val="none"/>
              </w:rPr>
            </w:pPr>
            <w:r>
              <w:rPr>
                <w:rFonts w:ascii="楷体" w:hAnsi="楷体" w:eastAsia="楷体"/>
                <w:sz w:val="18"/>
                <w:szCs w:val="18"/>
                <w:highlight w:val="none"/>
              </w:rPr>
              <w:t>Trailing Earnings-to-price Ratio</w:t>
            </w:r>
          </w:p>
        </w:tc>
        <w:tc>
          <w:tcPr>
            <w:tcW w:w="1145" w:type="dxa"/>
            <w:vAlign w:val="center"/>
          </w:tcPr>
          <w:p w14:paraId="4BB570ED">
            <w:pPr>
              <w:jc w:val="center"/>
              <w:rPr>
                <w:rFonts w:ascii="楷体" w:hAnsi="楷体" w:eastAsia="楷体"/>
                <w:sz w:val="18"/>
                <w:szCs w:val="18"/>
                <w:highlight w:val="none"/>
              </w:rPr>
            </w:pPr>
            <w:r>
              <w:rPr>
                <w:rFonts w:hint="eastAsia" w:ascii="楷体" w:hAnsi="楷体" w:eastAsia="楷体"/>
                <w:sz w:val="18"/>
                <w:szCs w:val="18"/>
                <w:highlight w:val="none"/>
              </w:rPr>
              <w:t>EP比</w:t>
            </w:r>
          </w:p>
        </w:tc>
        <w:tc>
          <w:tcPr>
            <w:tcW w:w="4950" w:type="dxa"/>
            <w:vAlign w:val="center"/>
          </w:tcPr>
          <w:p w14:paraId="16C683C3">
            <w:pPr>
              <w:rPr>
                <w:rFonts w:ascii="楷体" w:hAnsi="楷体" w:eastAsia="楷体" w:cs="Times New Roman"/>
                <w:sz w:val="18"/>
                <w:szCs w:val="18"/>
                <w:highlight w:val="none"/>
              </w:rPr>
            </w:pPr>
            <w:r>
              <w:rPr>
                <w:rFonts w:hint="eastAsia" w:ascii="楷体" w:hAnsi="楷体" w:eastAsia="楷体"/>
                <w:sz w:val="18"/>
                <w:szCs w:val="18"/>
                <w:highlight w:val="none"/>
              </w:rPr>
              <w:t>过去12个月的盈利除以当前市值</w:t>
            </w:r>
          </w:p>
        </w:tc>
      </w:tr>
      <w:tr w14:paraId="47CD4E8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993" w:type="dxa"/>
            <w:vMerge w:val="continue"/>
            <w:tcBorders/>
            <w:vAlign w:val="center"/>
          </w:tcPr>
          <w:p w14:paraId="4BCCA6AD">
            <w:pPr>
              <w:jc w:val="center"/>
              <w:rPr>
                <w:sz w:val="18"/>
                <w:szCs w:val="18"/>
                <w:highlight w:val="none"/>
              </w:rPr>
            </w:pPr>
          </w:p>
        </w:tc>
        <w:tc>
          <w:tcPr>
            <w:tcW w:w="1276" w:type="dxa"/>
            <w:vMerge w:val="continue"/>
            <w:vAlign w:val="center"/>
          </w:tcPr>
          <w:p w14:paraId="03E626A4">
            <w:pPr>
              <w:jc w:val="center"/>
              <w:rPr>
                <w:sz w:val="18"/>
                <w:szCs w:val="18"/>
                <w:highlight w:val="none"/>
              </w:rPr>
            </w:pPr>
          </w:p>
        </w:tc>
        <w:tc>
          <w:tcPr>
            <w:tcW w:w="1843" w:type="dxa"/>
            <w:vAlign w:val="center"/>
          </w:tcPr>
          <w:p w14:paraId="5994B884">
            <w:pPr>
              <w:jc w:val="center"/>
              <w:rPr>
                <w:rFonts w:ascii="楷体" w:hAnsi="楷体" w:eastAsia="楷体"/>
                <w:sz w:val="18"/>
                <w:szCs w:val="18"/>
                <w:highlight w:val="none"/>
              </w:rPr>
            </w:pPr>
            <w:r>
              <w:rPr>
                <w:rFonts w:ascii="楷体" w:hAnsi="楷体" w:eastAsia="楷体"/>
                <w:sz w:val="18"/>
                <w:szCs w:val="18"/>
                <w:highlight w:val="none"/>
              </w:rPr>
              <w:t>Analyst-Predicted Earnings-to-Price</w:t>
            </w:r>
          </w:p>
        </w:tc>
        <w:tc>
          <w:tcPr>
            <w:tcW w:w="1145" w:type="dxa"/>
            <w:vAlign w:val="center"/>
          </w:tcPr>
          <w:p w14:paraId="3EB27A74">
            <w:pPr>
              <w:jc w:val="center"/>
              <w:rPr>
                <w:rFonts w:ascii="楷体" w:hAnsi="楷体" w:eastAsia="楷体"/>
                <w:sz w:val="18"/>
                <w:szCs w:val="18"/>
                <w:highlight w:val="none"/>
              </w:rPr>
            </w:pPr>
            <w:r>
              <w:rPr>
                <w:rFonts w:hint="eastAsia" w:ascii="楷体" w:hAnsi="楷体" w:eastAsia="楷体"/>
                <w:sz w:val="18"/>
                <w:szCs w:val="18"/>
                <w:highlight w:val="none"/>
              </w:rPr>
              <w:t>分析师预测EP比</w:t>
            </w:r>
          </w:p>
        </w:tc>
        <w:tc>
          <w:tcPr>
            <w:tcW w:w="4950" w:type="dxa"/>
            <w:vAlign w:val="center"/>
          </w:tcPr>
          <w:p w14:paraId="68DA9D90">
            <w:pPr>
              <w:rPr>
                <w:rFonts w:ascii="楷体" w:hAnsi="楷体" w:eastAsia="楷体"/>
                <w:sz w:val="18"/>
                <w:szCs w:val="18"/>
                <w:highlight w:val="none"/>
              </w:rPr>
            </w:pPr>
            <w:r>
              <w:rPr>
                <w:rFonts w:hint="eastAsia" w:ascii="楷体" w:hAnsi="楷体" w:eastAsia="楷体"/>
                <w:sz w:val="18"/>
                <w:szCs w:val="18"/>
                <w:highlight w:val="none"/>
              </w:rPr>
              <w:t>预测12个月的盈利除以当前市值</w:t>
            </w:r>
          </w:p>
        </w:tc>
      </w:tr>
      <w:tr w14:paraId="20F1483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tcBorders/>
            <w:vAlign w:val="center"/>
          </w:tcPr>
          <w:p w14:paraId="6B506662">
            <w:pPr>
              <w:jc w:val="center"/>
              <w:rPr>
                <w:rFonts w:ascii="楷体" w:hAnsi="楷体" w:eastAsia="楷体"/>
                <w:sz w:val="18"/>
                <w:szCs w:val="18"/>
                <w:highlight w:val="none"/>
              </w:rPr>
            </w:pPr>
          </w:p>
        </w:tc>
        <w:tc>
          <w:tcPr>
            <w:tcW w:w="1276" w:type="dxa"/>
            <w:vMerge w:val="continue"/>
            <w:vAlign w:val="center"/>
          </w:tcPr>
          <w:p w14:paraId="6CB5DB08">
            <w:pPr>
              <w:jc w:val="center"/>
              <w:rPr>
                <w:rFonts w:ascii="楷体" w:hAnsi="楷体" w:eastAsia="楷体"/>
                <w:sz w:val="18"/>
                <w:szCs w:val="18"/>
                <w:highlight w:val="none"/>
              </w:rPr>
            </w:pPr>
          </w:p>
        </w:tc>
        <w:tc>
          <w:tcPr>
            <w:tcW w:w="1843" w:type="dxa"/>
            <w:vAlign w:val="center"/>
          </w:tcPr>
          <w:p w14:paraId="6669625C">
            <w:pPr>
              <w:jc w:val="center"/>
              <w:rPr>
                <w:rFonts w:ascii="楷体" w:hAnsi="楷体" w:eastAsia="楷体"/>
                <w:sz w:val="18"/>
                <w:szCs w:val="18"/>
                <w:highlight w:val="none"/>
              </w:rPr>
            </w:pPr>
            <w:r>
              <w:rPr>
                <w:rFonts w:ascii="楷体" w:hAnsi="楷体" w:eastAsia="楷体"/>
                <w:sz w:val="18"/>
                <w:szCs w:val="18"/>
                <w:highlight w:val="none"/>
              </w:rPr>
              <w:t>Cash</w:t>
            </w:r>
            <w:r>
              <w:rPr>
                <w:rFonts w:hint="eastAsia" w:ascii="楷体" w:hAnsi="楷体" w:eastAsia="楷体"/>
                <w:sz w:val="18"/>
                <w:szCs w:val="18"/>
                <w:highlight w:val="none"/>
              </w:rPr>
              <w:t xml:space="preserve"> </w:t>
            </w:r>
            <w:r>
              <w:rPr>
                <w:rFonts w:ascii="楷体" w:hAnsi="楷体" w:eastAsia="楷体"/>
                <w:sz w:val="18"/>
                <w:szCs w:val="18"/>
                <w:highlight w:val="none"/>
              </w:rPr>
              <w:t>earnings to price</w:t>
            </w:r>
          </w:p>
        </w:tc>
        <w:tc>
          <w:tcPr>
            <w:tcW w:w="1145" w:type="dxa"/>
            <w:vAlign w:val="center"/>
          </w:tcPr>
          <w:p w14:paraId="10AEEBA1">
            <w:pPr>
              <w:jc w:val="center"/>
              <w:rPr>
                <w:rFonts w:ascii="楷体" w:hAnsi="楷体" w:eastAsia="楷体"/>
                <w:sz w:val="18"/>
                <w:szCs w:val="18"/>
                <w:highlight w:val="none"/>
              </w:rPr>
            </w:pPr>
            <w:r>
              <w:rPr>
                <w:rFonts w:hint="eastAsia" w:ascii="楷体" w:hAnsi="楷体" w:eastAsia="楷体"/>
                <w:sz w:val="18"/>
                <w:szCs w:val="18"/>
                <w:highlight w:val="none"/>
              </w:rPr>
              <w:t>现金盈利价格比</w:t>
            </w:r>
          </w:p>
        </w:tc>
        <w:tc>
          <w:tcPr>
            <w:tcW w:w="4950" w:type="dxa"/>
            <w:vAlign w:val="center"/>
          </w:tcPr>
          <w:p w14:paraId="3A1E0BFC">
            <w:pPr>
              <w:rPr>
                <w:sz w:val="18"/>
                <w:szCs w:val="18"/>
                <w:highlight w:val="none"/>
              </w:rPr>
            </w:pPr>
            <w:r>
              <w:rPr>
                <w:rFonts w:hint="eastAsia" w:ascii="楷体" w:hAnsi="楷体" w:eastAsia="楷体"/>
                <w:sz w:val="18"/>
                <w:szCs w:val="18"/>
                <w:highlight w:val="none"/>
              </w:rPr>
              <w:t>过去12个月的现金盈利除以当前市值</w:t>
            </w:r>
          </w:p>
        </w:tc>
      </w:tr>
      <w:tr w14:paraId="4A9C254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tcBorders/>
            <w:vAlign w:val="center"/>
          </w:tcPr>
          <w:p w14:paraId="23FE045A">
            <w:pPr>
              <w:jc w:val="center"/>
              <w:rPr>
                <w:rFonts w:ascii="楷体" w:hAnsi="楷体" w:eastAsia="楷体"/>
                <w:sz w:val="18"/>
                <w:szCs w:val="18"/>
                <w:highlight w:val="none"/>
              </w:rPr>
            </w:pPr>
          </w:p>
        </w:tc>
        <w:tc>
          <w:tcPr>
            <w:tcW w:w="1276" w:type="dxa"/>
            <w:vMerge w:val="continue"/>
            <w:vAlign w:val="center"/>
          </w:tcPr>
          <w:p w14:paraId="40847F31">
            <w:pPr>
              <w:jc w:val="center"/>
              <w:rPr>
                <w:rFonts w:ascii="楷体" w:hAnsi="楷体" w:eastAsia="楷体"/>
                <w:sz w:val="18"/>
                <w:szCs w:val="18"/>
                <w:highlight w:val="none"/>
              </w:rPr>
            </w:pPr>
          </w:p>
        </w:tc>
        <w:tc>
          <w:tcPr>
            <w:tcW w:w="1843" w:type="dxa"/>
            <w:vAlign w:val="center"/>
          </w:tcPr>
          <w:p w14:paraId="22641412">
            <w:pPr>
              <w:jc w:val="center"/>
              <w:rPr>
                <w:rFonts w:ascii="楷体" w:hAnsi="楷体" w:eastAsia="楷体"/>
                <w:sz w:val="18"/>
                <w:szCs w:val="18"/>
                <w:highlight w:val="none"/>
              </w:rPr>
            </w:pPr>
            <w:r>
              <w:rPr>
                <w:rFonts w:ascii="楷体" w:hAnsi="楷体" w:eastAsia="楷体"/>
                <w:sz w:val="18"/>
                <w:szCs w:val="18"/>
                <w:highlight w:val="none"/>
              </w:rPr>
              <w:t>Enterprise multiple (Ebit to Ev)</w:t>
            </w:r>
          </w:p>
        </w:tc>
        <w:tc>
          <w:tcPr>
            <w:tcW w:w="1145" w:type="dxa"/>
            <w:vAlign w:val="center"/>
          </w:tcPr>
          <w:p w14:paraId="53265138">
            <w:pPr>
              <w:jc w:val="center"/>
              <w:rPr>
                <w:rFonts w:ascii="楷体" w:hAnsi="楷体" w:eastAsia="楷体"/>
                <w:sz w:val="18"/>
                <w:szCs w:val="18"/>
                <w:highlight w:val="none"/>
              </w:rPr>
            </w:pPr>
            <w:r>
              <w:rPr>
                <w:rFonts w:hint="eastAsia" w:ascii="楷体" w:hAnsi="楷体" w:eastAsia="楷体"/>
                <w:sz w:val="18"/>
                <w:szCs w:val="18"/>
                <w:highlight w:val="none"/>
              </w:rPr>
              <w:t>企业价值倍数的倒数</w:t>
            </w:r>
          </w:p>
        </w:tc>
        <w:tc>
          <w:tcPr>
            <w:tcW w:w="4950" w:type="dxa"/>
            <w:vAlign w:val="center"/>
          </w:tcPr>
          <w:p w14:paraId="7723771D">
            <w:pPr>
              <w:rPr>
                <w:rFonts w:eastAsia="楷体"/>
                <w:sz w:val="18"/>
                <w:szCs w:val="18"/>
                <w:highlight w:val="none"/>
              </w:rPr>
            </w:pPr>
            <w:r>
              <w:rPr>
                <w:rFonts w:hint="eastAsia" w:ascii="楷体" w:hAnsi="楷体" w:eastAsia="楷体"/>
                <w:sz w:val="18"/>
                <w:szCs w:val="18"/>
                <w:highlight w:val="none"/>
              </w:rPr>
              <w:t>上一财政年度的息税前利润（EBIT）除以当前企业价值（EV）</w:t>
            </w:r>
          </w:p>
        </w:tc>
      </w:tr>
      <w:tr w14:paraId="5DAD9A8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tcBorders/>
            <w:vAlign w:val="center"/>
          </w:tcPr>
          <w:p w14:paraId="6C61D860">
            <w:pPr>
              <w:jc w:val="center"/>
              <w:rPr>
                <w:rFonts w:ascii="楷体" w:hAnsi="楷体" w:eastAsia="楷体"/>
                <w:sz w:val="18"/>
                <w:szCs w:val="18"/>
                <w:highlight w:val="none"/>
              </w:rPr>
            </w:pPr>
          </w:p>
        </w:tc>
        <w:tc>
          <w:tcPr>
            <w:tcW w:w="1276" w:type="dxa"/>
            <w:vMerge w:val="restart"/>
            <w:vAlign w:val="center"/>
          </w:tcPr>
          <w:p w14:paraId="54CF604E">
            <w:pPr>
              <w:jc w:val="center"/>
              <w:rPr>
                <w:rFonts w:ascii="楷体" w:hAnsi="楷体" w:eastAsia="楷体"/>
                <w:sz w:val="18"/>
                <w:szCs w:val="18"/>
                <w:highlight w:val="none"/>
              </w:rPr>
            </w:pPr>
            <w:r>
              <w:rPr>
                <w:rFonts w:ascii="楷体" w:hAnsi="楷体" w:eastAsia="楷体"/>
                <w:sz w:val="18"/>
                <w:szCs w:val="18"/>
                <w:highlight w:val="none"/>
              </w:rPr>
              <w:t>Long Term reversal</w:t>
            </w:r>
          </w:p>
        </w:tc>
        <w:tc>
          <w:tcPr>
            <w:tcW w:w="1843" w:type="dxa"/>
            <w:vAlign w:val="center"/>
          </w:tcPr>
          <w:p w14:paraId="2DA2BC44">
            <w:pPr>
              <w:jc w:val="center"/>
              <w:rPr>
                <w:rFonts w:ascii="楷体" w:hAnsi="楷体" w:eastAsia="楷体"/>
                <w:sz w:val="18"/>
                <w:szCs w:val="18"/>
                <w:highlight w:val="none"/>
              </w:rPr>
            </w:pPr>
            <w:r>
              <w:rPr>
                <w:rFonts w:ascii="楷体" w:hAnsi="楷体" w:eastAsia="楷体"/>
                <w:sz w:val="18"/>
                <w:szCs w:val="18"/>
                <w:highlight w:val="none"/>
              </w:rPr>
              <w:t>Long term relative strength</w:t>
            </w:r>
          </w:p>
        </w:tc>
        <w:tc>
          <w:tcPr>
            <w:tcW w:w="1145" w:type="dxa"/>
            <w:vAlign w:val="center"/>
          </w:tcPr>
          <w:p w14:paraId="7A44FD40">
            <w:pPr>
              <w:jc w:val="center"/>
              <w:rPr>
                <w:rFonts w:ascii="楷体" w:hAnsi="楷体" w:eastAsia="楷体"/>
                <w:sz w:val="18"/>
                <w:szCs w:val="18"/>
                <w:highlight w:val="none"/>
              </w:rPr>
            </w:pPr>
            <w:r>
              <w:rPr>
                <w:rFonts w:hint="eastAsia" w:ascii="楷体" w:hAnsi="楷体" w:eastAsia="楷体"/>
                <w:sz w:val="18"/>
                <w:szCs w:val="18"/>
                <w:highlight w:val="none"/>
              </w:rPr>
              <w:t>长期相对强度</w:t>
            </w:r>
          </w:p>
        </w:tc>
        <w:tc>
          <w:tcPr>
            <w:tcW w:w="4950" w:type="dxa"/>
            <w:vAlign w:val="center"/>
          </w:tcPr>
          <w:p w14:paraId="32EF655C">
            <w:pPr>
              <w:rPr>
                <w:rFonts w:ascii="楷体" w:hAnsi="楷体" w:eastAsia="楷体" w:cs="Times New Roman"/>
                <w:sz w:val="18"/>
                <w:szCs w:val="18"/>
                <w:highlight w:val="none"/>
              </w:rPr>
            </w:pPr>
            <w:r>
              <w:rPr>
                <w:rFonts w:hint="eastAsia" w:ascii="楷体" w:hAnsi="楷体" w:eastAsia="楷体" w:cs="Times New Roman"/>
                <w:sz w:val="18"/>
                <w:szCs w:val="18"/>
                <w:highlight w:val="none"/>
              </w:rPr>
              <w:t>（1）计算非滞后的长期相对强度：对股票对数收益率进行加权求和，时间窗口1040个交易日，半衰期260个交易日</w:t>
            </w:r>
          </w:p>
          <w:p w14:paraId="350E54AB">
            <w:pPr>
              <w:rPr>
                <w:sz w:val="18"/>
                <w:szCs w:val="18"/>
                <w:highlight w:val="none"/>
              </w:rPr>
            </w:pPr>
            <w:r>
              <w:rPr>
                <w:rFonts w:hint="eastAsia" w:ascii="楷体" w:hAnsi="楷体" w:eastAsia="楷体" w:cs="Times New Roman"/>
                <w:sz w:val="18"/>
                <w:szCs w:val="18"/>
                <w:highlight w:val="none"/>
              </w:rPr>
              <w:t>（2）滞后273个交易日，在11个交易日的时间窗口内取非滞后值等权平均值，最后取相反数</w:t>
            </w:r>
          </w:p>
        </w:tc>
      </w:tr>
      <w:tr w14:paraId="0210DA6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tcBorders/>
            <w:vAlign w:val="center"/>
          </w:tcPr>
          <w:p w14:paraId="119E81C8">
            <w:pPr>
              <w:jc w:val="center"/>
              <w:rPr>
                <w:rFonts w:ascii="楷体" w:hAnsi="楷体" w:eastAsia="楷体"/>
                <w:sz w:val="18"/>
                <w:szCs w:val="18"/>
                <w:highlight w:val="none"/>
              </w:rPr>
            </w:pPr>
          </w:p>
        </w:tc>
        <w:tc>
          <w:tcPr>
            <w:tcW w:w="1276" w:type="dxa"/>
            <w:vMerge w:val="continue"/>
            <w:vAlign w:val="center"/>
          </w:tcPr>
          <w:p w14:paraId="6A531F2F">
            <w:pPr>
              <w:jc w:val="center"/>
              <w:rPr>
                <w:rFonts w:ascii="楷体" w:hAnsi="楷体" w:eastAsia="楷体"/>
                <w:sz w:val="18"/>
                <w:szCs w:val="18"/>
                <w:highlight w:val="none"/>
              </w:rPr>
            </w:pPr>
          </w:p>
        </w:tc>
        <w:tc>
          <w:tcPr>
            <w:tcW w:w="1843" w:type="dxa"/>
            <w:vAlign w:val="center"/>
          </w:tcPr>
          <w:p w14:paraId="09F0023E">
            <w:pPr>
              <w:jc w:val="center"/>
              <w:rPr>
                <w:rFonts w:ascii="楷体" w:hAnsi="楷体" w:eastAsia="楷体"/>
                <w:sz w:val="18"/>
                <w:szCs w:val="18"/>
                <w:highlight w:val="none"/>
              </w:rPr>
            </w:pPr>
            <w:r>
              <w:rPr>
                <w:rFonts w:ascii="楷体" w:hAnsi="楷体" w:eastAsia="楷体"/>
                <w:sz w:val="18"/>
                <w:szCs w:val="18"/>
                <w:highlight w:val="none"/>
              </w:rPr>
              <w:t>Long term historical alpha</w:t>
            </w:r>
          </w:p>
        </w:tc>
        <w:tc>
          <w:tcPr>
            <w:tcW w:w="1145" w:type="dxa"/>
            <w:vAlign w:val="center"/>
          </w:tcPr>
          <w:p w14:paraId="3E959F05">
            <w:pPr>
              <w:jc w:val="center"/>
              <w:rPr>
                <w:rFonts w:ascii="楷体" w:hAnsi="楷体" w:eastAsia="楷体"/>
                <w:sz w:val="18"/>
                <w:szCs w:val="18"/>
                <w:highlight w:val="none"/>
              </w:rPr>
            </w:pPr>
            <w:r>
              <w:rPr>
                <w:rFonts w:hint="eastAsia" w:ascii="楷体" w:hAnsi="楷体" w:eastAsia="楷体"/>
                <w:sz w:val="18"/>
                <w:szCs w:val="18"/>
                <w:highlight w:val="none"/>
              </w:rPr>
              <w:t>长期历史Alpha</w:t>
            </w:r>
          </w:p>
        </w:tc>
        <w:tc>
          <w:tcPr>
            <w:tcW w:w="4950" w:type="dxa"/>
            <w:vAlign w:val="center"/>
          </w:tcPr>
          <w:p w14:paraId="3FF4C3EA">
            <w:pPr>
              <w:rPr>
                <w:rFonts w:ascii="楷体" w:hAnsi="楷体" w:eastAsia="楷体" w:cs="Times New Roman"/>
                <w:sz w:val="18"/>
                <w:szCs w:val="18"/>
                <w:highlight w:val="none"/>
              </w:rPr>
            </w:pPr>
            <w:r>
              <w:rPr>
                <w:rFonts w:hint="eastAsia" w:ascii="楷体" w:hAnsi="楷体" w:eastAsia="楷体" w:cs="Times New Roman"/>
                <w:sz w:val="18"/>
                <w:szCs w:val="18"/>
                <w:highlight w:val="none"/>
              </w:rPr>
              <w:t>（1）计算非滞后的长期历史Alpha：取CAP</w:t>
            </w:r>
            <w:r>
              <w:rPr>
                <w:rFonts w:ascii="楷体" w:hAnsi="楷体" w:eastAsia="楷体" w:cs="Times New Roman"/>
                <w:sz w:val="18"/>
                <w:szCs w:val="18"/>
                <w:highlight w:val="none"/>
              </w:rPr>
              <w:t>M</w:t>
            </w:r>
            <w:r>
              <w:rPr>
                <w:rFonts w:hint="eastAsia" w:ascii="楷体" w:hAnsi="楷体" w:eastAsia="楷体" w:cs="Times New Roman"/>
                <w:sz w:val="18"/>
                <w:szCs w:val="18"/>
                <w:highlight w:val="none"/>
              </w:rPr>
              <w:t>回归（见BETA）的截距项，时间窗口1040个交易日，半衰期260个交易日</w:t>
            </w:r>
          </w:p>
          <w:p w14:paraId="319D9516">
            <w:pPr>
              <w:rPr>
                <w:rFonts w:ascii="楷体" w:hAnsi="楷体" w:eastAsia="楷体" w:cs="Times New Roman"/>
                <w:sz w:val="18"/>
                <w:szCs w:val="18"/>
                <w:highlight w:val="none"/>
              </w:rPr>
            </w:pPr>
            <w:r>
              <w:rPr>
                <w:rFonts w:hint="eastAsia" w:ascii="楷体" w:hAnsi="楷体" w:eastAsia="楷体" w:cs="Times New Roman"/>
                <w:sz w:val="18"/>
                <w:szCs w:val="18"/>
                <w:highlight w:val="none"/>
              </w:rPr>
              <w:t>（2）滞后273个交易日，在11个交易日的时间窗口内取非滞后值等权平均值，最后取相反数</w:t>
            </w:r>
          </w:p>
        </w:tc>
      </w:tr>
      <w:tr w14:paraId="5C4B3DB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restart"/>
            <w:vAlign w:val="center"/>
          </w:tcPr>
          <w:p w14:paraId="1FA3135D">
            <w:pPr>
              <w:jc w:val="center"/>
              <w:rPr>
                <w:rFonts w:ascii="楷体" w:hAnsi="楷体" w:eastAsia="楷体"/>
                <w:sz w:val="18"/>
                <w:szCs w:val="18"/>
                <w:highlight w:val="none"/>
              </w:rPr>
            </w:pPr>
            <w:r>
              <w:rPr>
                <w:rFonts w:ascii="楷体" w:hAnsi="楷体" w:eastAsia="楷体"/>
                <w:sz w:val="18"/>
                <w:szCs w:val="18"/>
                <w:highlight w:val="none"/>
              </w:rPr>
              <w:t>Growth</w:t>
            </w:r>
          </w:p>
        </w:tc>
        <w:tc>
          <w:tcPr>
            <w:tcW w:w="1276" w:type="dxa"/>
            <w:vMerge w:val="restart"/>
            <w:vAlign w:val="center"/>
          </w:tcPr>
          <w:p w14:paraId="1D0CCC1E">
            <w:pPr>
              <w:jc w:val="center"/>
              <w:rPr>
                <w:rFonts w:ascii="楷体" w:hAnsi="楷体" w:eastAsia="楷体"/>
                <w:sz w:val="18"/>
                <w:szCs w:val="18"/>
                <w:highlight w:val="none"/>
              </w:rPr>
            </w:pPr>
            <w:r>
              <w:rPr>
                <w:rFonts w:ascii="楷体" w:hAnsi="楷体" w:eastAsia="楷体"/>
                <w:sz w:val="18"/>
                <w:szCs w:val="18"/>
                <w:highlight w:val="none"/>
              </w:rPr>
              <w:t>Growth</w:t>
            </w:r>
          </w:p>
        </w:tc>
        <w:tc>
          <w:tcPr>
            <w:tcW w:w="1843" w:type="dxa"/>
            <w:vAlign w:val="center"/>
          </w:tcPr>
          <w:p w14:paraId="17B2C3FA">
            <w:pPr>
              <w:jc w:val="center"/>
              <w:rPr>
                <w:rFonts w:ascii="楷体" w:hAnsi="楷体" w:eastAsia="楷体"/>
                <w:sz w:val="18"/>
                <w:szCs w:val="18"/>
                <w:highlight w:val="none"/>
              </w:rPr>
            </w:pPr>
            <w:r>
              <w:rPr>
                <w:rFonts w:ascii="楷体" w:hAnsi="楷体" w:eastAsia="楷体"/>
                <w:sz w:val="18"/>
                <w:szCs w:val="18"/>
                <w:highlight w:val="none"/>
              </w:rPr>
              <w:t>Predicted growth 3 year</w:t>
            </w:r>
          </w:p>
        </w:tc>
        <w:tc>
          <w:tcPr>
            <w:tcW w:w="1145" w:type="dxa"/>
            <w:vAlign w:val="center"/>
          </w:tcPr>
          <w:p w14:paraId="44D111A4">
            <w:pPr>
              <w:jc w:val="center"/>
              <w:rPr>
                <w:rFonts w:ascii="楷体" w:hAnsi="楷体" w:eastAsia="楷体"/>
                <w:sz w:val="18"/>
                <w:szCs w:val="18"/>
                <w:highlight w:val="none"/>
              </w:rPr>
            </w:pPr>
            <w:r>
              <w:rPr>
                <w:rFonts w:hint="eastAsia" w:ascii="楷体" w:hAnsi="楷体" w:eastAsia="楷体"/>
                <w:sz w:val="18"/>
                <w:szCs w:val="18"/>
                <w:highlight w:val="none"/>
              </w:rPr>
              <w:t>分析师预测长期盈利增长率</w:t>
            </w:r>
          </w:p>
        </w:tc>
        <w:tc>
          <w:tcPr>
            <w:tcW w:w="4950" w:type="dxa"/>
            <w:vAlign w:val="center"/>
          </w:tcPr>
          <w:p w14:paraId="335ABD11">
            <w:pPr>
              <w:rPr>
                <w:rFonts w:ascii="楷体" w:hAnsi="楷体" w:eastAsia="楷体" w:cs="Times New Roman"/>
                <w:sz w:val="18"/>
                <w:szCs w:val="18"/>
                <w:highlight w:val="none"/>
              </w:rPr>
            </w:pPr>
            <w:r>
              <w:rPr>
                <w:rFonts w:hint="eastAsia" w:ascii="楷体" w:hAnsi="楷体" w:eastAsia="楷体" w:cs="Times New Roman"/>
                <w:sz w:val="18"/>
                <w:szCs w:val="18"/>
                <w:highlight w:val="none"/>
              </w:rPr>
              <w:t>分析师预测的长期（</w:t>
            </w:r>
            <w:r>
              <w:rPr>
                <w:rFonts w:ascii="楷体" w:hAnsi="楷体" w:eastAsia="楷体" w:cs="Times New Roman"/>
                <w:sz w:val="18"/>
                <w:szCs w:val="18"/>
                <w:highlight w:val="none"/>
              </w:rPr>
              <w:t>3-5）年利润增长率</w:t>
            </w:r>
          </w:p>
        </w:tc>
      </w:tr>
      <w:tr w14:paraId="6ED56BE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417FFCC7">
            <w:pPr>
              <w:jc w:val="center"/>
              <w:rPr>
                <w:rFonts w:ascii="楷体" w:hAnsi="楷体" w:eastAsia="楷体"/>
                <w:sz w:val="18"/>
                <w:szCs w:val="18"/>
                <w:highlight w:val="none"/>
              </w:rPr>
            </w:pPr>
          </w:p>
        </w:tc>
        <w:tc>
          <w:tcPr>
            <w:tcW w:w="1276" w:type="dxa"/>
            <w:vMerge w:val="continue"/>
            <w:vAlign w:val="center"/>
          </w:tcPr>
          <w:p w14:paraId="3200D776">
            <w:pPr>
              <w:jc w:val="center"/>
              <w:rPr>
                <w:rFonts w:ascii="楷体" w:hAnsi="楷体" w:eastAsia="楷体"/>
                <w:sz w:val="18"/>
                <w:szCs w:val="18"/>
                <w:highlight w:val="none"/>
              </w:rPr>
            </w:pPr>
          </w:p>
        </w:tc>
        <w:tc>
          <w:tcPr>
            <w:tcW w:w="1843" w:type="dxa"/>
            <w:vAlign w:val="center"/>
          </w:tcPr>
          <w:p w14:paraId="7C64A6EE">
            <w:pPr>
              <w:jc w:val="center"/>
              <w:rPr>
                <w:rFonts w:ascii="楷体" w:hAnsi="楷体" w:eastAsia="楷体"/>
                <w:sz w:val="18"/>
                <w:szCs w:val="18"/>
                <w:highlight w:val="none"/>
              </w:rPr>
            </w:pPr>
            <w:r>
              <w:rPr>
                <w:rFonts w:ascii="楷体" w:hAnsi="楷体" w:eastAsia="楷体"/>
                <w:sz w:val="18"/>
                <w:szCs w:val="18"/>
                <w:highlight w:val="none"/>
              </w:rPr>
              <w:t>Historical earnings per share growth rate</w:t>
            </w:r>
          </w:p>
        </w:tc>
        <w:tc>
          <w:tcPr>
            <w:tcW w:w="1145" w:type="dxa"/>
            <w:vAlign w:val="center"/>
          </w:tcPr>
          <w:p w14:paraId="74278AAF">
            <w:pPr>
              <w:jc w:val="center"/>
              <w:rPr>
                <w:rFonts w:ascii="楷体" w:hAnsi="楷体" w:eastAsia="楷体"/>
                <w:sz w:val="18"/>
                <w:szCs w:val="18"/>
                <w:highlight w:val="none"/>
              </w:rPr>
            </w:pPr>
            <w:r>
              <w:rPr>
                <w:rFonts w:hint="eastAsia" w:ascii="楷体" w:hAnsi="楷体" w:eastAsia="楷体"/>
                <w:sz w:val="18"/>
                <w:szCs w:val="18"/>
                <w:highlight w:val="none"/>
              </w:rPr>
              <w:t>每股收益增长率</w:t>
            </w:r>
          </w:p>
        </w:tc>
        <w:tc>
          <w:tcPr>
            <w:tcW w:w="4950" w:type="dxa"/>
            <w:vAlign w:val="center"/>
          </w:tcPr>
          <w:p w14:paraId="126E0D3D">
            <w:pPr>
              <w:rPr>
                <w:rFonts w:ascii="楷体" w:hAnsi="楷体" w:eastAsia="楷体" w:cs="Times New Roman"/>
                <w:sz w:val="18"/>
                <w:szCs w:val="18"/>
                <w:highlight w:val="none"/>
              </w:rPr>
            </w:pPr>
            <w:r>
              <w:rPr>
                <w:rFonts w:hint="eastAsia" w:ascii="楷体" w:hAnsi="楷体" w:eastAsia="楷体" w:cs="Times New Roman"/>
                <w:sz w:val="18"/>
                <w:szCs w:val="18"/>
                <w:highlight w:val="none"/>
              </w:rPr>
              <w:t>过去5个财政年度的每股收益对时间回归的斜率除以平均每股年收益</w:t>
            </w:r>
          </w:p>
        </w:tc>
      </w:tr>
      <w:tr w14:paraId="424A66A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578B2C25">
            <w:pPr>
              <w:jc w:val="center"/>
              <w:rPr>
                <w:rFonts w:ascii="楷体" w:hAnsi="楷体" w:eastAsia="楷体"/>
                <w:sz w:val="18"/>
                <w:szCs w:val="18"/>
                <w:highlight w:val="none"/>
              </w:rPr>
            </w:pPr>
          </w:p>
        </w:tc>
        <w:tc>
          <w:tcPr>
            <w:tcW w:w="1276" w:type="dxa"/>
            <w:vMerge w:val="continue"/>
            <w:vAlign w:val="center"/>
          </w:tcPr>
          <w:p w14:paraId="4677E257">
            <w:pPr>
              <w:jc w:val="center"/>
              <w:rPr>
                <w:rFonts w:ascii="楷体" w:hAnsi="楷体" w:eastAsia="楷体"/>
                <w:sz w:val="18"/>
                <w:szCs w:val="18"/>
                <w:highlight w:val="none"/>
              </w:rPr>
            </w:pPr>
          </w:p>
        </w:tc>
        <w:tc>
          <w:tcPr>
            <w:tcW w:w="1843" w:type="dxa"/>
            <w:vAlign w:val="center"/>
          </w:tcPr>
          <w:p w14:paraId="05362E77">
            <w:pPr>
              <w:jc w:val="center"/>
              <w:rPr>
                <w:rFonts w:ascii="楷体" w:hAnsi="楷体" w:eastAsia="楷体"/>
                <w:sz w:val="18"/>
                <w:szCs w:val="18"/>
                <w:highlight w:val="none"/>
              </w:rPr>
            </w:pPr>
            <w:r>
              <w:rPr>
                <w:rFonts w:ascii="楷体" w:hAnsi="楷体" w:eastAsia="楷体"/>
                <w:sz w:val="18"/>
                <w:szCs w:val="18"/>
                <w:highlight w:val="none"/>
              </w:rPr>
              <w:t>Historical sales per share growth rate</w:t>
            </w:r>
          </w:p>
        </w:tc>
        <w:tc>
          <w:tcPr>
            <w:tcW w:w="1145" w:type="dxa"/>
            <w:vAlign w:val="center"/>
          </w:tcPr>
          <w:p w14:paraId="4F8D97DC">
            <w:pPr>
              <w:jc w:val="center"/>
              <w:rPr>
                <w:rFonts w:ascii="楷体" w:hAnsi="楷体" w:eastAsia="楷体"/>
                <w:sz w:val="18"/>
                <w:szCs w:val="18"/>
                <w:highlight w:val="none"/>
              </w:rPr>
            </w:pPr>
            <w:r>
              <w:rPr>
                <w:rFonts w:hint="eastAsia" w:ascii="楷体" w:hAnsi="楷体" w:eastAsia="楷体"/>
                <w:sz w:val="18"/>
                <w:szCs w:val="18"/>
                <w:highlight w:val="none"/>
              </w:rPr>
              <w:t>每股营业收入增长率</w:t>
            </w:r>
          </w:p>
        </w:tc>
        <w:tc>
          <w:tcPr>
            <w:tcW w:w="4950" w:type="dxa"/>
            <w:vAlign w:val="center"/>
          </w:tcPr>
          <w:p w14:paraId="1AE4C09B">
            <w:pPr>
              <w:rPr>
                <w:rFonts w:ascii="楷体" w:hAnsi="楷体" w:eastAsia="楷体" w:cs="Times New Roman"/>
                <w:sz w:val="18"/>
                <w:szCs w:val="18"/>
                <w:highlight w:val="none"/>
              </w:rPr>
            </w:pPr>
            <w:r>
              <w:rPr>
                <w:rFonts w:hint="eastAsia" w:ascii="楷体" w:hAnsi="楷体" w:eastAsia="楷体" w:cs="Times New Roman"/>
                <w:sz w:val="18"/>
                <w:szCs w:val="18"/>
                <w:highlight w:val="none"/>
              </w:rPr>
              <w:t>过去5个财政年度的每股年营业收入对时间回归斜率除以平均</w:t>
            </w:r>
            <w:r>
              <w:rPr>
                <w:rFonts w:hint="eastAsia" w:ascii="楷体" w:hAnsi="楷体" w:eastAsia="楷体"/>
                <w:sz w:val="18"/>
                <w:szCs w:val="18"/>
                <w:highlight w:val="none"/>
              </w:rPr>
              <w:t>每股年营业收入</w:t>
            </w:r>
          </w:p>
        </w:tc>
      </w:tr>
      <w:tr w14:paraId="5CE673A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restart"/>
            <w:vAlign w:val="center"/>
          </w:tcPr>
          <w:p w14:paraId="0EE9661E">
            <w:pPr>
              <w:jc w:val="center"/>
              <w:rPr>
                <w:rFonts w:ascii="楷体" w:hAnsi="楷体" w:eastAsia="楷体"/>
                <w:sz w:val="18"/>
                <w:szCs w:val="18"/>
                <w:highlight w:val="none"/>
              </w:rPr>
            </w:pPr>
            <w:r>
              <w:rPr>
                <w:rFonts w:ascii="楷体" w:hAnsi="楷体" w:eastAsia="楷体"/>
                <w:sz w:val="18"/>
                <w:szCs w:val="18"/>
                <w:highlight w:val="none"/>
              </w:rPr>
              <w:t>Sentiment</w:t>
            </w:r>
          </w:p>
        </w:tc>
        <w:tc>
          <w:tcPr>
            <w:tcW w:w="1276" w:type="dxa"/>
            <w:vMerge w:val="restart"/>
            <w:vAlign w:val="center"/>
          </w:tcPr>
          <w:p w14:paraId="430DFBC4">
            <w:pPr>
              <w:jc w:val="center"/>
              <w:rPr>
                <w:rFonts w:ascii="楷体" w:hAnsi="楷体" w:eastAsia="楷体"/>
                <w:sz w:val="18"/>
                <w:szCs w:val="18"/>
                <w:highlight w:val="none"/>
              </w:rPr>
            </w:pPr>
            <w:r>
              <w:rPr>
                <w:rFonts w:ascii="楷体" w:hAnsi="楷体" w:eastAsia="楷体"/>
                <w:sz w:val="18"/>
                <w:szCs w:val="18"/>
                <w:highlight w:val="none"/>
              </w:rPr>
              <w:t>Sentiment</w:t>
            </w:r>
          </w:p>
        </w:tc>
        <w:tc>
          <w:tcPr>
            <w:tcW w:w="1843" w:type="dxa"/>
            <w:vAlign w:val="center"/>
          </w:tcPr>
          <w:p w14:paraId="4713C4E0">
            <w:pPr>
              <w:jc w:val="center"/>
              <w:rPr>
                <w:rFonts w:ascii="楷体" w:hAnsi="楷体" w:eastAsia="楷体"/>
                <w:sz w:val="18"/>
                <w:szCs w:val="18"/>
                <w:highlight w:val="none"/>
              </w:rPr>
            </w:pPr>
            <w:r>
              <w:rPr>
                <w:rFonts w:ascii="楷体" w:hAnsi="楷体" w:eastAsia="楷体"/>
                <w:sz w:val="18"/>
                <w:szCs w:val="18"/>
                <w:highlight w:val="none"/>
              </w:rPr>
              <w:t>Revision ratio</w:t>
            </w:r>
          </w:p>
        </w:tc>
        <w:tc>
          <w:tcPr>
            <w:tcW w:w="1145" w:type="dxa"/>
            <w:vAlign w:val="center"/>
          </w:tcPr>
          <w:p w14:paraId="18228B4A">
            <w:pPr>
              <w:jc w:val="center"/>
              <w:rPr>
                <w:rFonts w:ascii="楷体" w:hAnsi="楷体" w:eastAsia="楷体"/>
                <w:sz w:val="18"/>
                <w:szCs w:val="18"/>
                <w:highlight w:val="none"/>
              </w:rPr>
            </w:pPr>
            <w:r>
              <w:rPr>
                <w:rFonts w:hint="eastAsia" w:ascii="楷体" w:hAnsi="楷体" w:eastAsia="楷体"/>
                <w:sz w:val="18"/>
                <w:szCs w:val="18"/>
                <w:highlight w:val="none"/>
              </w:rPr>
              <w:t>调整比率</w:t>
            </w:r>
          </w:p>
        </w:tc>
        <w:tc>
          <w:tcPr>
            <w:tcW w:w="4950" w:type="dxa"/>
            <w:vAlign w:val="center"/>
          </w:tcPr>
          <w:p w14:paraId="54E3937A">
            <w:pPr>
              <w:rPr>
                <w:rFonts w:ascii="楷体" w:hAnsi="楷体" w:eastAsia="楷体" w:cs="Times New Roman"/>
                <w:sz w:val="18"/>
                <w:szCs w:val="18"/>
                <w:highlight w:val="none"/>
              </w:rPr>
            </w:pPr>
            <w:r>
              <w:rPr>
                <w:rFonts w:hint="eastAsia" w:ascii="楷体" w:hAnsi="楷体" w:eastAsia="楷体" w:cs="Times New Roman"/>
                <w:sz w:val="18"/>
                <w:szCs w:val="18"/>
                <w:highlight w:val="none"/>
              </w:rPr>
              <w:t>分析师调整比率的每月变动，定义为向上调整次数减去向下调整次数，除以总的调整次数</w:t>
            </w:r>
          </w:p>
          <w:p w14:paraId="0799CF14">
            <w:pPr>
              <w:rPr>
                <w:rFonts w:ascii="楷体" w:hAnsi="楷体" w:eastAsia="楷体" w:cs="Times New Roman"/>
                <w:i/>
                <w:sz w:val="18"/>
                <w:szCs w:val="18"/>
                <w:highlight w:val="none"/>
              </w:rPr>
            </w:pPr>
            <m:oMathPara>
              <m:oMath>
                <m:r>
                  <m:rPr/>
                  <w:rPr>
                    <w:rFonts w:ascii="Cambria Math" w:hAnsi="Cambria Math" w:eastAsia="楷体" w:cs="Times New Roman"/>
                    <w:sz w:val="18"/>
                    <w:szCs w:val="18"/>
                    <w:highlight w:val="none"/>
                  </w:rPr>
                  <m:t>RRIBS</m:t>
                </m:r>
                <m:d>
                  <m:dPr>
                    <m:ctrlPr>
                      <w:rPr>
                        <w:rFonts w:ascii="Cambria Math" w:hAnsi="Cambria Math" w:eastAsia="楷体" w:cs="Times New Roman"/>
                        <w:i/>
                        <w:sz w:val="18"/>
                        <w:szCs w:val="18"/>
                        <w:highlight w:val="none"/>
                      </w:rPr>
                    </m:ctrlPr>
                  </m:dPr>
                  <m:e>
                    <m:r>
                      <m:rPr/>
                      <w:rPr>
                        <w:rFonts w:ascii="Cambria Math" w:hAnsi="Cambria Math" w:eastAsia="楷体" w:cs="Times New Roman"/>
                        <w:sz w:val="18"/>
                        <w:szCs w:val="18"/>
                        <w:highlight w:val="none"/>
                      </w:rPr>
                      <m:t>t</m:t>
                    </m:r>
                    <m:ctrlPr>
                      <w:rPr>
                        <w:rFonts w:ascii="Cambria Math" w:hAnsi="Cambria Math" w:eastAsia="楷体" w:cs="Times New Roman"/>
                        <w:i/>
                        <w:sz w:val="18"/>
                        <w:szCs w:val="18"/>
                        <w:highlight w:val="none"/>
                      </w:rPr>
                    </m:ctrlPr>
                  </m:e>
                </m:d>
                <m:r>
                  <m:rPr/>
                  <w:rPr>
                    <w:rFonts w:ascii="Cambria Math" w:hAnsi="Cambria Math" w:eastAsia="楷体" w:cs="Times New Roman"/>
                    <w:sz w:val="18"/>
                    <w:szCs w:val="18"/>
                    <w:highlight w:val="none"/>
                  </w:rPr>
                  <m:t>=</m:t>
                </m:r>
                <m:nary>
                  <m:naryPr>
                    <m:chr m:val="∑"/>
                    <m:limLoc m:val="undOvr"/>
                    <m:supHide m:val="1"/>
                    <m:ctrlPr>
                      <w:rPr>
                        <w:rFonts w:ascii="Cambria Math" w:hAnsi="Cambria Math" w:eastAsia="楷体" w:cs="Times New Roman"/>
                        <w:i/>
                        <w:sz w:val="18"/>
                        <w:szCs w:val="18"/>
                        <w:highlight w:val="none"/>
                      </w:rPr>
                    </m:ctrlPr>
                  </m:naryPr>
                  <m:sub>
                    <m:r>
                      <m:rPr/>
                      <w:rPr>
                        <w:rFonts w:ascii="Cambria Math" w:hAnsi="Cambria Math" w:eastAsia="楷体" w:cs="Times New Roman"/>
                        <w:sz w:val="18"/>
                        <w:szCs w:val="18"/>
                        <w:highlight w:val="none"/>
                      </w:rPr>
                      <m:t>l∈L</m:t>
                    </m:r>
                    <m:ctrlPr>
                      <w:rPr>
                        <w:rFonts w:ascii="Cambria Math" w:hAnsi="Cambria Math" w:eastAsia="楷体" w:cs="Times New Roman"/>
                        <w:i/>
                        <w:sz w:val="18"/>
                        <w:szCs w:val="18"/>
                        <w:highlight w:val="none"/>
                      </w:rPr>
                    </m:ctrlPr>
                  </m:sub>
                  <m:sup>
                    <m:ctrlPr>
                      <w:rPr>
                        <w:rFonts w:ascii="Cambria Math" w:hAnsi="Cambria Math" w:eastAsia="楷体" w:cs="Times New Roman"/>
                        <w:i/>
                        <w:sz w:val="18"/>
                        <w:szCs w:val="18"/>
                        <w:highlight w:val="none"/>
                      </w:rPr>
                    </m:ctrlPr>
                  </m:sup>
                  <m:e>
                    <m:sSub>
                      <m:sSubPr>
                        <m:ctrlPr>
                          <w:rPr>
                            <w:rFonts w:ascii="Cambria Math" w:hAnsi="Cambria Math" w:eastAsia="楷体" w:cs="Times New Roman"/>
                            <w:i/>
                            <w:sz w:val="18"/>
                            <w:szCs w:val="18"/>
                            <w:highlight w:val="none"/>
                          </w:rPr>
                        </m:ctrlPr>
                      </m:sSubPr>
                      <m:e>
                        <m:r>
                          <m:rPr/>
                          <w:rPr>
                            <w:rFonts w:ascii="Cambria Math" w:hAnsi="Cambria Math" w:eastAsia="楷体" w:cs="Times New Roman"/>
                            <w:sz w:val="18"/>
                            <w:szCs w:val="18"/>
                            <w:highlight w:val="none"/>
                          </w:rPr>
                          <m:t>W</m:t>
                        </m:r>
                        <m:ctrlPr>
                          <w:rPr>
                            <w:rFonts w:ascii="Cambria Math" w:hAnsi="Cambria Math" w:eastAsia="楷体" w:cs="Times New Roman"/>
                            <w:i/>
                            <w:sz w:val="18"/>
                            <w:szCs w:val="18"/>
                            <w:highlight w:val="none"/>
                          </w:rPr>
                        </m:ctrlPr>
                      </m:e>
                      <m:sub>
                        <m:r>
                          <m:rPr/>
                          <w:rPr>
                            <w:rFonts w:ascii="Cambria Math" w:hAnsi="Cambria Math" w:eastAsia="楷体" w:cs="Times New Roman"/>
                            <w:sz w:val="18"/>
                            <w:szCs w:val="18"/>
                            <w:highlight w:val="none"/>
                          </w:rPr>
                          <m:t>l</m:t>
                        </m:r>
                        <m:ctrlPr>
                          <w:rPr>
                            <w:rFonts w:ascii="Cambria Math" w:hAnsi="Cambria Math" w:eastAsia="楷体" w:cs="Times New Roman"/>
                            <w:i/>
                            <w:sz w:val="18"/>
                            <w:szCs w:val="18"/>
                            <w:highlight w:val="none"/>
                          </w:rPr>
                        </m:ctrlPr>
                      </m:sub>
                    </m:sSub>
                    <m:ctrlPr>
                      <w:rPr>
                        <w:rFonts w:ascii="Cambria Math" w:hAnsi="Cambria Math" w:eastAsia="楷体" w:cs="Times New Roman"/>
                        <w:i/>
                        <w:sz w:val="18"/>
                        <w:szCs w:val="18"/>
                        <w:highlight w:val="none"/>
                      </w:rPr>
                    </m:ctrlPr>
                  </m:e>
                </m:nary>
                <m:f>
                  <m:fPr>
                    <m:ctrlPr>
                      <w:rPr>
                        <w:rFonts w:ascii="Cambria Math" w:hAnsi="Cambria Math" w:eastAsia="楷体" w:cs="Times New Roman"/>
                        <w:i/>
                        <w:sz w:val="18"/>
                        <w:szCs w:val="18"/>
                        <w:highlight w:val="none"/>
                      </w:rPr>
                    </m:ctrlPr>
                  </m:fPr>
                  <m:num>
                    <m:r>
                      <m:rPr/>
                      <w:rPr>
                        <w:rFonts w:ascii="Cambria Math" w:hAnsi="Cambria Math" w:eastAsia="楷体" w:cs="Times New Roman"/>
                        <w:sz w:val="18"/>
                        <w:szCs w:val="18"/>
                        <w:highlight w:val="none"/>
                      </w:rPr>
                      <m:t>UP</m:t>
                    </m:r>
                    <m:d>
                      <m:dPr>
                        <m:ctrlPr>
                          <w:rPr>
                            <w:rFonts w:ascii="Cambria Math" w:hAnsi="Cambria Math" w:eastAsia="楷体" w:cs="Times New Roman"/>
                            <w:i/>
                            <w:sz w:val="18"/>
                            <w:szCs w:val="18"/>
                            <w:highlight w:val="none"/>
                          </w:rPr>
                        </m:ctrlPr>
                      </m:dPr>
                      <m:e>
                        <m:r>
                          <m:rPr/>
                          <w:rPr>
                            <w:rFonts w:ascii="Cambria Math" w:hAnsi="Cambria Math" w:eastAsia="楷体" w:cs="Times New Roman"/>
                            <w:sz w:val="18"/>
                            <w:szCs w:val="18"/>
                            <w:highlight w:val="none"/>
                          </w:rPr>
                          <m:t>t−l∗21</m:t>
                        </m:r>
                        <m:ctrlPr>
                          <w:rPr>
                            <w:rFonts w:ascii="Cambria Math" w:hAnsi="Cambria Math" w:eastAsia="楷体" w:cs="Times New Roman"/>
                            <w:i/>
                            <w:sz w:val="18"/>
                            <w:szCs w:val="18"/>
                            <w:highlight w:val="none"/>
                          </w:rPr>
                        </m:ctrlPr>
                      </m:e>
                    </m:d>
                    <m:r>
                      <m:rPr/>
                      <w:rPr>
                        <w:rFonts w:ascii="Cambria Math" w:hAnsi="Cambria Math" w:eastAsia="楷体" w:cs="Times New Roman"/>
                        <w:sz w:val="18"/>
                        <w:szCs w:val="18"/>
                        <w:highlight w:val="none"/>
                      </w:rPr>
                      <m:t>−DOWN(t−l∗21)</m:t>
                    </m:r>
                    <m:ctrlPr>
                      <w:rPr>
                        <w:rFonts w:ascii="Cambria Math" w:hAnsi="Cambria Math" w:eastAsia="楷体" w:cs="Times New Roman"/>
                        <w:i/>
                        <w:sz w:val="18"/>
                        <w:szCs w:val="18"/>
                        <w:highlight w:val="none"/>
                      </w:rPr>
                    </m:ctrlPr>
                  </m:num>
                  <m:den>
                    <m:r>
                      <m:rPr/>
                      <w:rPr>
                        <w:rFonts w:ascii="Cambria Math" w:hAnsi="Cambria Math" w:eastAsia="楷体" w:cs="Times New Roman"/>
                        <w:sz w:val="18"/>
                        <w:szCs w:val="18"/>
                        <w:highlight w:val="none"/>
                      </w:rPr>
                      <m:t>TOTAL(t−l∗21)</m:t>
                    </m:r>
                    <m:ctrlPr>
                      <w:rPr>
                        <w:rFonts w:ascii="Cambria Math" w:hAnsi="Cambria Math" w:eastAsia="楷体" w:cs="Times New Roman"/>
                        <w:i/>
                        <w:sz w:val="18"/>
                        <w:szCs w:val="18"/>
                        <w:highlight w:val="none"/>
                      </w:rPr>
                    </m:ctrlPr>
                  </m:den>
                </m:f>
              </m:oMath>
            </m:oMathPara>
          </w:p>
          <w:p w14:paraId="4CC0CDD4">
            <w:pPr>
              <w:rPr>
                <w:rFonts w:ascii="楷体" w:hAnsi="楷体" w:eastAsia="楷体" w:cs="Times New Roman"/>
                <w:sz w:val="18"/>
                <w:szCs w:val="18"/>
                <w:highlight w:val="none"/>
              </w:rPr>
            </w:pPr>
            <w:r>
              <w:rPr>
                <w:rFonts w:hint="eastAsia" w:ascii="楷体" w:hAnsi="楷体" w:eastAsia="楷体" w:cs="Times New Roman"/>
                <w:sz w:val="18"/>
                <w:szCs w:val="18"/>
                <w:highlight w:val="none"/>
              </w:rPr>
              <w:t>L={0,1,2}</w:t>
            </w:r>
          </w:p>
        </w:tc>
      </w:tr>
      <w:tr w14:paraId="68F05B9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2EBDBDCE">
            <w:pPr>
              <w:jc w:val="center"/>
              <w:rPr>
                <w:rFonts w:ascii="楷体" w:hAnsi="楷体" w:eastAsia="楷体"/>
                <w:sz w:val="18"/>
                <w:szCs w:val="18"/>
                <w:highlight w:val="none"/>
              </w:rPr>
            </w:pPr>
          </w:p>
        </w:tc>
        <w:tc>
          <w:tcPr>
            <w:tcW w:w="1276" w:type="dxa"/>
            <w:vMerge w:val="continue"/>
            <w:vAlign w:val="center"/>
          </w:tcPr>
          <w:p w14:paraId="1A4C94AF">
            <w:pPr>
              <w:jc w:val="center"/>
              <w:rPr>
                <w:rFonts w:ascii="楷体" w:hAnsi="楷体" w:eastAsia="楷体"/>
                <w:sz w:val="18"/>
                <w:szCs w:val="18"/>
                <w:highlight w:val="none"/>
              </w:rPr>
            </w:pPr>
          </w:p>
        </w:tc>
        <w:tc>
          <w:tcPr>
            <w:tcW w:w="1843" w:type="dxa"/>
            <w:vAlign w:val="center"/>
          </w:tcPr>
          <w:p w14:paraId="65BF8D03">
            <w:pPr>
              <w:jc w:val="center"/>
              <w:rPr>
                <w:rFonts w:ascii="楷体" w:hAnsi="楷体" w:eastAsia="楷体"/>
                <w:sz w:val="18"/>
                <w:szCs w:val="18"/>
                <w:highlight w:val="none"/>
              </w:rPr>
            </w:pPr>
            <w:r>
              <w:rPr>
                <w:rFonts w:ascii="楷体" w:hAnsi="楷体" w:eastAsia="楷体"/>
                <w:sz w:val="18"/>
                <w:szCs w:val="18"/>
                <w:highlight w:val="none"/>
              </w:rPr>
              <w:t>Change in analyst-predicted earnings-to-price</w:t>
            </w:r>
          </w:p>
        </w:tc>
        <w:tc>
          <w:tcPr>
            <w:tcW w:w="1145" w:type="dxa"/>
            <w:vAlign w:val="center"/>
          </w:tcPr>
          <w:p w14:paraId="18A402A9">
            <w:pPr>
              <w:jc w:val="center"/>
              <w:rPr>
                <w:rFonts w:ascii="楷体" w:hAnsi="楷体" w:eastAsia="楷体"/>
                <w:sz w:val="18"/>
                <w:szCs w:val="18"/>
                <w:highlight w:val="none"/>
              </w:rPr>
            </w:pPr>
            <w:r>
              <w:rPr>
                <w:rFonts w:hint="eastAsia" w:ascii="楷体" w:hAnsi="楷体" w:eastAsia="楷体"/>
                <w:sz w:val="18"/>
                <w:szCs w:val="18"/>
                <w:highlight w:val="none"/>
              </w:rPr>
              <w:t>分析师预测EP比变化</w:t>
            </w:r>
          </w:p>
        </w:tc>
        <w:tc>
          <w:tcPr>
            <w:tcW w:w="4950" w:type="dxa"/>
            <w:vAlign w:val="center"/>
          </w:tcPr>
          <w:p w14:paraId="72541061">
            <w:pPr>
              <w:rPr>
                <w:rFonts w:ascii="楷体" w:hAnsi="楷体" w:eastAsia="楷体" w:cs="Times New Roman"/>
                <w:sz w:val="18"/>
                <w:szCs w:val="18"/>
                <w:highlight w:val="none"/>
              </w:rPr>
            </w:pPr>
            <w:r>
              <w:rPr>
                <w:rFonts w:hint="eastAsia" w:ascii="楷体" w:hAnsi="楷体" w:eastAsia="楷体" w:cs="Times New Roman"/>
                <w:sz w:val="18"/>
                <w:szCs w:val="18"/>
                <w:highlight w:val="none"/>
              </w:rPr>
              <w:t>分析师预测EP比的加权变动</w:t>
            </w:r>
          </w:p>
          <w:p w14:paraId="7201AEA6">
            <w:pPr>
              <w:rPr>
                <w:rFonts w:ascii="楷体" w:hAnsi="楷体" w:eastAsia="楷体" w:cs="Times New Roman"/>
                <w:sz w:val="18"/>
                <w:szCs w:val="18"/>
                <w:highlight w:val="none"/>
              </w:rPr>
            </w:pPr>
            <m:oMathPara>
              <m:oMath>
                <m:r>
                  <m:rPr/>
                  <w:rPr>
                    <w:rFonts w:ascii="Cambria Math" w:hAnsi="Cambria Math" w:eastAsia="楷体" w:cs="Times New Roman"/>
                    <w:sz w:val="18"/>
                    <w:szCs w:val="18"/>
                    <w:highlight w:val="none"/>
                  </w:rPr>
                  <m:t>EPIB</m:t>
                </m:r>
                <m:sSub>
                  <m:sSubPr>
                    <m:ctrlPr>
                      <w:rPr>
                        <w:rFonts w:ascii="Cambria Math" w:hAnsi="Cambria Math" w:eastAsia="楷体" w:cs="Times New Roman"/>
                        <w:i/>
                        <w:sz w:val="18"/>
                        <w:szCs w:val="18"/>
                        <w:highlight w:val="none"/>
                      </w:rPr>
                    </m:ctrlPr>
                  </m:sSubPr>
                  <m:e>
                    <m:r>
                      <m:rPr/>
                      <w:rPr>
                        <w:rFonts w:ascii="Cambria Math" w:hAnsi="Cambria Math" w:eastAsia="楷体" w:cs="Times New Roman"/>
                        <w:sz w:val="18"/>
                        <w:szCs w:val="18"/>
                        <w:highlight w:val="none"/>
                      </w:rPr>
                      <m:t>S</m:t>
                    </m:r>
                    <m:ctrlPr>
                      <w:rPr>
                        <w:rFonts w:ascii="Cambria Math" w:hAnsi="Cambria Math" w:eastAsia="楷体" w:cs="Times New Roman"/>
                        <w:i/>
                        <w:sz w:val="18"/>
                        <w:szCs w:val="18"/>
                        <w:highlight w:val="none"/>
                      </w:rPr>
                    </m:ctrlPr>
                  </m:e>
                  <m:sub>
                    <m:r>
                      <m:rPr/>
                      <w:rPr>
                        <w:rFonts w:ascii="Cambria Math" w:hAnsi="Cambria Math" w:eastAsia="楷体" w:cs="Times New Roman"/>
                        <w:sz w:val="18"/>
                        <w:szCs w:val="18"/>
                        <w:highlight w:val="none"/>
                      </w:rPr>
                      <m:t>C</m:t>
                    </m:r>
                    <m:d>
                      <m:dPr>
                        <m:ctrlPr>
                          <w:rPr>
                            <w:rFonts w:ascii="Cambria Math" w:hAnsi="Cambria Math" w:eastAsia="楷体" w:cs="Times New Roman"/>
                            <w:i/>
                            <w:sz w:val="18"/>
                            <w:szCs w:val="18"/>
                            <w:highlight w:val="none"/>
                          </w:rPr>
                        </m:ctrlPr>
                      </m:dPr>
                      <m:e>
                        <m:r>
                          <m:rPr/>
                          <w:rPr>
                            <w:rFonts w:hint="eastAsia" w:ascii="Cambria Math" w:hAnsi="Cambria Math" w:eastAsia="楷体" w:cs="Times New Roman"/>
                            <w:sz w:val="18"/>
                            <w:szCs w:val="18"/>
                            <w:highlight w:val="none"/>
                          </w:rPr>
                          <m:t>t</m:t>
                        </m:r>
                        <m:ctrlPr>
                          <w:rPr>
                            <w:rFonts w:ascii="Cambria Math" w:hAnsi="Cambria Math" w:eastAsia="楷体" w:cs="Times New Roman"/>
                            <w:i/>
                            <w:sz w:val="18"/>
                            <w:szCs w:val="18"/>
                            <w:highlight w:val="none"/>
                          </w:rPr>
                        </m:ctrlPr>
                      </m:e>
                    </m:d>
                    <m:ctrlPr>
                      <w:rPr>
                        <w:rFonts w:ascii="Cambria Math" w:hAnsi="Cambria Math" w:eastAsia="楷体" w:cs="Times New Roman"/>
                        <w:i/>
                        <w:sz w:val="18"/>
                        <w:szCs w:val="18"/>
                        <w:highlight w:val="none"/>
                      </w:rPr>
                    </m:ctrlPr>
                  </m:sub>
                </m:sSub>
              </m:oMath>
            </m:oMathPara>
          </w:p>
          <w:p w14:paraId="56369626">
            <w:pPr>
              <w:rPr>
                <w:rFonts w:ascii="楷体" w:hAnsi="楷体" w:eastAsia="楷体" w:cs="Times New Roman"/>
                <w:sz w:val="18"/>
                <w:szCs w:val="18"/>
                <w:highlight w:val="none"/>
              </w:rPr>
            </w:pPr>
            <m:oMathPara>
              <m:oMath>
                <m:r>
                  <m:rPr/>
                  <w:rPr>
                    <w:rFonts w:hint="eastAsia" w:ascii="Cambria Math" w:hAnsi="Cambria Math" w:eastAsia="楷体" w:cs="Times New Roman"/>
                    <w:sz w:val="18"/>
                    <w:szCs w:val="18"/>
                    <w:highlight w:val="none"/>
                  </w:rPr>
                  <m:t>=</m:t>
                </m:r>
                <m:nary>
                  <m:naryPr>
                    <m:chr m:val="∑"/>
                    <m:limLoc m:val="subSup"/>
                    <m:supHide m:val="1"/>
                    <m:ctrlPr>
                      <w:rPr>
                        <w:rFonts w:ascii="Cambria Math" w:hAnsi="Cambria Math" w:eastAsia="楷体" w:cs="Times New Roman"/>
                        <w:i/>
                        <w:sz w:val="18"/>
                        <w:szCs w:val="18"/>
                        <w:highlight w:val="none"/>
                      </w:rPr>
                    </m:ctrlPr>
                  </m:naryPr>
                  <m:sub>
                    <m:r>
                      <m:rPr/>
                      <w:rPr>
                        <w:rFonts w:ascii="Cambria Math" w:hAnsi="Cambria Math" w:eastAsia="楷体" w:cs="Times New Roman"/>
                        <w:sz w:val="18"/>
                        <w:szCs w:val="18"/>
                        <w:highlight w:val="none"/>
                      </w:rPr>
                      <m:t>l∈L</m:t>
                    </m:r>
                    <m:ctrlPr>
                      <w:rPr>
                        <w:rFonts w:ascii="Cambria Math" w:hAnsi="Cambria Math" w:eastAsia="楷体" w:cs="Times New Roman"/>
                        <w:i/>
                        <w:sz w:val="18"/>
                        <w:szCs w:val="18"/>
                        <w:highlight w:val="none"/>
                      </w:rPr>
                    </m:ctrlPr>
                  </m:sub>
                  <m:sup>
                    <m:ctrlPr>
                      <w:rPr>
                        <w:rFonts w:ascii="Cambria Math" w:hAnsi="Cambria Math" w:eastAsia="楷体" w:cs="Times New Roman"/>
                        <w:i/>
                        <w:sz w:val="18"/>
                        <w:szCs w:val="18"/>
                        <w:highlight w:val="none"/>
                      </w:rPr>
                    </m:ctrlPr>
                  </m:sup>
                  <m:e>
                    <m:sSub>
                      <m:sSubPr>
                        <m:ctrlPr>
                          <w:rPr>
                            <w:rFonts w:ascii="Cambria Math" w:hAnsi="Cambria Math" w:eastAsia="楷体" w:cs="Times New Roman"/>
                            <w:i/>
                            <w:sz w:val="18"/>
                            <w:szCs w:val="18"/>
                            <w:highlight w:val="none"/>
                          </w:rPr>
                        </m:ctrlPr>
                      </m:sSubPr>
                      <m:e>
                        <m:r>
                          <m:rPr/>
                          <w:rPr>
                            <w:rFonts w:ascii="Cambria Math" w:hAnsi="Cambria Math" w:eastAsia="楷体" w:cs="Times New Roman"/>
                            <w:sz w:val="18"/>
                            <w:szCs w:val="18"/>
                            <w:highlight w:val="none"/>
                          </w:rPr>
                          <m:t>w</m:t>
                        </m:r>
                        <m:ctrlPr>
                          <w:rPr>
                            <w:rFonts w:ascii="Cambria Math" w:hAnsi="Cambria Math" w:eastAsia="楷体" w:cs="Times New Roman"/>
                            <w:i/>
                            <w:sz w:val="18"/>
                            <w:szCs w:val="18"/>
                            <w:highlight w:val="none"/>
                          </w:rPr>
                        </m:ctrlPr>
                      </m:e>
                      <m:sub>
                        <m:r>
                          <m:rPr/>
                          <w:rPr>
                            <w:rFonts w:ascii="Cambria Math" w:hAnsi="Cambria Math" w:eastAsia="楷体" w:cs="Times New Roman"/>
                            <w:sz w:val="18"/>
                            <w:szCs w:val="18"/>
                            <w:highlight w:val="none"/>
                          </w:rPr>
                          <m:t>l</m:t>
                        </m:r>
                        <m:ctrlPr>
                          <w:rPr>
                            <w:rFonts w:ascii="Cambria Math" w:hAnsi="Cambria Math" w:eastAsia="楷体" w:cs="Times New Roman"/>
                            <w:i/>
                            <w:sz w:val="18"/>
                            <w:szCs w:val="18"/>
                            <w:highlight w:val="none"/>
                          </w:rPr>
                        </m:ctrlPr>
                      </m:sub>
                    </m:sSub>
                    <m:ctrlPr>
                      <w:rPr>
                        <w:rFonts w:ascii="Cambria Math" w:hAnsi="Cambria Math" w:eastAsia="楷体" w:cs="Times New Roman"/>
                        <w:i/>
                        <w:sz w:val="18"/>
                        <w:szCs w:val="18"/>
                        <w:highlight w:val="none"/>
                      </w:rPr>
                    </m:ctrlPr>
                  </m:e>
                </m:nary>
                <m:f>
                  <m:fPr>
                    <m:ctrlPr>
                      <w:rPr>
                        <w:rFonts w:ascii="Cambria Math" w:hAnsi="Cambria Math" w:eastAsia="楷体" w:cs="Times New Roman"/>
                        <w:i/>
                        <w:sz w:val="18"/>
                        <w:szCs w:val="18"/>
                        <w:highlight w:val="none"/>
                      </w:rPr>
                    </m:ctrlPr>
                  </m:fPr>
                  <m:num>
                    <m:eqArr>
                      <m:eqArrPr>
                        <m:ctrlPr>
                          <w:rPr>
                            <w:rFonts w:ascii="Cambria Math" w:hAnsi="Cambria Math" w:eastAsia="楷体" w:cs="Times New Roman"/>
                            <w:i/>
                            <w:sz w:val="18"/>
                            <w:szCs w:val="18"/>
                            <w:highlight w:val="none"/>
                          </w:rPr>
                        </m:ctrlPr>
                      </m:eqArrPr>
                      <m:e>
                        <m:r>
                          <m:rPr/>
                          <w:rPr>
                            <w:rFonts w:ascii="Cambria Math" w:hAnsi="Cambria Math" w:eastAsia="楷体" w:cs="Times New Roman"/>
                            <w:sz w:val="18"/>
                            <w:szCs w:val="18"/>
                            <w:highlight w:val="none"/>
                          </w:rPr>
                          <m:t>EPIBS</m:t>
                        </m:r>
                        <m:d>
                          <m:dPr>
                            <m:ctrlPr>
                              <w:rPr>
                                <w:rFonts w:ascii="Cambria Math" w:hAnsi="Cambria Math" w:eastAsia="楷体" w:cs="Times New Roman"/>
                                <w:i/>
                                <w:sz w:val="18"/>
                                <w:szCs w:val="18"/>
                                <w:highlight w:val="none"/>
                              </w:rPr>
                            </m:ctrlPr>
                          </m:dPr>
                          <m:e>
                            <m:r>
                              <m:rPr/>
                              <w:rPr>
                                <w:rFonts w:ascii="Cambria Math" w:hAnsi="Cambria Math" w:eastAsia="楷体" w:cs="Times New Roman"/>
                                <w:sz w:val="18"/>
                                <w:szCs w:val="18"/>
                                <w:highlight w:val="none"/>
                              </w:rPr>
                              <m:t>t−l∗63</m:t>
                            </m:r>
                            <m:ctrlPr>
                              <w:rPr>
                                <w:rFonts w:ascii="Cambria Math" w:hAnsi="Cambria Math" w:eastAsia="楷体" w:cs="Times New Roman"/>
                                <w:i/>
                                <w:sz w:val="18"/>
                                <w:szCs w:val="18"/>
                                <w:highlight w:val="none"/>
                              </w:rPr>
                            </m:ctrlPr>
                          </m:e>
                        </m:d>
                        <m:r>
                          <m:rPr/>
                          <w:rPr>
                            <w:rFonts w:ascii="Cambria Math" w:hAnsi="Cambria Math" w:eastAsia="楷体" w:cs="Times New Roman"/>
                            <w:sz w:val="18"/>
                            <w:szCs w:val="18"/>
                            <w:highlight w:val="none"/>
                          </w:rPr>
                          <m:t>−EPIBS(t−</m:t>
                        </m:r>
                        <m:d>
                          <m:dPr>
                            <m:ctrlPr>
                              <w:rPr>
                                <w:rFonts w:ascii="Cambria Math" w:hAnsi="Cambria Math" w:eastAsia="楷体" w:cs="Times New Roman"/>
                                <w:i/>
                                <w:sz w:val="18"/>
                                <w:szCs w:val="18"/>
                                <w:highlight w:val="none"/>
                              </w:rPr>
                            </m:ctrlPr>
                          </m:dPr>
                          <m:e>
                            <m:r>
                              <m:rPr/>
                              <w:rPr>
                                <w:rFonts w:ascii="Cambria Math" w:hAnsi="Cambria Math" w:eastAsia="楷体" w:cs="Times New Roman"/>
                                <w:sz w:val="18"/>
                                <w:szCs w:val="18"/>
                                <w:highlight w:val="none"/>
                              </w:rPr>
                              <m:t>l+1</m:t>
                            </m:r>
                            <m:ctrlPr>
                              <w:rPr>
                                <w:rFonts w:ascii="Cambria Math" w:hAnsi="Cambria Math" w:eastAsia="楷体" w:cs="Times New Roman"/>
                                <w:i/>
                                <w:sz w:val="18"/>
                                <w:szCs w:val="18"/>
                                <w:highlight w:val="none"/>
                              </w:rPr>
                            </m:ctrlPr>
                          </m:e>
                        </m:d>
                        <m:r>
                          <m:rPr/>
                          <w:rPr>
                            <w:rFonts w:ascii="Cambria Math" w:hAnsi="Cambria Math" w:eastAsia="楷体" w:cs="Times New Roman"/>
                            <w:sz w:val="18"/>
                            <w:szCs w:val="18"/>
                            <w:highlight w:val="none"/>
                          </w:rPr>
                          <m:t>∗63)</m:t>
                        </m:r>
                        <m:ctrlPr>
                          <w:rPr>
                            <w:rFonts w:ascii="Cambria Math" w:hAnsi="Cambria Math" w:eastAsia="楷体" w:cs="Times New Roman"/>
                            <w:i/>
                            <w:sz w:val="18"/>
                            <w:szCs w:val="18"/>
                            <w:highlight w:val="none"/>
                          </w:rPr>
                        </m:ctrlPr>
                      </m:e>
                    </m:eqArr>
                    <m:ctrlPr>
                      <w:rPr>
                        <w:rFonts w:ascii="Cambria Math" w:hAnsi="Cambria Math" w:eastAsia="楷体" w:cs="Times New Roman"/>
                        <w:i/>
                        <w:sz w:val="18"/>
                        <w:szCs w:val="18"/>
                        <w:highlight w:val="none"/>
                      </w:rPr>
                    </m:ctrlPr>
                  </m:num>
                  <m:den>
                    <m:r>
                      <m:rPr/>
                      <w:rPr>
                        <w:rFonts w:ascii="Cambria Math" w:hAnsi="Cambria Math" w:eastAsia="楷体" w:cs="Times New Roman"/>
                        <w:sz w:val="18"/>
                        <w:szCs w:val="18"/>
                        <w:highlight w:val="none"/>
                      </w:rPr>
                      <m:t>EPIBS(t−</m:t>
                    </m:r>
                    <m:d>
                      <m:dPr>
                        <m:ctrlPr>
                          <w:rPr>
                            <w:rFonts w:ascii="Cambria Math" w:hAnsi="Cambria Math" w:eastAsia="楷体" w:cs="Times New Roman"/>
                            <w:i/>
                            <w:sz w:val="18"/>
                            <w:szCs w:val="18"/>
                            <w:highlight w:val="none"/>
                          </w:rPr>
                        </m:ctrlPr>
                      </m:dPr>
                      <m:e>
                        <m:r>
                          <m:rPr/>
                          <w:rPr>
                            <w:rFonts w:ascii="Cambria Math" w:hAnsi="Cambria Math" w:eastAsia="楷体" w:cs="Times New Roman"/>
                            <w:sz w:val="18"/>
                            <w:szCs w:val="18"/>
                            <w:highlight w:val="none"/>
                          </w:rPr>
                          <m:t>l+1</m:t>
                        </m:r>
                        <m:ctrlPr>
                          <w:rPr>
                            <w:rFonts w:ascii="Cambria Math" w:hAnsi="Cambria Math" w:eastAsia="楷体" w:cs="Times New Roman"/>
                            <w:i/>
                            <w:sz w:val="18"/>
                            <w:szCs w:val="18"/>
                            <w:highlight w:val="none"/>
                          </w:rPr>
                        </m:ctrlPr>
                      </m:e>
                    </m:d>
                    <m:r>
                      <m:rPr/>
                      <w:rPr>
                        <w:rFonts w:ascii="Cambria Math" w:hAnsi="Cambria Math" w:eastAsia="楷体" w:cs="Times New Roman"/>
                        <w:sz w:val="18"/>
                        <w:szCs w:val="18"/>
                        <w:highlight w:val="none"/>
                      </w:rPr>
                      <m:t>∗63)</m:t>
                    </m:r>
                    <m:ctrlPr>
                      <w:rPr>
                        <w:rFonts w:ascii="Cambria Math" w:hAnsi="Cambria Math" w:eastAsia="楷体" w:cs="Times New Roman"/>
                        <w:i/>
                        <w:sz w:val="18"/>
                        <w:szCs w:val="18"/>
                        <w:highlight w:val="none"/>
                      </w:rPr>
                    </m:ctrlPr>
                  </m:den>
                </m:f>
              </m:oMath>
            </m:oMathPara>
          </w:p>
          <w:p w14:paraId="62FADA9D">
            <w:pPr>
              <w:rPr>
                <w:rFonts w:ascii="楷体" w:hAnsi="楷体" w:eastAsia="楷体" w:cs="Times New Roman"/>
                <w:sz w:val="18"/>
                <w:szCs w:val="18"/>
                <w:highlight w:val="none"/>
              </w:rPr>
            </w:pPr>
            <w:r>
              <w:rPr>
                <w:rFonts w:hint="eastAsia" w:ascii="楷体" w:hAnsi="楷体" w:eastAsia="楷体" w:cs="Times New Roman"/>
                <w:sz w:val="18"/>
                <w:szCs w:val="18"/>
                <w:highlight w:val="none"/>
              </w:rPr>
              <w:t>L={0,1,2,3}</w:t>
            </w:r>
          </w:p>
        </w:tc>
      </w:tr>
      <w:tr w14:paraId="2D298AF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096CACF5">
            <w:pPr>
              <w:jc w:val="center"/>
              <w:rPr>
                <w:rFonts w:ascii="楷体" w:hAnsi="楷体" w:eastAsia="楷体"/>
                <w:sz w:val="18"/>
                <w:szCs w:val="18"/>
                <w:highlight w:val="none"/>
              </w:rPr>
            </w:pPr>
          </w:p>
        </w:tc>
        <w:tc>
          <w:tcPr>
            <w:tcW w:w="1276" w:type="dxa"/>
            <w:vMerge w:val="continue"/>
            <w:vAlign w:val="center"/>
          </w:tcPr>
          <w:p w14:paraId="40EE796C">
            <w:pPr>
              <w:jc w:val="center"/>
              <w:rPr>
                <w:rFonts w:ascii="楷体" w:hAnsi="楷体" w:eastAsia="楷体"/>
                <w:sz w:val="18"/>
                <w:szCs w:val="18"/>
                <w:highlight w:val="none"/>
              </w:rPr>
            </w:pPr>
          </w:p>
        </w:tc>
        <w:tc>
          <w:tcPr>
            <w:tcW w:w="1843" w:type="dxa"/>
            <w:vAlign w:val="center"/>
          </w:tcPr>
          <w:p w14:paraId="2E6A4396">
            <w:pPr>
              <w:jc w:val="center"/>
              <w:rPr>
                <w:rFonts w:ascii="楷体" w:hAnsi="楷体" w:eastAsia="楷体"/>
                <w:sz w:val="18"/>
                <w:szCs w:val="18"/>
                <w:highlight w:val="none"/>
              </w:rPr>
            </w:pPr>
            <w:r>
              <w:rPr>
                <w:rFonts w:ascii="楷体" w:hAnsi="楷体" w:eastAsia="楷体"/>
                <w:sz w:val="18"/>
                <w:szCs w:val="18"/>
                <w:highlight w:val="none"/>
              </w:rPr>
              <w:t>Change in analyst-predicted earnings per share</w:t>
            </w:r>
          </w:p>
        </w:tc>
        <w:tc>
          <w:tcPr>
            <w:tcW w:w="1145" w:type="dxa"/>
            <w:vAlign w:val="center"/>
          </w:tcPr>
          <w:p w14:paraId="349B8406">
            <w:pPr>
              <w:jc w:val="center"/>
              <w:rPr>
                <w:rFonts w:ascii="楷体" w:hAnsi="楷体" w:eastAsia="楷体"/>
                <w:sz w:val="18"/>
                <w:szCs w:val="18"/>
                <w:highlight w:val="none"/>
              </w:rPr>
            </w:pPr>
            <w:r>
              <w:rPr>
                <w:rFonts w:hint="eastAsia" w:ascii="楷体" w:hAnsi="楷体" w:eastAsia="楷体" w:cs="Times New Roman"/>
                <w:sz w:val="18"/>
                <w:szCs w:val="18"/>
                <w:highlight w:val="none"/>
              </w:rPr>
              <w:t>分析师预测的每股收益的变化</w:t>
            </w:r>
          </w:p>
        </w:tc>
        <w:tc>
          <w:tcPr>
            <w:tcW w:w="4950" w:type="dxa"/>
            <w:vAlign w:val="center"/>
          </w:tcPr>
          <w:p w14:paraId="4F287814">
            <w:pPr>
              <w:rPr>
                <w:rFonts w:ascii="楷体" w:hAnsi="楷体" w:eastAsia="楷体" w:cs="Times New Roman"/>
                <w:sz w:val="18"/>
                <w:szCs w:val="18"/>
                <w:highlight w:val="none"/>
              </w:rPr>
            </w:pPr>
            <w:r>
              <w:rPr>
                <w:rFonts w:hint="eastAsia" w:ascii="楷体" w:hAnsi="楷体" w:eastAsia="楷体" w:cs="Times New Roman"/>
                <w:sz w:val="18"/>
                <w:szCs w:val="18"/>
                <w:highlight w:val="none"/>
              </w:rPr>
              <w:t>分析师预测每股收益的加权变化：</w:t>
            </w:r>
          </w:p>
          <w:p w14:paraId="1122DF5A">
            <w:pPr>
              <w:rPr>
                <w:rFonts w:ascii="楷体" w:hAnsi="楷体" w:eastAsia="楷体" w:cs="Times New Roman"/>
                <w:sz w:val="18"/>
                <w:szCs w:val="18"/>
                <w:highlight w:val="none"/>
              </w:rPr>
            </w:pPr>
            <m:oMathPara>
              <m:oMath>
                <m:r>
                  <m:rPr/>
                  <w:rPr>
                    <w:rFonts w:ascii="Cambria Math" w:hAnsi="Cambria Math" w:eastAsia="楷体" w:cs="Times New Roman"/>
                    <w:sz w:val="18"/>
                    <w:szCs w:val="18"/>
                    <w:highlight w:val="none"/>
                  </w:rPr>
                  <m:t>EAR</m:t>
                </m:r>
                <m:sSub>
                  <m:sSubPr>
                    <m:ctrlPr>
                      <w:rPr>
                        <w:rFonts w:ascii="Cambria Math" w:hAnsi="Cambria Math" w:eastAsia="楷体" w:cs="Times New Roman"/>
                        <w:i/>
                        <w:sz w:val="18"/>
                        <w:szCs w:val="18"/>
                        <w:highlight w:val="none"/>
                      </w:rPr>
                    </m:ctrlPr>
                  </m:sSubPr>
                  <m:e>
                    <m:r>
                      <m:rPr/>
                      <w:rPr>
                        <w:rFonts w:ascii="Cambria Math" w:hAnsi="Cambria Math" w:eastAsia="楷体" w:cs="Times New Roman"/>
                        <w:sz w:val="18"/>
                        <w:szCs w:val="18"/>
                        <w:highlight w:val="none"/>
                      </w:rPr>
                      <m:t>N</m:t>
                    </m:r>
                    <m:ctrlPr>
                      <w:rPr>
                        <w:rFonts w:ascii="Cambria Math" w:hAnsi="Cambria Math" w:eastAsia="楷体" w:cs="Times New Roman"/>
                        <w:i/>
                        <w:sz w:val="18"/>
                        <w:szCs w:val="18"/>
                        <w:highlight w:val="none"/>
                      </w:rPr>
                    </m:ctrlPr>
                  </m:e>
                  <m:sub>
                    <m:r>
                      <m:rPr/>
                      <w:rPr>
                        <w:rFonts w:ascii="Cambria Math" w:hAnsi="Cambria Math" w:eastAsia="楷体" w:cs="Times New Roman"/>
                        <w:sz w:val="18"/>
                        <w:szCs w:val="18"/>
                        <w:highlight w:val="none"/>
                      </w:rPr>
                      <m:t>C</m:t>
                    </m:r>
                    <m:d>
                      <m:dPr>
                        <m:ctrlPr>
                          <w:rPr>
                            <w:rFonts w:ascii="Cambria Math" w:hAnsi="Cambria Math" w:eastAsia="楷体" w:cs="Times New Roman"/>
                            <w:i/>
                            <w:sz w:val="18"/>
                            <w:szCs w:val="18"/>
                            <w:highlight w:val="none"/>
                          </w:rPr>
                        </m:ctrlPr>
                      </m:dPr>
                      <m:e>
                        <m:r>
                          <m:rPr/>
                          <w:rPr>
                            <w:rFonts w:hint="eastAsia" w:ascii="Cambria Math" w:hAnsi="Cambria Math" w:eastAsia="楷体" w:cs="Times New Roman"/>
                            <w:sz w:val="18"/>
                            <w:szCs w:val="18"/>
                            <w:highlight w:val="none"/>
                          </w:rPr>
                          <m:t>t</m:t>
                        </m:r>
                        <m:ctrlPr>
                          <w:rPr>
                            <w:rFonts w:ascii="Cambria Math" w:hAnsi="Cambria Math" w:eastAsia="楷体" w:cs="Times New Roman"/>
                            <w:i/>
                            <w:sz w:val="18"/>
                            <w:szCs w:val="18"/>
                            <w:highlight w:val="none"/>
                          </w:rPr>
                        </m:ctrlPr>
                      </m:e>
                    </m:d>
                    <m:ctrlPr>
                      <w:rPr>
                        <w:rFonts w:ascii="Cambria Math" w:hAnsi="Cambria Math" w:eastAsia="楷体" w:cs="Times New Roman"/>
                        <w:i/>
                        <w:sz w:val="18"/>
                        <w:szCs w:val="18"/>
                        <w:highlight w:val="none"/>
                      </w:rPr>
                    </m:ctrlPr>
                  </m:sub>
                </m:sSub>
              </m:oMath>
            </m:oMathPara>
          </w:p>
          <w:p w14:paraId="475D8862">
            <w:pPr>
              <w:rPr>
                <w:rFonts w:ascii="楷体" w:hAnsi="楷体" w:eastAsia="楷体" w:cs="Times New Roman"/>
                <w:sz w:val="18"/>
                <w:szCs w:val="18"/>
                <w:highlight w:val="none"/>
              </w:rPr>
            </w:pPr>
            <m:oMathPara>
              <m:oMath>
                <m:r>
                  <m:rPr/>
                  <w:rPr>
                    <w:rFonts w:ascii="Cambria Math" w:hAnsi="Cambria Math" w:eastAsia="楷体" w:cs="Times New Roman"/>
                    <w:sz w:val="18"/>
                    <w:szCs w:val="18"/>
                    <w:highlight w:val="none"/>
                  </w:rPr>
                  <m:t>=</m:t>
                </m:r>
                <m:nary>
                  <m:naryPr>
                    <m:chr m:val="∑"/>
                    <m:limLoc m:val="subSup"/>
                    <m:supHide m:val="1"/>
                    <m:ctrlPr>
                      <w:rPr>
                        <w:rFonts w:ascii="Cambria Math" w:hAnsi="Cambria Math" w:eastAsia="楷体" w:cs="Times New Roman"/>
                        <w:i/>
                        <w:sz w:val="18"/>
                        <w:szCs w:val="18"/>
                        <w:highlight w:val="none"/>
                      </w:rPr>
                    </m:ctrlPr>
                  </m:naryPr>
                  <m:sub>
                    <m:r>
                      <m:rPr/>
                      <w:rPr>
                        <w:rFonts w:ascii="Cambria Math" w:hAnsi="Cambria Math" w:eastAsia="楷体" w:cs="Times New Roman"/>
                        <w:sz w:val="18"/>
                        <w:szCs w:val="18"/>
                        <w:highlight w:val="none"/>
                      </w:rPr>
                      <m:t>l∈L</m:t>
                    </m:r>
                    <m:ctrlPr>
                      <w:rPr>
                        <w:rFonts w:ascii="Cambria Math" w:hAnsi="Cambria Math" w:eastAsia="楷体" w:cs="Times New Roman"/>
                        <w:i/>
                        <w:sz w:val="18"/>
                        <w:szCs w:val="18"/>
                        <w:highlight w:val="none"/>
                      </w:rPr>
                    </m:ctrlPr>
                  </m:sub>
                  <m:sup>
                    <m:ctrlPr>
                      <w:rPr>
                        <w:rFonts w:ascii="Cambria Math" w:hAnsi="Cambria Math" w:eastAsia="楷体" w:cs="Times New Roman"/>
                        <w:i/>
                        <w:sz w:val="18"/>
                        <w:szCs w:val="18"/>
                        <w:highlight w:val="none"/>
                      </w:rPr>
                    </m:ctrlPr>
                  </m:sup>
                  <m:e>
                    <m:sSub>
                      <m:sSubPr>
                        <m:ctrlPr>
                          <w:rPr>
                            <w:rFonts w:ascii="Cambria Math" w:hAnsi="Cambria Math" w:eastAsia="楷体" w:cs="Times New Roman"/>
                            <w:i/>
                            <w:sz w:val="18"/>
                            <w:szCs w:val="18"/>
                            <w:highlight w:val="none"/>
                          </w:rPr>
                        </m:ctrlPr>
                      </m:sSubPr>
                      <m:e>
                        <m:r>
                          <m:rPr/>
                          <w:rPr>
                            <w:rFonts w:ascii="Cambria Math" w:hAnsi="Cambria Math" w:eastAsia="楷体" w:cs="Times New Roman"/>
                            <w:sz w:val="18"/>
                            <w:szCs w:val="18"/>
                            <w:highlight w:val="none"/>
                          </w:rPr>
                          <m:t>w</m:t>
                        </m:r>
                        <m:ctrlPr>
                          <w:rPr>
                            <w:rFonts w:ascii="Cambria Math" w:hAnsi="Cambria Math" w:eastAsia="楷体" w:cs="Times New Roman"/>
                            <w:i/>
                            <w:sz w:val="18"/>
                            <w:szCs w:val="18"/>
                            <w:highlight w:val="none"/>
                          </w:rPr>
                        </m:ctrlPr>
                      </m:e>
                      <m:sub>
                        <m:r>
                          <m:rPr/>
                          <w:rPr>
                            <w:rFonts w:ascii="Cambria Math" w:hAnsi="Cambria Math" w:eastAsia="楷体" w:cs="Times New Roman"/>
                            <w:sz w:val="18"/>
                            <w:szCs w:val="18"/>
                            <w:highlight w:val="none"/>
                          </w:rPr>
                          <m:t>l</m:t>
                        </m:r>
                        <m:ctrlPr>
                          <w:rPr>
                            <w:rFonts w:ascii="Cambria Math" w:hAnsi="Cambria Math" w:eastAsia="楷体" w:cs="Times New Roman"/>
                            <w:i/>
                            <w:sz w:val="18"/>
                            <w:szCs w:val="18"/>
                            <w:highlight w:val="none"/>
                          </w:rPr>
                        </m:ctrlPr>
                      </m:sub>
                    </m:sSub>
                    <m:f>
                      <m:fPr>
                        <m:ctrlPr>
                          <w:rPr>
                            <w:rFonts w:ascii="Cambria Math" w:hAnsi="Cambria Math" w:eastAsia="楷体" w:cs="Times New Roman"/>
                            <w:i/>
                            <w:sz w:val="18"/>
                            <w:szCs w:val="18"/>
                            <w:highlight w:val="none"/>
                          </w:rPr>
                        </m:ctrlPr>
                      </m:fPr>
                      <m:num>
                        <m:eqArr>
                          <m:eqArrPr>
                            <m:ctrlPr>
                              <w:rPr>
                                <w:rFonts w:ascii="Cambria Math" w:hAnsi="Cambria Math" w:eastAsia="楷体" w:cs="Times New Roman"/>
                                <w:i/>
                                <w:sz w:val="18"/>
                                <w:szCs w:val="18"/>
                                <w:highlight w:val="none"/>
                              </w:rPr>
                            </m:ctrlPr>
                          </m:eqArrPr>
                          <m:e>
                            <m:r>
                              <m:rPr/>
                              <w:rPr>
                                <w:rFonts w:ascii="Cambria Math" w:hAnsi="Cambria Math" w:eastAsia="楷体" w:cs="Times New Roman"/>
                                <w:sz w:val="18"/>
                                <w:szCs w:val="18"/>
                                <w:highlight w:val="none"/>
                              </w:rPr>
                              <m:t>EARN</m:t>
                            </m:r>
                            <m:d>
                              <m:dPr>
                                <m:ctrlPr>
                                  <w:rPr>
                                    <w:rFonts w:ascii="Cambria Math" w:hAnsi="Cambria Math" w:eastAsia="楷体" w:cs="Times New Roman"/>
                                    <w:i/>
                                    <w:sz w:val="18"/>
                                    <w:szCs w:val="18"/>
                                    <w:highlight w:val="none"/>
                                  </w:rPr>
                                </m:ctrlPr>
                              </m:dPr>
                              <m:e>
                                <m:r>
                                  <m:rPr/>
                                  <w:rPr>
                                    <w:rFonts w:ascii="Cambria Math" w:hAnsi="Cambria Math" w:eastAsia="楷体" w:cs="Times New Roman"/>
                                    <w:sz w:val="18"/>
                                    <w:szCs w:val="18"/>
                                    <w:highlight w:val="none"/>
                                  </w:rPr>
                                  <m:t>t−l∗63</m:t>
                                </m:r>
                                <m:ctrlPr>
                                  <w:rPr>
                                    <w:rFonts w:ascii="Cambria Math" w:hAnsi="Cambria Math" w:eastAsia="楷体" w:cs="Times New Roman"/>
                                    <w:i/>
                                    <w:sz w:val="18"/>
                                    <w:szCs w:val="18"/>
                                    <w:highlight w:val="none"/>
                                  </w:rPr>
                                </m:ctrlPr>
                              </m:e>
                            </m:d>
                            <m:r>
                              <m:rPr/>
                              <w:rPr>
                                <w:rFonts w:ascii="Cambria Math" w:hAnsi="Cambria Math" w:eastAsia="楷体" w:cs="Times New Roman"/>
                                <w:sz w:val="18"/>
                                <w:szCs w:val="18"/>
                                <w:highlight w:val="none"/>
                              </w:rPr>
                              <m:t>−EARN(t−</m:t>
                            </m:r>
                            <m:d>
                              <m:dPr>
                                <m:ctrlPr>
                                  <w:rPr>
                                    <w:rFonts w:ascii="Cambria Math" w:hAnsi="Cambria Math" w:eastAsia="楷体" w:cs="Times New Roman"/>
                                    <w:i/>
                                    <w:sz w:val="18"/>
                                    <w:szCs w:val="18"/>
                                    <w:highlight w:val="none"/>
                                  </w:rPr>
                                </m:ctrlPr>
                              </m:dPr>
                              <m:e>
                                <m:r>
                                  <m:rPr/>
                                  <w:rPr>
                                    <w:rFonts w:ascii="Cambria Math" w:hAnsi="Cambria Math" w:eastAsia="楷体" w:cs="Times New Roman"/>
                                    <w:sz w:val="18"/>
                                    <w:szCs w:val="18"/>
                                    <w:highlight w:val="none"/>
                                  </w:rPr>
                                  <m:t>l+1</m:t>
                                </m:r>
                                <m:ctrlPr>
                                  <w:rPr>
                                    <w:rFonts w:ascii="Cambria Math" w:hAnsi="Cambria Math" w:eastAsia="楷体" w:cs="Times New Roman"/>
                                    <w:i/>
                                    <w:sz w:val="18"/>
                                    <w:szCs w:val="18"/>
                                    <w:highlight w:val="none"/>
                                  </w:rPr>
                                </m:ctrlPr>
                              </m:e>
                            </m:d>
                            <m:r>
                              <m:rPr/>
                              <w:rPr>
                                <w:rFonts w:ascii="Cambria Math" w:hAnsi="Cambria Math" w:eastAsia="楷体" w:cs="Times New Roman"/>
                                <w:sz w:val="18"/>
                                <w:szCs w:val="18"/>
                                <w:highlight w:val="none"/>
                              </w:rPr>
                              <m:t>∗63)</m:t>
                            </m:r>
                            <m:ctrlPr>
                              <w:rPr>
                                <w:rFonts w:ascii="Cambria Math" w:hAnsi="Cambria Math" w:eastAsia="楷体" w:cs="Times New Roman"/>
                                <w:i/>
                                <w:sz w:val="18"/>
                                <w:szCs w:val="18"/>
                                <w:highlight w:val="none"/>
                              </w:rPr>
                            </m:ctrlPr>
                          </m:e>
                        </m:eqArr>
                        <m:ctrlPr>
                          <w:rPr>
                            <w:rFonts w:ascii="Cambria Math" w:hAnsi="Cambria Math" w:eastAsia="楷体" w:cs="Times New Roman"/>
                            <w:i/>
                            <w:sz w:val="18"/>
                            <w:szCs w:val="18"/>
                            <w:highlight w:val="none"/>
                          </w:rPr>
                        </m:ctrlPr>
                      </m:num>
                      <m:den>
                        <m:r>
                          <m:rPr/>
                          <w:rPr>
                            <w:rFonts w:ascii="Cambria Math" w:hAnsi="Cambria Math" w:eastAsia="楷体" w:cs="Times New Roman"/>
                            <w:sz w:val="18"/>
                            <w:szCs w:val="18"/>
                            <w:highlight w:val="none"/>
                          </w:rPr>
                          <m:t>EARN(t−</m:t>
                        </m:r>
                        <m:d>
                          <m:dPr>
                            <m:ctrlPr>
                              <w:rPr>
                                <w:rFonts w:ascii="Cambria Math" w:hAnsi="Cambria Math" w:eastAsia="楷体" w:cs="Times New Roman"/>
                                <w:i/>
                                <w:sz w:val="18"/>
                                <w:szCs w:val="18"/>
                                <w:highlight w:val="none"/>
                              </w:rPr>
                            </m:ctrlPr>
                          </m:dPr>
                          <m:e>
                            <m:r>
                              <m:rPr/>
                              <w:rPr>
                                <w:rFonts w:ascii="Cambria Math" w:hAnsi="Cambria Math" w:eastAsia="楷体" w:cs="Times New Roman"/>
                                <w:sz w:val="18"/>
                                <w:szCs w:val="18"/>
                                <w:highlight w:val="none"/>
                              </w:rPr>
                              <m:t>l+1</m:t>
                            </m:r>
                            <m:ctrlPr>
                              <w:rPr>
                                <w:rFonts w:ascii="Cambria Math" w:hAnsi="Cambria Math" w:eastAsia="楷体" w:cs="Times New Roman"/>
                                <w:i/>
                                <w:sz w:val="18"/>
                                <w:szCs w:val="18"/>
                                <w:highlight w:val="none"/>
                              </w:rPr>
                            </m:ctrlPr>
                          </m:e>
                        </m:d>
                        <m:r>
                          <m:rPr/>
                          <w:rPr>
                            <w:rFonts w:ascii="Cambria Math" w:hAnsi="Cambria Math" w:eastAsia="楷体" w:cs="Times New Roman"/>
                            <w:sz w:val="18"/>
                            <w:szCs w:val="18"/>
                            <w:highlight w:val="none"/>
                          </w:rPr>
                          <m:t>∗63)</m:t>
                        </m:r>
                        <m:ctrlPr>
                          <w:rPr>
                            <w:rFonts w:ascii="Cambria Math" w:hAnsi="Cambria Math" w:eastAsia="楷体" w:cs="Times New Roman"/>
                            <w:i/>
                            <w:sz w:val="18"/>
                            <w:szCs w:val="18"/>
                            <w:highlight w:val="none"/>
                          </w:rPr>
                        </m:ctrlPr>
                      </m:den>
                    </m:f>
                    <m:ctrlPr>
                      <w:rPr>
                        <w:rFonts w:ascii="Cambria Math" w:hAnsi="Cambria Math" w:eastAsia="楷体" w:cs="Times New Roman"/>
                        <w:i/>
                        <w:sz w:val="18"/>
                        <w:szCs w:val="18"/>
                        <w:highlight w:val="none"/>
                      </w:rPr>
                    </m:ctrlPr>
                  </m:e>
                </m:nary>
              </m:oMath>
            </m:oMathPara>
          </w:p>
          <w:p w14:paraId="0A2F31F7">
            <w:pPr>
              <w:rPr>
                <w:rFonts w:ascii="楷体" w:hAnsi="楷体" w:eastAsia="楷体" w:cs="Times New Roman"/>
                <w:sz w:val="18"/>
                <w:szCs w:val="18"/>
                <w:highlight w:val="none"/>
              </w:rPr>
            </w:pPr>
            <w:r>
              <w:rPr>
                <w:rFonts w:hint="eastAsia" w:ascii="楷体" w:hAnsi="楷体" w:eastAsia="楷体" w:cs="Times New Roman"/>
                <w:sz w:val="18"/>
                <w:szCs w:val="18"/>
                <w:highlight w:val="none"/>
              </w:rPr>
              <w:t>L={0,1,2,3}</w:t>
            </w:r>
          </w:p>
        </w:tc>
      </w:tr>
      <w:tr w14:paraId="23BD721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restart"/>
            <w:vAlign w:val="center"/>
          </w:tcPr>
          <w:p w14:paraId="6110188B">
            <w:pPr>
              <w:jc w:val="center"/>
              <w:rPr>
                <w:rFonts w:ascii="楷体" w:hAnsi="楷体" w:eastAsia="楷体"/>
                <w:sz w:val="18"/>
                <w:szCs w:val="18"/>
                <w:highlight w:val="none"/>
              </w:rPr>
            </w:pPr>
            <w:r>
              <w:rPr>
                <w:rFonts w:ascii="楷体" w:hAnsi="楷体" w:eastAsia="楷体"/>
                <w:sz w:val="18"/>
                <w:szCs w:val="18"/>
                <w:highlight w:val="none"/>
              </w:rPr>
              <w:t>Dividend Yield</w:t>
            </w:r>
          </w:p>
        </w:tc>
        <w:tc>
          <w:tcPr>
            <w:tcW w:w="1276" w:type="dxa"/>
            <w:vMerge w:val="restart"/>
            <w:vAlign w:val="center"/>
          </w:tcPr>
          <w:p w14:paraId="30ACAFF3">
            <w:pPr>
              <w:jc w:val="center"/>
              <w:rPr>
                <w:rFonts w:ascii="楷体" w:hAnsi="楷体" w:eastAsia="楷体"/>
                <w:sz w:val="18"/>
                <w:szCs w:val="18"/>
                <w:highlight w:val="none"/>
              </w:rPr>
            </w:pPr>
            <w:r>
              <w:rPr>
                <w:rFonts w:ascii="楷体" w:hAnsi="楷体" w:eastAsia="楷体"/>
                <w:sz w:val="18"/>
                <w:szCs w:val="18"/>
                <w:highlight w:val="none"/>
              </w:rPr>
              <w:t>Dividend Yield</w:t>
            </w:r>
          </w:p>
        </w:tc>
        <w:tc>
          <w:tcPr>
            <w:tcW w:w="1843" w:type="dxa"/>
            <w:vAlign w:val="center"/>
          </w:tcPr>
          <w:p w14:paraId="058794A6">
            <w:pPr>
              <w:jc w:val="center"/>
              <w:rPr>
                <w:rFonts w:ascii="楷体" w:hAnsi="楷体" w:eastAsia="楷体"/>
                <w:sz w:val="18"/>
                <w:szCs w:val="18"/>
                <w:highlight w:val="none"/>
              </w:rPr>
            </w:pPr>
            <w:r>
              <w:rPr>
                <w:rFonts w:ascii="楷体" w:hAnsi="楷体" w:eastAsia="楷体"/>
                <w:sz w:val="18"/>
                <w:szCs w:val="18"/>
                <w:highlight w:val="none"/>
              </w:rPr>
              <w:t>Dividend-to-price ratio</w:t>
            </w:r>
          </w:p>
        </w:tc>
        <w:tc>
          <w:tcPr>
            <w:tcW w:w="1145" w:type="dxa"/>
            <w:vAlign w:val="center"/>
          </w:tcPr>
          <w:p w14:paraId="704203CB">
            <w:pPr>
              <w:jc w:val="center"/>
              <w:rPr>
                <w:rFonts w:ascii="楷体" w:hAnsi="楷体" w:eastAsia="楷体"/>
                <w:sz w:val="18"/>
                <w:szCs w:val="18"/>
                <w:highlight w:val="none"/>
              </w:rPr>
            </w:pPr>
            <w:r>
              <w:rPr>
                <w:rFonts w:hint="eastAsia" w:ascii="楷体" w:hAnsi="楷体" w:eastAsia="楷体"/>
                <w:sz w:val="18"/>
                <w:szCs w:val="18"/>
                <w:highlight w:val="none"/>
              </w:rPr>
              <w:t>股息率</w:t>
            </w:r>
          </w:p>
        </w:tc>
        <w:tc>
          <w:tcPr>
            <w:tcW w:w="4950" w:type="dxa"/>
            <w:vAlign w:val="center"/>
          </w:tcPr>
          <w:p w14:paraId="6163E537">
            <w:pPr>
              <w:rPr>
                <w:rFonts w:ascii="楷体" w:hAnsi="楷体" w:eastAsia="楷体" w:cs="Times New Roman"/>
                <w:sz w:val="18"/>
                <w:szCs w:val="18"/>
                <w:highlight w:val="none"/>
              </w:rPr>
            </w:pPr>
            <w:r>
              <w:rPr>
                <w:rFonts w:hint="eastAsia" w:ascii="楷体" w:hAnsi="楷体" w:eastAsia="楷体" w:cs="Times New Roman"/>
                <w:sz w:val="18"/>
                <w:szCs w:val="18"/>
                <w:highlight w:val="none"/>
              </w:rPr>
              <w:t>最近12个月的每股股息除以上个月月末的股价</w:t>
            </w:r>
          </w:p>
        </w:tc>
      </w:tr>
      <w:tr w14:paraId="42E26D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3" w:type="dxa"/>
            <w:vMerge w:val="continue"/>
            <w:vAlign w:val="center"/>
          </w:tcPr>
          <w:p w14:paraId="0557BBF6">
            <w:pPr>
              <w:jc w:val="center"/>
              <w:rPr>
                <w:rFonts w:ascii="楷体" w:hAnsi="楷体" w:eastAsia="楷体"/>
                <w:sz w:val="18"/>
                <w:szCs w:val="18"/>
                <w:highlight w:val="none"/>
              </w:rPr>
            </w:pPr>
          </w:p>
        </w:tc>
        <w:tc>
          <w:tcPr>
            <w:tcW w:w="1276" w:type="dxa"/>
            <w:vMerge w:val="continue"/>
            <w:vAlign w:val="center"/>
          </w:tcPr>
          <w:p w14:paraId="26EF6289">
            <w:pPr>
              <w:jc w:val="center"/>
              <w:rPr>
                <w:rFonts w:ascii="楷体" w:hAnsi="楷体" w:eastAsia="楷体"/>
                <w:sz w:val="18"/>
                <w:szCs w:val="18"/>
                <w:highlight w:val="none"/>
              </w:rPr>
            </w:pPr>
          </w:p>
        </w:tc>
        <w:tc>
          <w:tcPr>
            <w:tcW w:w="1843" w:type="dxa"/>
            <w:vAlign w:val="center"/>
          </w:tcPr>
          <w:p w14:paraId="500FCA40">
            <w:pPr>
              <w:jc w:val="center"/>
              <w:rPr>
                <w:rFonts w:ascii="楷体" w:hAnsi="楷体" w:eastAsia="楷体"/>
                <w:sz w:val="18"/>
                <w:szCs w:val="18"/>
                <w:highlight w:val="none"/>
              </w:rPr>
            </w:pPr>
            <w:r>
              <w:rPr>
                <w:rFonts w:ascii="楷体" w:hAnsi="楷体" w:eastAsia="楷体"/>
                <w:sz w:val="18"/>
                <w:szCs w:val="18"/>
                <w:highlight w:val="none"/>
              </w:rPr>
              <w:t>Analyst predicted dividend to price ratio</w:t>
            </w:r>
          </w:p>
        </w:tc>
        <w:tc>
          <w:tcPr>
            <w:tcW w:w="1145" w:type="dxa"/>
            <w:vAlign w:val="center"/>
          </w:tcPr>
          <w:p w14:paraId="6D061F8D">
            <w:pPr>
              <w:jc w:val="center"/>
              <w:rPr>
                <w:rFonts w:ascii="楷体" w:hAnsi="楷体" w:eastAsia="楷体"/>
                <w:sz w:val="18"/>
                <w:szCs w:val="18"/>
                <w:highlight w:val="none"/>
              </w:rPr>
            </w:pPr>
            <w:r>
              <w:rPr>
                <w:rFonts w:hint="eastAsia" w:ascii="楷体" w:hAnsi="楷体" w:eastAsia="楷体"/>
                <w:sz w:val="18"/>
                <w:szCs w:val="18"/>
                <w:highlight w:val="none"/>
              </w:rPr>
              <w:t>分析师预测分红价格比</w:t>
            </w:r>
          </w:p>
        </w:tc>
        <w:tc>
          <w:tcPr>
            <w:tcW w:w="4950" w:type="dxa"/>
            <w:vAlign w:val="center"/>
          </w:tcPr>
          <w:p w14:paraId="345DA66B">
            <w:pPr>
              <w:rPr>
                <w:rFonts w:ascii="楷体" w:hAnsi="楷体" w:eastAsia="楷体" w:cs="Times New Roman"/>
                <w:sz w:val="18"/>
                <w:szCs w:val="18"/>
                <w:highlight w:val="none"/>
              </w:rPr>
            </w:pPr>
            <w:r>
              <w:rPr>
                <w:rFonts w:hint="eastAsia" w:ascii="楷体" w:hAnsi="楷体" w:eastAsia="楷体" w:cs="Times New Roman"/>
                <w:sz w:val="18"/>
                <w:szCs w:val="18"/>
                <w:highlight w:val="none"/>
              </w:rPr>
              <w:t>预测12个月的每股股息（DPS</w:t>
            </w:r>
            <w:r>
              <w:rPr>
                <w:rFonts w:ascii="楷体" w:hAnsi="楷体" w:eastAsia="楷体" w:cs="Times New Roman"/>
                <w:sz w:val="18"/>
                <w:szCs w:val="18"/>
                <w:highlight w:val="none"/>
              </w:rPr>
              <w:t>）</w:t>
            </w:r>
            <w:r>
              <w:rPr>
                <w:rFonts w:hint="eastAsia" w:ascii="楷体" w:hAnsi="楷体" w:eastAsia="楷体" w:cs="Times New Roman"/>
                <w:sz w:val="18"/>
                <w:szCs w:val="18"/>
                <w:highlight w:val="none"/>
              </w:rPr>
              <w:t>除以当前价格</w:t>
            </w:r>
          </w:p>
        </w:tc>
      </w:tr>
    </w:tbl>
    <w:p w14:paraId="3E543A21">
      <w:pPr>
        <w:jc w:val="left"/>
        <w:rPr>
          <w:rFonts w:ascii="楷体" w:hAnsi="楷体" w:eastAsia="楷体"/>
          <w:sz w:val="18"/>
          <w:szCs w:val="18"/>
        </w:rPr>
      </w:pPr>
    </w:p>
    <w:p w14:paraId="72B4EB73">
      <w:pPr>
        <w:rPr>
          <w:sz w:val="18"/>
          <w:szCs w:val="1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88D"/>
    <w:rsid w:val="0001118E"/>
    <w:rsid w:val="00013164"/>
    <w:rsid w:val="00025BD8"/>
    <w:rsid w:val="00034C22"/>
    <w:rsid w:val="00041E97"/>
    <w:rsid w:val="0004636F"/>
    <w:rsid w:val="00047DB9"/>
    <w:rsid w:val="000A0A2B"/>
    <w:rsid w:val="000D58A9"/>
    <w:rsid w:val="000E5522"/>
    <w:rsid w:val="00102C3A"/>
    <w:rsid w:val="001148E7"/>
    <w:rsid w:val="001351B3"/>
    <w:rsid w:val="00140D56"/>
    <w:rsid w:val="00154822"/>
    <w:rsid w:val="00154F7E"/>
    <w:rsid w:val="001732F8"/>
    <w:rsid w:val="001864C4"/>
    <w:rsid w:val="0019357B"/>
    <w:rsid w:val="001A7BE8"/>
    <w:rsid w:val="001C71E6"/>
    <w:rsid w:val="00206D3C"/>
    <w:rsid w:val="00207D30"/>
    <w:rsid w:val="00210D2F"/>
    <w:rsid w:val="00225395"/>
    <w:rsid w:val="002570D7"/>
    <w:rsid w:val="002635DD"/>
    <w:rsid w:val="00264C76"/>
    <w:rsid w:val="00284192"/>
    <w:rsid w:val="00296F5B"/>
    <w:rsid w:val="002B5554"/>
    <w:rsid w:val="002C5FE1"/>
    <w:rsid w:val="0030685A"/>
    <w:rsid w:val="003208E1"/>
    <w:rsid w:val="00346046"/>
    <w:rsid w:val="003627FF"/>
    <w:rsid w:val="003635FB"/>
    <w:rsid w:val="0038056E"/>
    <w:rsid w:val="003C4732"/>
    <w:rsid w:val="003D1DA6"/>
    <w:rsid w:val="004024EB"/>
    <w:rsid w:val="00432220"/>
    <w:rsid w:val="004368F5"/>
    <w:rsid w:val="0043715D"/>
    <w:rsid w:val="00437507"/>
    <w:rsid w:val="00460109"/>
    <w:rsid w:val="00461566"/>
    <w:rsid w:val="00477C21"/>
    <w:rsid w:val="004E0045"/>
    <w:rsid w:val="004E60F9"/>
    <w:rsid w:val="004E6315"/>
    <w:rsid w:val="004F33F3"/>
    <w:rsid w:val="004F4634"/>
    <w:rsid w:val="0050548C"/>
    <w:rsid w:val="00527FE9"/>
    <w:rsid w:val="00537C54"/>
    <w:rsid w:val="00550F2C"/>
    <w:rsid w:val="0055296A"/>
    <w:rsid w:val="00567A5C"/>
    <w:rsid w:val="00574A51"/>
    <w:rsid w:val="00580A39"/>
    <w:rsid w:val="0058341C"/>
    <w:rsid w:val="005A019C"/>
    <w:rsid w:val="005A2F9E"/>
    <w:rsid w:val="005C452F"/>
    <w:rsid w:val="005F1357"/>
    <w:rsid w:val="005F144A"/>
    <w:rsid w:val="00617A86"/>
    <w:rsid w:val="00627B6F"/>
    <w:rsid w:val="00681C5B"/>
    <w:rsid w:val="00685508"/>
    <w:rsid w:val="006A32F0"/>
    <w:rsid w:val="006B003F"/>
    <w:rsid w:val="006E4960"/>
    <w:rsid w:val="00706844"/>
    <w:rsid w:val="007318F9"/>
    <w:rsid w:val="00765E26"/>
    <w:rsid w:val="007900A5"/>
    <w:rsid w:val="007D56EA"/>
    <w:rsid w:val="0080106E"/>
    <w:rsid w:val="008178A3"/>
    <w:rsid w:val="008470AE"/>
    <w:rsid w:val="008607F2"/>
    <w:rsid w:val="00863BA8"/>
    <w:rsid w:val="00865106"/>
    <w:rsid w:val="0086548A"/>
    <w:rsid w:val="008B610A"/>
    <w:rsid w:val="008C6A91"/>
    <w:rsid w:val="008E15B2"/>
    <w:rsid w:val="008F340F"/>
    <w:rsid w:val="00931FB8"/>
    <w:rsid w:val="0093566E"/>
    <w:rsid w:val="00953FA1"/>
    <w:rsid w:val="00957DEF"/>
    <w:rsid w:val="009E48DF"/>
    <w:rsid w:val="009F1E19"/>
    <w:rsid w:val="009F51B5"/>
    <w:rsid w:val="00A02FBE"/>
    <w:rsid w:val="00A268FC"/>
    <w:rsid w:val="00A643B3"/>
    <w:rsid w:val="00A93080"/>
    <w:rsid w:val="00AE288F"/>
    <w:rsid w:val="00AE3AE3"/>
    <w:rsid w:val="00B211CB"/>
    <w:rsid w:val="00B60CAB"/>
    <w:rsid w:val="00B66001"/>
    <w:rsid w:val="00B7001C"/>
    <w:rsid w:val="00B8383D"/>
    <w:rsid w:val="00B83DF9"/>
    <w:rsid w:val="00BA76B6"/>
    <w:rsid w:val="00BB3794"/>
    <w:rsid w:val="00BB6888"/>
    <w:rsid w:val="00BE59C1"/>
    <w:rsid w:val="00C54B64"/>
    <w:rsid w:val="00C62D38"/>
    <w:rsid w:val="00C97BBF"/>
    <w:rsid w:val="00CC01C7"/>
    <w:rsid w:val="00CD74A7"/>
    <w:rsid w:val="00CF6049"/>
    <w:rsid w:val="00D36367"/>
    <w:rsid w:val="00D4167D"/>
    <w:rsid w:val="00D534A8"/>
    <w:rsid w:val="00D542B7"/>
    <w:rsid w:val="00D64D2B"/>
    <w:rsid w:val="00D76D9D"/>
    <w:rsid w:val="00D86035"/>
    <w:rsid w:val="00DA4D64"/>
    <w:rsid w:val="00DC042C"/>
    <w:rsid w:val="00DD5F58"/>
    <w:rsid w:val="00E0088D"/>
    <w:rsid w:val="00E21EC4"/>
    <w:rsid w:val="00E24B9A"/>
    <w:rsid w:val="00E24E05"/>
    <w:rsid w:val="00E6353B"/>
    <w:rsid w:val="00E768A3"/>
    <w:rsid w:val="00E81886"/>
    <w:rsid w:val="00E92577"/>
    <w:rsid w:val="00EB0FB4"/>
    <w:rsid w:val="00EB4AFC"/>
    <w:rsid w:val="00EC6594"/>
    <w:rsid w:val="00EE4013"/>
    <w:rsid w:val="00EF155E"/>
    <w:rsid w:val="00F0366D"/>
    <w:rsid w:val="00F20E54"/>
    <w:rsid w:val="00F533F6"/>
    <w:rsid w:val="00F540A0"/>
    <w:rsid w:val="00F63631"/>
    <w:rsid w:val="00F72B32"/>
    <w:rsid w:val="00F76C34"/>
    <w:rsid w:val="00F77962"/>
    <w:rsid w:val="00FA130F"/>
    <w:rsid w:val="00FB55D8"/>
    <w:rsid w:val="00FD0996"/>
    <w:rsid w:val="00FD31D6"/>
    <w:rsid w:val="00FE573A"/>
    <w:rsid w:val="00FE6155"/>
    <w:rsid w:val="00FF2713"/>
    <w:rsid w:val="015A5B46"/>
    <w:rsid w:val="0B307E57"/>
    <w:rsid w:val="127A6669"/>
    <w:rsid w:val="1318692D"/>
    <w:rsid w:val="15DE5C48"/>
    <w:rsid w:val="16E51C80"/>
    <w:rsid w:val="1DA82E38"/>
    <w:rsid w:val="1E824655"/>
    <w:rsid w:val="503B5C1D"/>
    <w:rsid w:val="5065440B"/>
    <w:rsid w:val="54092775"/>
    <w:rsid w:val="569C6F14"/>
    <w:rsid w:val="66210CFE"/>
    <w:rsid w:val="6FF6075D"/>
    <w:rsid w:val="700D782C"/>
    <w:rsid w:val="723D3142"/>
    <w:rsid w:val="75A91F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1"/>
    <w:semiHidden/>
    <w:unhideWhenUsed/>
    <w:qFormat/>
    <w:uiPriority w:val="99"/>
    <w:rPr>
      <w:sz w:val="18"/>
      <w:szCs w:val="18"/>
    </w:rPr>
  </w:style>
  <w:style w:type="paragraph" w:styleId="3">
    <w:name w:val="footer"/>
    <w:basedOn w:val="1"/>
    <w:link w:val="13"/>
    <w:unhideWhenUsed/>
    <w:qFormat/>
    <w:uiPriority w:val="99"/>
    <w:pPr>
      <w:tabs>
        <w:tab w:val="center" w:pos="4153"/>
        <w:tab w:val="right" w:pos="8306"/>
      </w:tabs>
      <w:snapToGrid w:val="0"/>
      <w:jc w:val="left"/>
    </w:pPr>
    <w:rPr>
      <w:sz w:val="18"/>
      <w:szCs w:val="18"/>
    </w:rPr>
  </w:style>
  <w:style w:type="paragraph" w:styleId="4">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uiPriority w:val="99"/>
    <w:pPr>
      <w:spacing w:before="100" w:beforeAutospacing="1" w:after="100" w:afterAutospacing="1"/>
      <w:jc w:val="left"/>
    </w:pPr>
    <w:rPr>
      <w:rFonts w:ascii="Calibri" w:hAnsi="Calibri" w:eastAsia="宋体" w:cs="Times New Roman"/>
      <w:kern w:val="0"/>
      <w:sz w:val="24"/>
      <w:szCs w:val="24"/>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bCs/>
    </w:rPr>
  </w:style>
  <w:style w:type="character" w:styleId="10">
    <w:name w:val="Placeholder Text"/>
    <w:basedOn w:val="8"/>
    <w:semiHidden/>
    <w:qFormat/>
    <w:uiPriority w:val="99"/>
    <w:rPr>
      <w:color w:val="808080"/>
    </w:rPr>
  </w:style>
  <w:style w:type="character" w:customStyle="1" w:styleId="11">
    <w:name w:val="批注框文本 字符"/>
    <w:basedOn w:val="8"/>
    <w:link w:val="2"/>
    <w:semiHidden/>
    <w:qFormat/>
    <w:uiPriority w:val="99"/>
    <w:rPr>
      <w:rFonts w:asciiTheme="minorHAnsi" w:hAnsiTheme="minorHAnsi" w:eastAsiaTheme="minorEastAsia" w:cstheme="minorBidi"/>
      <w:kern w:val="2"/>
      <w:sz w:val="18"/>
      <w:szCs w:val="18"/>
    </w:rPr>
  </w:style>
  <w:style w:type="character" w:customStyle="1" w:styleId="12">
    <w:name w:val="页眉 字符"/>
    <w:basedOn w:val="8"/>
    <w:link w:val="4"/>
    <w:qFormat/>
    <w:uiPriority w:val="99"/>
    <w:rPr>
      <w:rFonts w:asciiTheme="minorHAnsi" w:hAnsiTheme="minorHAnsi" w:eastAsiaTheme="minorEastAsia" w:cstheme="minorBidi"/>
      <w:kern w:val="2"/>
      <w:sz w:val="18"/>
      <w:szCs w:val="18"/>
    </w:rPr>
  </w:style>
  <w:style w:type="character" w:customStyle="1" w:styleId="13">
    <w:name w:val="页脚 字符"/>
    <w:basedOn w:val="8"/>
    <w:link w:val="3"/>
    <w:qFormat/>
    <w:uiPriority w:val="99"/>
    <w:rPr>
      <w:rFonts w:asciiTheme="minorHAnsi" w:hAnsiTheme="minorHAnsi" w:eastAsiaTheme="minorEastAsia" w:cstheme="minorBidi"/>
      <w:kern w:val="2"/>
      <w:sz w:val="18"/>
      <w:szCs w:val="18"/>
    </w:rPr>
  </w:style>
  <w:style w:type="character" w:customStyle="1" w:styleId="14">
    <w:name w:val="15"/>
    <w:basedOn w:val="8"/>
    <w:uiPriority w:val="0"/>
    <w:rPr>
      <w:rFonts w:hint="default" w:ascii="Times New Roman" w:hAnsi="Times New Roman" w:cs="Times New Roman"/>
      <w:b/>
      <w:bCs/>
    </w:rPr>
  </w:style>
  <w:style w:type="paragraph" w:customStyle="1" w:styleId="15">
    <w:name w:val="正文1"/>
    <w:uiPriority w:val="0"/>
    <w:pPr>
      <w:jc w:val="both"/>
    </w:pPr>
    <w:rPr>
      <w:rFonts w:ascii="Times New Roman" w:hAnsi="Times New Roman" w:eastAsia="宋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B826E8-D958-48E1-B997-B495FD6D62EE}">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4</Pages>
  <Words>1727</Words>
  <Characters>2476</Characters>
  <Lines>37</Lines>
  <Paragraphs>10</Paragraphs>
  <TotalTime>411</TotalTime>
  <ScaleCrop>false</ScaleCrop>
  <LinksUpToDate>false</LinksUpToDate>
  <CharactersWithSpaces>2541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2019-06-17T06:06:00Z</dcterms:created>
  <dc:creator>张世良</dc:creator>
  <cp:lastModifiedBy>%E6%A9%B9</cp:lastModifiedBy>
  <dcterms:modified xsi:type="dcterms:W3CDTF">2026-03-25T08:05:17Z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eyJoZGlkIjoiMmM3NTA2YzBjMDIzNWMxMDRkMTRmZTVlN2RlMTc4MTkiLCJ1c2VySWQiOiIzMDQzMDg1MjkifQ==</vt:lpwstr>
  </property>
  <property fmtid="{D5CDD505-2E9C-101B-9397-08002B2CF9AE}" pid="4" name="ICV">
    <vt:lpwstr>EC98BF9B8D484D9C805EB605F01FD1EC_12</vt:lpwstr>
  </property>
</Properties>
</file>