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BD" w:rsidRDefault="00315B43">
      <w:pPr>
        <w:jc w:val="center"/>
        <w:rPr>
          <w:sz w:val="48"/>
          <w:szCs w:val="48"/>
        </w:rPr>
      </w:pPr>
      <w:r>
        <w:rPr>
          <w:sz w:val="48"/>
          <w:szCs w:val="48"/>
        </w:rPr>
        <w:t>ELEC 4505:</w:t>
      </w:r>
    </w:p>
    <w:p w:rsidR="00FC44BD" w:rsidRDefault="00315B43">
      <w:pPr>
        <w:jc w:val="center"/>
        <w:rPr>
          <w:sz w:val="48"/>
          <w:szCs w:val="48"/>
        </w:rPr>
      </w:pPr>
      <w:r>
        <w:rPr>
          <w:sz w:val="48"/>
          <w:szCs w:val="48"/>
        </w:rPr>
        <w:t>Telecommunication Circuits</w:t>
      </w:r>
    </w:p>
    <w:p w:rsidR="00FC44BD" w:rsidRDefault="00315B43">
      <w:pPr>
        <w:jc w:val="center"/>
        <w:rPr>
          <w:sz w:val="24"/>
          <w:szCs w:val="24"/>
        </w:rPr>
      </w:pPr>
      <w:r>
        <w:rPr>
          <w:sz w:val="24"/>
          <w:szCs w:val="24"/>
        </w:rPr>
        <w:t>Lab 1: Tuned Amplifiers</w:t>
      </w:r>
    </w:p>
    <w:p w:rsidR="00FC44BD" w:rsidRDefault="00315B43">
      <w:pPr>
        <w:jc w:val="center"/>
        <w:rPr>
          <w:sz w:val="24"/>
          <w:szCs w:val="24"/>
        </w:rPr>
      </w:pPr>
      <w:r>
        <w:rPr>
          <w:sz w:val="24"/>
          <w:szCs w:val="24"/>
        </w:rPr>
        <w:t>30 Sept 2017</w:t>
      </w:r>
    </w:p>
    <w:p w:rsidR="00FC44BD" w:rsidRDefault="00315B43">
      <w:pPr>
        <w:jc w:val="center"/>
        <w:rPr>
          <w:sz w:val="24"/>
          <w:szCs w:val="24"/>
        </w:rPr>
      </w:pPr>
      <w:r>
        <w:rPr>
          <w:sz w:val="24"/>
          <w:szCs w:val="24"/>
        </w:rPr>
        <w:t>Section: A20</w:t>
      </w: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center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315B43">
      <w:pPr>
        <w:jc w:val="right"/>
        <w:rPr>
          <w:sz w:val="24"/>
          <w:szCs w:val="24"/>
        </w:rPr>
      </w:pPr>
      <w:r>
        <w:rPr>
          <w:sz w:val="24"/>
          <w:szCs w:val="24"/>
        </w:rPr>
        <w:t>June Looi - 100941838</w:t>
      </w:r>
    </w:p>
    <w:p w:rsidR="00FC44BD" w:rsidRDefault="00315B43">
      <w:pPr>
        <w:jc w:val="right"/>
        <w:rPr>
          <w:sz w:val="24"/>
          <w:szCs w:val="24"/>
        </w:rPr>
      </w:pPr>
      <w:r>
        <w:rPr>
          <w:sz w:val="24"/>
          <w:szCs w:val="24"/>
        </w:rPr>
        <w:t>Andre Yim - 100961929</w:t>
      </w: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jc w:val="right"/>
        <w:rPr>
          <w:sz w:val="24"/>
          <w:szCs w:val="24"/>
        </w:rPr>
      </w:pPr>
    </w:p>
    <w:p w:rsidR="00FC44BD" w:rsidRDefault="00FC44BD">
      <w:pPr>
        <w:rPr>
          <w:sz w:val="24"/>
          <w:szCs w:val="24"/>
        </w:rPr>
      </w:pPr>
    </w:p>
    <w:p w:rsidR="00AA7F04" w:rsidRDefault="00AA7F04">
      <w:pPr>
        <w:rPr>
          <w:sz w:val="24"/>
          <w:szCs w:val="24"/>
        </w:rPr>
      </w:pPr>
    </w:p>
    <w:p w:rsidR="00AA7F04" w:rsidRDefault="00AA7F04">
      <w:pPr>
        <w:rPr>
          <w:sz w:val="24"/>
          <w:szCs w:val="24"/>
        </w:rPr>
      </w:pPr>
    </w:p>
    <w:p w:rsidR="009C7436" w:rsidRDefault="00ED5FDC" w:rsidP="00ED5FDC">
      <w:pPr>
        <w:pStyle w:val="Heading7"/>
        <w:rPr>
          <w:sz w:val="36"/>
          <w:szCs w:val="36"/>
        </w:rPr>
      </w:pPr>
      <w:r w:rsidRPr="008F35FD">
        <w:rPr>
          <w:sz w:val="36"/>
          <w:szCs w:val="36"/>
        </w:rPr>
        <w:lastRenderedPageBreak/>
        <w:t>Part 1</w:t>
      </w:r>
      <w:r w:rsidR="004F6150">
        <w:rPr>
          <w:sz w:val="36"/>
          <w:szCs w:val="36"/>
        </w:rPr>
        <w:t xml:space="preserve"> – Characterization of the Phase Locked Loop</w:t>
      </w:r>
    </w:p>
    <w:p w:rsidR="004565AA" w:rsidRDefault="004565AA" w:rsidP="004565AA">
      <w:pPr>
        <w:pStyle w:val="ListParagraph"/>
        <w:numPr>
          <w:ilvl w:val="0"/>
          <w:numId w:val="1"/>
        </w:numPr>
      </w:pPr>
      <w:r>
        <w:t>The VCO</w:t>
      </w:r>
    </w:p>
    <w:p w:rsidR="004565AA" w:rsidRDefault="004565AA" w:rsidP="004565AA">
      <w:r>
        <w:t>Before obtaining the data to characterize the K</w:t>
      </w:r>
      <w:r>
        <w:rPr>
          <w:vertAlign w:val="subscript"/>
        </w:rPr>
        <w:t>VCO</w:t>
      </w:r>
      <w:r>
        <w:t>, we must find the values for the capacitor and the resistance value, R</w:t>
      </w:r>
      <w:r>
        <w:rPr>
          <w:vertAlign w:val="subscript"/>
        </w:rPr>
        <w:t>1</w:t>
      </w:r>
      <w:r>
        <w:t>. As R</w:t>
      </w:r>
      <w:r>
        <w:rPr>
          <w:vertAlign w:val="subscript"/>
        </w:rPr>
        <w:t>2</w:t>
      </w:r>
      <w:r>
        <w:t xml:space="preserve"> is opened, only R</w:t>
      </w:r>
      <w:r>
        <w:softHyphen/>
      </w:r>
      <w:r>
        <w:rPr>
          <w:vertAlign w:val="subscript"/>
        </w:rPr>
        <w:t>1</w:t>
      </w:r>
      <w:r>
        <w:t xml:space="preserve"> needs to be picked. Using the data sheet that is provided, a graph (Figure 1) of the Typical Center Frequency vs R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 xml:space="preserve"> is used to determine the proper value to meet specification.</w:t>
      </w:r>
    </w:p>
    <w:p w:rsidR="004565AA" w:rsidRDefault="004565AA" w:rsidP="004565AA">
      <w:pPr>
        <w:jc w:val="center"/>
      </w:pPr>
      <w:r>
        <w:rPr>
          <w:noProof/>
        </w:rPr>
        <w:drawing>
          <wp:inline distT="0" distB="0" distL="0" distR="0" wp14:anchorId="03BDB88B" wp14:editId="3903E775">
            <wp:extent cx="31051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AA" w:rsidRDefault="00D275D7" w:rsidP="004565AA">
      <w:r>
        <w:t>Since the nominal frequency is between 1.5MHz to 1.125 MHz, we selected the capacitance value, C</w:t>
      </w:r>
      <w:r>
        <w:rPr>
          <w:vertAlign w:val="subscript"/>
        </w:rPr>
        <w:t>1</w:t>
      </w:r>
      <w:r>
        <w:t xml:space="preserve"> = 180 pF, while the resistance value to 10kΩ. However, in lab condition, 180pF were unavailable to be used for the </w:t>
      </w:r>
      <w:proofErr w:type="spellStart"/>
      <w:r>
        <w:t>experiement</w:t>
      </w:r>
      <w:proofErr w:type="spellEnd"/>
      <w:r>
        <w:t>. The closest value that can be matched to the theoretical value is a capacitance value of 270pF. By doing another iteration by matching the value to the graph, R</w:t>
      </w:r>
      <w:r>
        <w:rPr>
          <w:vertAlign w:val="subscript"/>
        </w:rPr>
        <w:t>1</w:t>
      </w:r>
      <w:r>
        <w:t xml:space="preserve"> = 10kΩ produces a much more desirable result which will be seen in the later sections.</w:t>
      </w:r>
    </w:p>
    <w:p w:rsidR="00D275D7" w:rsidRDefault="00D275D7" w:rsidP="004565AA"/>
    <w:p w:rsidR="00D275D7" w:rsidRDefault="00D556E5" w:rsidP="004565AA">
      <w:r>
        <w:t>1.2 – Plot of the VCO Frequency vs DC Tuning Voltage</w:t>
      </w:r>
    </w:p>
    <w:p w:rsidR="00D556E5" w:rsidRDefault="00D556E5" w:rsidP="004565AA"/>
    <w:p w:rsidR="00ED5FDC" w:rsidRDefault="00D556E5" w:rsidP="00ED5FDC">
      <w:r>
        <w:t xml:space="preserve">By connecting the jumper to the circuit with the potentiometer, we </w:t>
      </w:r>
      <w:proofErr w:type="gramStart"/>
      <w:r>
        <w:t>are able to</w:t>
      </w:r>
      <w:proofErr w:type="gramEnd"/>
      <w:r>
        <w:t xml:space="preserve"> change </w:t>
      </w:r>
      <w:r w:rsidR="000D0071">
        <w:t>the output DC voltage measured on the digital multimeter with respect to the frequency. Below shows a table at which</w:t>
      </w:r>
    </w:p>
    <w:p w:rsidR="00ED5FDC" w:rsidRDefault="00ED5FDC" w:rsidP="00ED5FDC"/>
    <w:tbl>
      <w:tblPr>
        <w:tblStyle w:val="TableGrid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1153"/>
      </w:tblGrid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proofErr w:type="spellStart"/>
            <w:r w:rsidRPr="000D0071">
              <w:rPr>
                <w:rFonts w:ascii="Calibri" w:eastAsia="Times New Roman" w:hAnsi="Calibri" w:cs="Times New Roman"/>
                <w:lang w:eastAsia="en-US"/>
              </w:rPr>
              <w:t>Vco</w:t>
            </w:r>
            <w:proofErr w:type="spellEnd"/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Frequency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1.35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5.00E+05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1.85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7.50E+05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2.08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1.13E+06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2.1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1.13E+06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2.12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1.14E+06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2.14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1.15E+06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2.16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1.16E+06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2.18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1.17E+06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2.2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1.18E+06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2.22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1.19E+06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lastRenderedPageBreak/>
              <w:t>2.26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1.20E+06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2.3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1.21E+06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2.32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1.22E+06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2.36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1.23E+06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1.24E+06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1.25E+06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2.58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1.26E+06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2.6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1.27E+06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1.28E+06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2.86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1.29E+06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2.87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1.30E+06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2.92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1.31E+06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2.96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1.32E+06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3.01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1.33E+06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3.08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1.34E+06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3.15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1.35E+06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3.2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1.36E+06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3.29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1.37E+06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3.3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1.38E+06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3.36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1.39E+06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3.41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1.40E+06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3.43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1.41E+06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3.45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1.42E+06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3.49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1.43E+06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3.55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1.44E+06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3.61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1.45E+06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3.68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1.46E+06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3.73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1.47E+06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3.8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1.48E+06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1.49E+06</w:t>
            </w:r>
          </w:p>
        </w:tc>
      </w:tr>
      <w:tr w:rsidR="000D0071" w:rsidRPr="000D0071" w:rsidTr="000D0071">
        <w:trPr>
          <w:trHeight w:val="288"/>
          <w:jc w:val="center"/>
        </w:trPr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4.05</w:t>
            </w:r>
          </w:p>
        </w:tc>
        <w:tc>
          <w:tcPr>
            <w:tcW w:w="960" w:type="dxa"/>
            <w:noWrap/>
            <w:hideMark/>
          </w:tcPr>
          <w:p w:rsidR="000D0071" w:rsidRPr="000D0071" w:rsidRDefault="000D0071" w:rsidP="000D007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D0071">
              <w:rPr>
                <w:rFonts w:ascii="Calibri" w:eastAsia="Times New Roman" w:hAnsi="Calibri" w:cs="Times New Roman"/>
                <w:lang w:eastAsia="en-US"/>
              </w:rPr>
              <w:t>1.50E+06</w:t>
            </w:r>
          </w:p>
        </w:tc>
      </w:tr>
    </w:tbl>
    <w:p w:rsidR="00ED5FDC" w:rsidRDefault="00ED5FDC" w:rsidP="00ED5FDC"/>
    <w:p w:rsidR="00ED5FDC" w:rsidRDefault="000D0071" w:rsidP="00ED5FDC">
      <w:r>
        <w:rPr>
          <w:noProof/>
        </w:rPr>
        <w:lastRenderedPageBreak/>
        <w:drawing>
          <wp:inline distT="0" distB="0" distL="0" distR="0" wp14:anchorId="2CA4CFA8" wp14:editId="2EAFBD20">
            <wp:extent cx="5733415" cy="3446780"/>
            <wp:effectExtent l="0" t="0" r="635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4C72B0B-BABE-4E65-9F9B-05F0E5071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D0071" w:rsidRDefault="000D0071" w:rsidP="00ED5FDC"/>
    <w:p w:rsidR="002C39DE" w:rsidRDefault="002C39DE" w:rsidP="00ED5FDC">
      <w:r>
        <w:t>1.3 Calculate K</w:t>
      </w:r>
      <w:r>
        <w:rPr>
          <w:vertAlign w:val="subscript"/>
        </w:rPr>
        <w:t>VCO</w:t>
      </w:r>
    </w:p>
    <w:p w:rsidR="002C39DE" w:rsidRPr="002C39DE" w:rsidRDefault="002C39DE" w:rsidP="00ED5FDC"/>
    <w:p w:rsidR="000D0071" w:rsidRDefault="000D0071" w:rsidP="00ED5FDC">
      <w:proofErr w:type="gramStart"/>
      <w:r>
        <w:t>However</w:t>
      </w:r>
      <w:proofErr w:type="gramEnd"/>
      <w:r>
        <w:t xml:space="preserve"> in order to </w:t>
      </w:r>
      <w:r w:rsidR="002C39DE">
        <w:t>characterize the K</w:t>
      </w:r>
      <w:r w:rsidR="002C39DE">
        <w:rPr>
          <w:vertAlign w:val="subscript"/>
        </w:rPr>
        <w:t>VCO</w:t>
      </w:r>
      <w:r w:rsidR="002C39DE">
        <w:t xml:space="preserve"> value, we must take the slope value and converting from [Hz/V] to [(rad/s)/V]</w:t>
      </w:r>
    </w:p>
    <w:p w:rsidR="002C39DE" w:rsidRDefault="002C39DE" w:rsidP="00ED5FDC"/>
    <w:p w:rsidR="002C39DE" w:rsidRDefault="002C39DE" w:rsidP="00ED5FDC">
      <w:r>
        <w:t>The expression for the conversion can be shown below</w:t>
      </w:r>
    </w:p>
    <w:p w:rsidR="002C39DE" w:rsidRPr="00FF29A4" w:rsidRDefault="0049167B" w:rsidP="00ED5F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VCO</m:t>
              </m:r>
            </m:sub>
          </m:sSub>
          <m:r>
            <w:rPr>
              <w:rFonts w:ascii="Cambria Math" w:hAnsi="Cambria Math"/>
            </w:rPr>
            <m:t>=2π*m</m:t>
          </m:r>
        </m:oMath>
      </m:oMathPara>
    </w:p>
    <w:p w:rsidR="00FF29A4" w:rsidRDefault="00FF29A4" w:rsidP="00ED5FDC">
      <w:r>
        <w:t>Where m is the slope of the linear equation,</w:t>
      </w:r>
    </w:p>
    <w:p w:rsidR="00FF29A4" w:rsidRPr="00FF29A4" w:rsidRDefault="0049167B" w:rsidP="00FF29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VCO</m:t>
              </m:r>
            </m:sub>
          </m:sSub>
          <m:r>
            <w:rPr>
              <w:rFonts w:ascii="Cambria Math" w:hAnsi="Cambria Math"/>
            </w:rPr>
            <m:t>=2π*251237</m:t>
          </m:r>
        </m:oMath>
      </m:oMathPara>
    </w:p>
    <w:p w:rsidR="00FF29A4" w:rsidRPr="00FF29A4" w:rsidRDefault="0049167B" w:rsidP="00FF29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VCO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1.59Mrad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FF29A4" w:rsidRDefault="0049167B" w:rsidP="00FF29A4">
      <w:r>
        <w:t>Question 2: The Characterization of the 3 Phase Detectors</w:t>
      </w:r>
    </w:p>
    <w:p w:rsidR="00066208" w:rsidRDefault="00066208" w:rsidP="00FF29A4"/>
    <w:p w:rsidR="00066208" w:rsidRDefault="00066208" w:rsidP="00066208">
      <w:r>
        <w:t>Phase Detector 1</w:t>
      </w:r>
    </w:p>
    <w:p w:rsidR="00066208" w:rsidRDefault="00066208" w:rsidP="00FF29A4"/>
    <w:tbl>
      <w:tblPr>
        <w:tblStyle w:val="TableGrid"/>
        <w:tblW w:w="4360" w:type="dxa"/>
        <w:tblLook w:val="04A0" w:firstRow="1" w:lastRow="0" w:firstColumn="1" w:lastColumn="0" w:noHBand="0" w:noVBand="1"/>
      </w:tblPr>
      <w:tblGrid>
        <w:gridCol w:w="960"/>
        <w:gridCol w:w="1053"/>
        <w:gridCol w:w="1406"/>
        <w:gridCol w:w="1047"/>
      </w:tblGrid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440" w:type="dxa"/>
            <w:gridSpan w:val="2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Phase 1 Detector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Time Diff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Phase rad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Phase degree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Voltage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2.51E-07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0.289515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16.588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5.02E-01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5.08E-07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0.61083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34.998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1.02E+00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7.34E-07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0.916769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52.527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1.47E+00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9.84E-07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1.233424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70.67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1.97E+00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1.23E-06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1.544407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88.488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2.46E+00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lastRenderedPageBreak/>
              <w:t>1.51E-06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1.882233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107.844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3.02E+00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1.77E-06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2.204997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126.337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3.54E+00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2.02E-06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2.518091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144.276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4.04E+00</w:t>
            </w:r>
          </w:p>
        </w:tc>
      </w:tr>
      <w:tr w:rsidR="00066208" w:rsidRPr="00066208" w:rsidTr="00066208">
        <w:trPr>
          <w:trHeight w:val="288"/>
        </w:trPr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2.24E-06</w:t>
            </w:r>
          </w:p>
        </w:tc>
        <w:tc>
          <w:tcPr>
            <w:tcW w:w="1034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2.84466</w:t>
            </w:r>
          </w:p>
        </w:tc>
        <w:tc>
          <w:tcPr>
            <w:tcW w:w="1406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162.987</w:t>
            </w:r>
          </w:p>
        </w:tc>
        <w:tc>
          <w:tcPr>
            <w:tcW w:w="960" w:type="dxa"/>
            <w:noWrap/>
            <w:hideMark/>
          </w:tcPr>
          <w:p w:rsidR="00066208" w:rsidRPr="00066208" w:rsidRDefault="00066208" w:rsidP="000662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066208">
              <w:rPr>
                <w:rFonts w:ascii="Calibri" w:eastAsia="Times New Roman" w:hAnsi="Calibri" w:cs="Times New Roman"/>
                <w:lang w:eastAsia="en-US"/>
              </w:rPr>
              <w:t>4.48E+00</w:t>
            </w:r>
          </w:p>
        </w:tc>
      </w:tr>
    </w:tbl>
    <w:p w:rsidR="0049167B" w:rsidRDefault="0049167B" w:rsidP="00FF29A4"/>
    <w:p w:rsidR="0049167B" w:rsidRDefault="00066208" w:rsidP="00FF29A4">
      <w:r>
        <w:rPr>
          <w:noProof/>
        </w:rPr>
        <w:drawing>
          <wp:inline distT="0" distB="0" distL="0" distR="0" wp14:anchorId="693E8172" wp14:editId="1DF8E61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74A4A89-992D-4D81-9033-30B1C085C5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167B" w:rsidRDefault="0049167B" w:rsidP="00FF29A4"/>
    <w:p w:rsidR="0049167B" w:rsidRDefault="0049167B" w:rsidP="00FF29A4">
      <w:r>
        <w:t>Phase Detector 2</w:t>
      </w:r>
    </w:p>
    <w:tbl>
      <w:tblPr>
        <w:tblStyle w:val="TableGridLight"/>
        <w:tblW w:w="4443" w:type="dxa"/>
        <w:tblLook w:val="04A0" w:firstRow="1" w:lastRow="0" w:firstColumn="1" w:lastColumn="0" w:noHBand="0" w:noVBand="1"/>
      </w:tblPr>
      <w:tblGrid>
        <w:gridCol w:w="960"/>
        <w:gridCol w:w="1053"/>
        <w:gridCol w:w="1235"/>
        <w:gridCol w:w="1340"/>
      </w:tblGrid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143" w:type="dxa"/>
            <w:gridSpan w:val="2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Phase 2 Detector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Time Diff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Phase rad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Phase degree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Voltage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2.28E-07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0.2803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16.06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2.39E+00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5.02E-07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0.570025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32.66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2.25E+00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7.51E-07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0.916996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52.54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2.12E+00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9.96E-07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1.233424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70.67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2.00E+00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1.22E-06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1.56186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89.488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1.89E+00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1.52E-06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1.882233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107.844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1.74E+00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1.77E-06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2.216568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127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1.62E+00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2.02E-06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2.517201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144.225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1.49E+00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2.23E-06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2.827433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162</w:t>
            </w:r>
          </w:p>
        </w:tc>
        <w:tc>
          <w:tcPr>
            <w:tcW w:w="134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1.39E+00</w:t>
            </w:r>
          </w:p>
        </w:tc>
      </w:tr>
    </w:tbl>
    <w:p w:rsidR="003A7E98" w:rsidRDefault="003A7E98" w:rsidP="00FF29A4"/>
    <w:p w:rsidR="003A7E98" w:rsidRDefault="003A7E98" w:rsidP="00FF29A4">
      <w:r>
        <w:rPr>
          <w:noProof/>
        </w:rPr>
        <w:lastRenderedPageBreak/>
        <w:drawing>
          <wp:inline distT="0" distB="0" distL="0" distR="0" wp14:anchorId="001FB88B" wp14:editId="3CF2DC14">
            <wp:extent cx="4815840" cy="2743200"/>
            <wp:effectExtent l="0" t="0" r="381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FB45B0F-9231-4290-9080-7F09F927ED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6208" w:rsidRDefault="00066208" w:rsidP="00FF29A4"/>
    <w:p w:rsidR="00FF29A4" w:rsidRDefault="0049167B" w:rsidP="00ED5FDC">
      <w:r>
        <w:t>Phase Detector 3</w:t>
      </w:r>
    </w:p>
    <w:p w:rsidR="003A7E98" w:rsidRDefault="003A7E98" w:rsidP="00ED5FDC"/>
    <w:tbl>
      <w:tblPr>
        <w:tblStyle w:val="TableGrid"/>
        <w:tblW w:w="4063" w:type="dxa"/>
        <w:tblLook w:val="04A0" w:firstRow="1" w:lastRow="0" w:firstColumn="1" w:lastColumn="0" w:noHBand="0" w:noVBand="1"/>
      </w:tblPr>
      <w:tblGrid>
        <w:gridCol w:w="960"/>
        <w:gridCol w:w="1053"/>
        <w:gridCol w:w="1235"/>
        <w:gridCol w:w="960"/>
      </w:tblGrid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143" w:type="dxa"/>
            <w:gridSpan w:val="2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Phase 3 Detector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Time Diff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Phase rad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P</w:t>
            </w:r>
            <w:bookmarkStart w:id="0" w:name="_GoBack"/>
            <w:bookmarkEnd w:id="0"/>
            <w:r w:rsidRPr="003A7E98">
              <w:rPr>
                <w:rFonts w:ascii="Calibri" w:eastAsia="Times New Roman" w:hAnsi="Calibri" w:cs="Times New Roman"/>
                <w:lang w:eastAsia="en-US"/>
              </w:rPr>
              <w:t>hase degree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Voltage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2.14E-07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0.290946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16.67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0.214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4.97E-07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0.609312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34.911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0.4968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7.34E-07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0.916996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52.54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0.7344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9.95E-07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1.232202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70.6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0.9948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1.23E-06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1.549852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88.8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1.23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1.51E-06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1.897173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108.7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1.51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1.77E-06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2.204473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126.307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1.77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2.02E-06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2.51659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144.19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2.02</w:t>
            </w:r>
          </w:p>
        </w:tc>
      </w:tr>
      <w:tr w:rsidR="003A7E98" w:rsidRPr="003A7E98" w:rsidTr="003A7E98">
        <w:trPr>
          <w:trHeight w:val="288"/>
        </w:trPr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2.23E-06</w:t>
            </w:r>
          </w:p>
        </w:tc>
        <w:tc>
          <w:tcPr>
            <w:tcW w:w="908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2.825688</w:t>
            </w:r>
          </w:p>
        </w:tc>
        <w:tc>
          <w:tcPr>
            <w:tcW w:w="1235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161.9</w:t>
            </w:r>
          </w:p>
        </w:tc>
        <w:tc>
          <w:tcPr>
            <w:tcW w:w="960" w:type="dxa"/>
            <w:noWrap/>
            <w:hideMark/>
          </w:tcPr>
          <w:p w:rsidR="003A7E98" w:rsidRPr="003A7E98" w:rsidRDefault="003A7E98" w:rsidP="003A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Calibri" w:eastAsia="Times New Roman" w:hAnsi="Calibri" w:cs="Times New Roman"/>
                <w:lang w:eastAsia="en-US"/>
              </w:rPr>
            </w:pPr>
            <w:r w:rsidRPr="003A7E98">
              <w:rPr>
                <w:rFonts w:ascii="Calibri" w:eastAsia="Times New Roman" w:hAnsi="Calibri" w:cs="Times New Roman"/>
                <w:lang w:eastAsia="en-US"/>
              </w:rPr>
              <w:t>2.23</w:t>
            </w:r>
          </w:p>
        </w:tc>
      </w:tr>
    </w:tbl>
    <w:p w:rsidR="003A7E98" w:rsidRDefault="003A7E98" w:rsidP="00ED5FDC"/>
    <w:p w:rsidR="003A7E98" w:rsidRPr="002C39DE" w:rsidRDefault="003A7E98" w:rsidP="00ED5FDC">
      <w:r>
        <w:rPr>
          <w:noProof/>
        </w:rPr>
        <w:lastRenderedPageBreak/>
        <w:drawing>
          <wp:inline distT="0" distB="0" distL="0" distR="0" wp14:anchorId="606F5E33" wp14:editId="2B7DBB4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1A3188A-A872-40CA-92F4-5E59F04F5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5FDC" w:rsidRDefault="00ED5FDC" w:rsidP="00ED5FDC"/>
    <w:p w:rsidR="008F35FD" w:rsidRPr="008F35FD" w:rsidRDefault="008F35FD" w:rsidP="008F35FD">
      <w:pPr>
        <w:pStyle w:val="Heading7"/>
        <w:rPr>
          <w:sz w:val="36"/>
          <w:szCs w:val="36"/>
        </w:rPr>
      </w:pPr>
      <w:r w:rsidRPr="008F35FD">
        <w:rPr>
          <w:sz w:val="36"/>
          <w:szCs w:val="36"/>
        </w:rPr>
        <w:t>Part 2</w:t>
      </w:r>
    </w:p>
    <w:p w:rsidR="008F35FD" w:rsidRPr="008F35FD" w:rsidRDefault="008F35FD" w:rsidP="008F35FD"/>
    <w:p w:rsidR="000D6354" w:rsidRDefault="000D6354" w:rsidP="000D6354">
      <w:r>
        <w:t xml:space="preserve">For small signal, take positive terminal f filter as 0 </w:t>
      </w:r>
      <w:proofErr w:type="gramStart"/>
      <w:r>
        <w:t>V(</w:t>
      </w:r>
      <w:proofErr w:type="gramEnd"/>
      <w:r>
        <w:t>Short voltage source)</w:t>
      </w:r>
    </w:p>
    <w:p w:rsidR="000D6354" w:rsidRDefault="000D6354" w:rsidP="000D6354">
      <w:pPr>
        <w:jc w:val="center"/>
      </w:pPr>
      <w:r>
        <w:rPr>
          <w:noProof/>
        </w:rPr>
        <w:drawing>
          <wp:inline distT="0" distB="0" distL="0" distR="0" wp14:anchorId="33B13F5D" wp14:editId="31D88F67">
            <wp:extent cx="29622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4" w:rsidRDefault="000D6354" w:rsidP="000D6354"/>
    <w:p w:rsidR="000D6354" w:rsidRPr="00DE0B31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|| R</m:t>
              </m:r>
            </m:den>
          </m:f>
        </m:oMath>
      </m:oMathPara>
    </w:p>
    <w:p w:rsidR="000D6354" w:rsidRPr="00DE0B31" w:rsidRDefault="0049167B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+R2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SC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0D6354" w:rsidRPr="00444AD5" w:rsidRDefault="000D6354" w:rsidP="000D6354">
      <w:pPr>
        <w:jc w:val="center"/>
        <w:rPr>
          <w:rFonts w:eastAsiaTheme="minorEastAsia"/>
        </w:rPr>
      </w:pPr>
    </w:p>
    <w:p w:rsidR="000D6354" w:rsidRPr="00DE0B31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0D6354" w:rsidRPr="00444AD5" w:rsidRDefault="000D6354" w:rsidP="000D6354">
      <w:pPr>
        <w:jc w:val="center"/>
        <w:rPr>
          <w:rFonts w:eastAsiaTheme="minorEastAsia"/>
        </w:rPr>
      </w:pPr>
    </w:p>
    <w:p w:rsidR="000D6354" w:rsidRPr="00DE0B31" w:rsidRDefault="0049167B" w:rsidP="000D6354">
      <w:pPr>
        <w:jc w:val="center"/>
        <w:rPr>
          <w:rFonts w:eastAsiaTheme="minorEastAsia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FG</m:t>
              </m:r>
            </m:num>
            <m:den>
              <m:r>
                <w:rPr>
                  <w:rFonts w:ascii="Cambria Math" w:eastAsiaTheme="minorEastAsia" w:hAnsi="Cambria Math"/>
                </w:rPr>
                <m:t>1+LG</m:t>
              </m:r>
            </m:den>
          </m:f>
          <m:r>
            <w:rPr>
              <w:rFonts w:ascii="Cambria Math" w:eastAsiaTheme="minorEastAsia" w:hAnsi="Cambria Math"/>
            </w:rPr>
            <m:t xml:space="preserve">   ,   (Ignore negative of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so that the circuit is stable)</m:t>
          </m:r>
        </m:oMath>
      </m:oMathPara>
    </w:p>
    <w:p w:rsidR="000D6354" w:rsidRPr="00444AD5" w:rsidRDefault="000D6354" w:rsidP="000D6354">
      <w:pPr>
        <w:jc w:val="center"/>
        <w:rPr>
          <w:rFonts w:eastAsiaTheme="minorEastAsia"/>
        </w:rPr>
      </w:pPr>
    </w:p>
    <w:p w:rsidR="000D6354" w:rsidRPr="00DE0B31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S+KF(S)</m:t>
              </m:r>
            </m:den>
          </m:f>
          <m:r>
            <w:rPr>
              <w:rFonts w:ascii="Cambria Math" w:eastAsiaTheme="minorEastAsia" w:hAnsi="Cambria Math"/>
            </w:rPr>
            <m:t xml:space="preserve">  ,   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PHASE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VCO</m:t>
              </m:r>
            </m:sub>
          </m:sSub>
        </m:oMath>
      </m:oMathPara>
    </w:p>
    <w:p w:rsidR="000D6354" w:rsidRDefault="000D6354" w:rsidP="000D6354">
      <w:pPr>
        <w:jc w:val="center"/>
        <w:rPr>
          <w:rFonts w:eastAsiaTheme="minorEastAsia"/>
        </w:rPr>
      </w:pPr>
    </w:p>
    <w:p w:rsidR="000D6354" w:rsidRPr="00DE0B31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(1+SC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))+ 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(1+SC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 </m:t>
              </m:r>
            </m:den>
          </m:f>
        </m:oMath>
      </m:oMathPara>
    </w:p>
    <w:p w:rsidR="000D6354" w:rsidRDefault="000D6354" w:rsidP="000D6354">
      <w:pPr>
        <w:jc w:val="center"/>
        <w:rPr>
          <w:rFonts w:eastAsiaTheme="minorEastAsia"/>
        </w:rPr>
      </w:pPr>
    </w:p>
    <w:p w:rsidR="000D6354" w:rsidRPr="002E6807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 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0D6354" w:rsidRPr="006C550C" w:rsidRDefault="0049167B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+CR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0D6354" w:rsidRPr="006C550C" w:rsidRDefault="0049167B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Ɛ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0D6354" w:rsidRPr="006C550C" w:rsidRDefault="0049167B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den>
              </m:f>
            </m:e>
          </m:d>
        </m:oMath>
      </m:oMathPara>
    </w:p>
    <w:p w:rsidR="000D6354" w:rsidRPr="006C550C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:rsidR="000D6354" w:rsidRPr="00F75170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softHyphen/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1+SC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1+SC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1+SC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0D6354" w:rsidRPr="00F75170" w:rsidRDefault="000D6354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=KP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D6354" w:rsidRPr="00F75170" w:rsidRDefault="0049167B" w:rsidP="000D6354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Ɛ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KP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:rsidR="000D6354" w:rsidRDefault="000D6354" w:rsidP="000D6354">
      <w:pPr>
        <w:jc w:val="center"/>
        <w:rPr>
          <w:rFonts w:eastAsiaTheme="minorEastAsia"/>
        </w:rPr>
      </w:pPr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Q2) </w:t>
      </w:r>
    </w:p>
    <w:p w:rsidR="000D6354" w:rsidRPr="00F75170" w:rsidRDefault="0049167B" w:rsidP="000D6354">
      <w:pPr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D6354" w:rsidRPr="008512B1" w:rsidRDefault="000D6354" w:rsidP="000D635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D6354" w:rsidRPr="008512B1" w:rsidRDefault="000D6354" w:rsidP="000D635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:rsidR="000D6354" w:rsidRPr="008512B1" w:rsidRDefault="000D6354" w:rsidP="000D635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0D6354" w:rsidRPr="008512B1" w:rsidRDefault="000D6354" w:rsidP="000D635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4K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2K</m:t>
              </m:r>
            </m:den>
          </m:f>
        </m:oMath>
      </m:oMathPara>
    </w:p>
    <w:p w:rsidR="000D6354" w:rsidRPr="005E5701" w:rsidRDefault="0049167B" w:rsidP="000D635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=2π*0.4125=2.592 rad/s/V </m:t>
          </m:r>
        </m:oMath>
      </m:oMathPara>
    </w:p>
    <w:p w:rsidR="000D6354" w:rsidRPr="005E5701" w:rsidRDefault="0049167B" w:rsidP="000D6354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=1.6V/rad</m:t>
          </m:r>
        </m:oMath>
      </m:oMathPara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Choose capacitor’s value as 100nF, </w:t>
      </w:r>
    </w:p>
    <w:p w:rsidR="000D6354" w:rsidRPr="005E5701" w:rsidRDefault="000D6354" w:rsidP="000D6354">
      <w:pPr>
        <w:pStyle w:val="NoSpacing"/>
      </w:pPr>
    </w:p>
    <w:p w:rsidR="000D6354" w:rsidRPr="005E5701" w:rsidRDefault="0049167B" w:rsidP="000D63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2π*2000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100nF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D6354" w:rsidRPr="00AB44C8" w:rsidRDefault="000D6354" w:rsidP="000D635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=1591Ω</m:t>
          </m:r>
        </m:oMath>
      </m:oMathPara>
    </w:p>
    <w:p w:rsidR="000D6354" w:rsidRPr="00AB44C8" w:rsidRDefault="000D6354" w:rsidP="000D635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0D6354" w:rsidRPr="00AB44C8" w:rsidRDefault="0049167B" w:rsidP="000D63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1589.957kΩ</m:t>
          </m:r>
        </m:oMath>
      </m:oMathPara>
    </w:p>
    <w:p w:rsidR="000D6354" w:rsidRPr="00AB44C8" w:rsidRDefault="0049167B" w:rsidP="000D63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794.978</m:t>
          </m:r>
          <m:r>
            <m:rPr>
              <m:sty m:val="p"/>
            </m:rPr>
            <w:rPr>
              <w:rFonts w:ascii="Cambria Math" w:eastAsiaTheme="minorEastAsia"/>
            </w:rPr>
            <m:t>k</m:t>
          </m:r>
          <m:r>
            <m:rPr>
              <m:sty m:val="p"/>
            </m:rPr>
            <w:rPr>
              <w:rFonts w:ascii="Cambria Math" w:eastAsiaTheme="minorEastAsia"/>
            </w:rPr>
            <m:t>Ω</m:t>
          </m:r>
        </m:oMath>
      </m:oMathPara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>Q3)</w:t>
      </w:r>
      <w:r>
        <w:rPr>
          <w:rFonts w:eastAsiaTheme="minorEastAsia"/>
        </w:rPr>
        <w:br/>
        <w:t xml:space="preserve">The approximations can be used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which occurs for our components since ()</w:t>
      </w:r>
    </w:p>
    <w:p w:rsidR="000D6354" w:rsidRPr="00384DA7" w:rsidRDefault="0049167B" w:rsidP="000D635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≫1</m:t>
          </m:r>
        </m:oMath>
      </m:oMathPara>
    </w:p>
    <w:p w:rsidR="000D6354" w:rsidRPr="00384DA7" w:rsidRDefault="000D6354" w:rsidP="000D63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ω≫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100nF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≈rad/s </m:t>
          </m:r>
        </m:oMath>
      </m:oMathPara>
    </w:p>
    <w:p w:rsidR="000D6354" w:rsidRPr="00384DA7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For the following expression for F(S) can be used for frequencies much higher than </w:t>
      </w:r>
      <m:oMath>
        <m:r>
          <w:rPr>
            <w:rFonts w:ascii="Cambria Math" w:eastAsiaTheme="minorEastAsia" w:hAnsi="Cambria Math"/>
          </w:rPr>
          <m:t xml:space="preserve">ω≫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 xml:space="preserve"> :</m:t>
        </m:r>
      </m:oMath>
    </w:p>
    <w:p w:rsidR="000D6354" w:rsidRPr="00384DA7" w:rsidRDefault="000D6354" w:rsidP="000D63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:rsidR="000D6354" w:rsidRDefault="000D6354" w:rsidP="000D635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The negative sign from F(s) is removed for stable operation.</w:t>
      </w:r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>Q4)</w:t>
      </w:r>
    </w:p>
    <w:p w:rsidR="000D6354" w:rsidRPr="0058567B" w:rsidRDefault="000D6354" w:rsidP="000D63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ζ=0.707 and settling to 2%</m:t>
          </m:r>
        </m:oMath>
      </m:oMathPara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Input frequency step = 50kHZ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set</m:t>
            </m:r>
          </m:sub>
        </m:sSub>
        <m:r>
          <w:rPr>
            <w:rFonts w:ascii="Cambria Math" w:eastAsiaTheme="minorEastAsia" w:hAnsi="Cambria Math"/>
          </w:rPr>
          <m:t>≤ 50µ , 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50kHZ</m:t>
            </m:r>
          </m:e>
        </m:d>
        <m:r>
          <w:rPr>
            <w:rFonts w:ascii="Cambria Math" w:eastAsiaTheme="minorEastAsia" w:hAnsi="Cambria Math"/>
          </w:rPr>
          <m:t>=314.16krad/s</m:t>
        </m:r>
      </m:oMath>
    </w:p>
    <w:p w:rsidR="000D6354" w:rsidRPr="00FB5F63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Maximum error at </w:t>
      </w:r>
      <m:oMath>
        <m:r>
          <w:rPr>
            <w:rFonts w:ascii="Cambria Math" w:eastAsiaTheme="minorEastAsia" w:hAnsi="Cambria Math"/>
          </w:rPr>
          <m:t>ζ=6.707 is 0.46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set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  <w:r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set</m:t>
            </m:r>
          </m:sub>
        </m:sSub>
        <m:r>
          <w:rPr>
            <w:rFonts w:ascii="Cambria Math" w:eastAsiaTheme="minorEastAsia" w:hAnsi="Cambria Math"/>
          </w:rPr>
          <m:t>=43.5µs</m:t>
        </m:r>
      </m:oMath>
    </w:p>
    <w:p w:rsidR="000D6354" w:rsidRPr="00FB5F63" w:rsidRDefault="0049167B" w:rsidP="000D63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Ɛ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=0.46</m:t>
          </m:r>
        </m:oMath>
      </m:oMathPara>
    </w:p>
    <w:p w:rsidR="000D6354" w:rsidRPr="00FB5F63" w:rsidRDefault="0049167B" w:rsidP="000D63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314.16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=0.46</m:t>
          </m:r>
        </m:oMath>
      </m:oMathPara>
    </w:p>
    <w:p w:rsidR="000D6354" w:rsidRPr="00FB5F63" w:rsidRDefault="0049167B" w:rsidP="000D6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=184k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D6354" w:rsidRPr="00723C78" w:rsidRDefault="0049167B" w:rsidP="000D6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=29.3kHz allows a settling time of 43.5µs</m:t>
          </m:r>
        </m:oMath>
      </m:oMathPara>
    </w:p>
    <w:p w:rsidR="000D6354" w:rsidRPr="00723C78" w:rsidRDefault="000D6354" w:rsidP="000D6354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023A3C" wp14:editId="5C80E524">
            <wp:simplePos x="0" y="0"/>
            <wp:positionH relativeFrom="column">
              <wp:posOffset>-120427</wp:posOffset>
            </wp:positionH>
            <wp:positionV relativeFrom="paragraph">
              <wp:posOffset>1905</wp:posOffset>
            </wp:positionV>
            <wp:extent cx="1719768" cy="12765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768" cy="127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Min </w:t>
      </w:r>
      <m:oMath>
        <m:r>
          <w:rPr>
            <w:rFonts w:ascii="Cambria Math" w:eastAsiaTheme="minorEastAsia" w:hAnsi="Cambria Math"/>
          </w:rPr>
          <m:t>∆ω to lose lock</m:t>
        </m:r>
      </m:oMath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Ɛ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=0.46</m:t>
        </m:r>
      </m:oMath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=536.4k rad/s </m:t>
        </m:r>
      </m:oMath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f_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=85.37kHz</m:t>
            </m:r>
          </m:e>
        </m:func>
      </m:oMath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>5)</w:t>
      </w:r>
    </w:p>
    <w:p w:rsidR="000D6354" w:rsidRDefault="0049167B" w:rsidP="000D635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=1MHz</m:t>
        </m:r>
      </m:oMath>
      <w:r w:rsidR="000D6354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∆f=848Hz    ∆ω=5328.14 rad/s</m:t>
        </m:r>
      </m:oMath>
      <w:r w:rsidR="000D635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=600Hz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=3770 rad/s</m:t>
        </m:r>
      </m:oMath>
    </w:p>
    <w:p w:rsidR="000D6354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For maximum error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=3770 rad/s</m:t>
        </m:r>
      </m:oMath>
    </w:p>
    <w:p w:rsidR="000D6354" w:rsidRPr="004A0019" w:rsidRDefault="0049167B" w:rsidP="000D6354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Ɛ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2ζ</m:t>
              </m:r>
            </m:den>
          </m:f>
        </m:oMath>
      </m:oMathPara>
    </w:p>
    <w:p w:rsidR="000D6354" w:rsidRPr="004A0019" w:rsidRDefault="000D6354" w:rsidP="000D635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ζ=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2Ɛ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D6354" w:rsidRPr="004A0019" w:rsidRDefault="000D6354" w:rsidP="000D635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5328.14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rad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3770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1rad</m:t>
                  </m:r>
                </m:e>
              </m:d>
            </m:den>
          </m:f>
        </m:oMath>
      </m:oMathPara>
    </w:p>
    <w:p w:rsidR="000D6354" w:rsidRPr="004A0019" w:rsidRDefault="000D6354" w:rsidP="000D635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ζ=0.7066</m:t>
          </m:r>
        </m:oMath>
      </m:oMathPara>
    </w:p>
    <w:p w:rsidR="000D6354" w:rsidRDefault="000D6354" w:rsidP="000D6354">
      <w:pPr>
        <w:rPr>
          <w:rFonts w:eastAsiaTheme="minorEastAsia"/>
        </w:rPr>
      </w:pPr>
    </w:p>
    <w:p w:rsidR="000D6354" w:rsidRPr="0081084F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For a phase error of less than 0.5 radians, </w:t>
      </w:r>
      <m:oMath>
        <m:r>
          <w:rPr>
            <w:rFonts w:ascii="Cambria Math" w:eastAsiaTheme="minorEastAsia" w:hAnsi="Cambria Math"/>
          </w:rPr>
          <m:t>ζ=0.707 &amp; a phase error of 0.4 rad</m:t>
        </m:r>
      </m:oMath>
    </w:p>
    <w:p w:rsidR="000D6354" w:rsidRPr="004A0019" w:rsidRDefault="0049167B" w:rsidP="000D63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=0.53 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Ɛ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=0.46≈0.5</m:t>
          </m:r>
        </m:oMath>
      </m:oMathPara>
    </w:p>
    <w:p w:rsidR="000D6354" w:rsidRPr="004A0019" w:rsidRDefault="0049167B" w:rsidP="000D6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=0.53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D6354" w:rsidRPr="004A0019" w:rsidRDefault="000D6354" w:rsidP="000D63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=0.53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3770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:rsidR="000D6354" w:rsidRPr="004A0019" w:rsidRDefault="000D6354" w:rsidP="000D63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=1998.1 rad/s</m:t>
          </m:r>
        </m:oMath>
      </m:oMathPara>
    </w:p>
    <w:p w:rsidR="000D6354" w:rsidRPr="004A0019" w:rsidRDefault="0049167B" w:rsidP="000D63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=318Hz</m:t>
          </m:r>
        </m:oMath>
      </m:oMathPara>
    </w:p>
    <w:p w:rsidR="000D6354" w:rsidRPr="004A0019" w:rsidRDefault="000D6354" w:rsidP="000D6354">
      <w:pPr>
        <w:rPr>
          <w:rFonts w:eastAsiaTheme="minorEastAsia"/>
        </w:rPr>
      </w:pPr>
      <w:r>
        <w:rPr>
          <w:rFonts w:eastAsiaTheme="minorEastAsia"/>
        </w:rPr>
        <w:t xml:space="preserve">Phase error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0.5 rad for an input </w:t>
      </w:r>
      <w:proofErr w:type="spellStart"/>
      <w:r>
        <w:rPr>
          <w:rFonts w:eastAsiaTheme="minorEastAsia"/>
        </w:rPr>
        <w:t>freq</w:t>
      </w:r>
      <w:proofErr w:type="spellEnd"/>
      <w:r>
        <w:rPr>
          <w:rFonts w:eastAsiaTheme="minorEastAsia"/>
        </w:rPr>
        <w:t xml:space="preserve"> range of 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≤318Hz</m:t>
        </m:r>
      </m:oMath>
    </w:p>
    <w:p w:rsidR="005071D1" w:rsidRDefault="009C7436" w:rsidP="005071D1">
      <w:pPr>
        <w:pStyle w:val="Default"/>
        <w:rPr>
          <w:sz w:val="22"/>
          <w:szCs w:val="22"/>
        </w:rPr>
      </w:pPr>
      <w:r>
        <w:br w:type="page"/>
      </w:r>
      <w:r w:rsidR="005071D1">
        <w:rPr>
          <w:b/>
          <w:bCs/>
          <w:sz w:val="22"/>
          <w:szCs w:val="22"/>
        </w:rPr>
        <w:lastRenderedPageBreak/>
        <w:t xml:space="preserve">Plot phase variation vs input frequency </w:t>
      </w:r>
    </w:p>
    <w:p w:rsidR="005071D1" w:rsidRDefault="005071D1" w:rsidP="005071D1">
      <w:pPr>
        <w:rPr>
          <w:rFonts w:eastAsiaTheme="minorEastAsia"/>
        </w:rPr>
      </w:pPr>
      <w:r>
        <w:t>Table 5 shows the measured phase differences and control voltage for various input signal frequencies.</w:t>
      </w:r>
    </w:p>
    <w:p w:rsidR="005071D1" w:rsidRDefault="005071D1" w:rsidP="005071D1">
      <w:pPr>
        <w:pStyle w:val="Default"/>
      </w:pPr>
    </w:p>
    <w:p w:rsidR="005071D1" w:rsidRDefault="005071D1" w:rsidP="005071D1">
      <w:pPr>
        <w:pStyle w:val="Default"/>
        <w:rPr>
          <w:sz w:val="16"/>
          <w:szCs w:val="16"/>
        </w:rPr>
      </w:pPr>
      <w:r>
        <w:rPr>
          <w:b/>
          <w:bCs/>
          <w:sz w:val="22"/>
          <w:szCs w:val="22"/>
        </w:rPr>
        <w:t xml:space="preserve">Explain if lock range is related to </w:t>
      </w:r>
      <w:r>
        <w:rPr>
          <w:sz w:val="22"/>
          <w:szCs w:val="22"/>
        </w:rPr>
        <w:t>𝝎</w:t>
      </w:r>
      <w:r>
        <w:rPr>
          <w:sz w:val="16"/>
          <w:szCs w:val="16"/>
        </w:rPr>
        <w:t xml:space="preserve">𝒏 </w:t>
      </w:r>
    </w:p>
    <w:p w:rsidR="009C7436" w:rsidRDefault="009C7436">
      <w:pPr>
        <w:rPr>
          <w:sz w:val="24"/>
          <w:szCs w:val="24"/>
        </w:rPr>
      </w:pPr>
    </w:p>
    <w:p w:rsidR="005071D1" w:rsidRPr="005071D1" w:rsidRDefault="005071D1" w:rsidP="005071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5071D1" w:rsidRPr="005071D1" w:rsidRDefault="005071D1" w:rsidP="005071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CA"/>
        </w:rPr>
      </w:pPr>
      <w:r w:rsidRPr="005071D1">
        <w:rPr>
          <w:rFonts w:ascii="Times New Roman" w:hAnsi="Times New Roman" w:cs="Times New Roman"/>
          <w:b/>
          <w:bCs/>
          <w:lang w:val="en-CA"/>
        </w:rPr>
        <w:t xml:space="preserve">Plot VCO control voltage vs signal frequency. Calculate </w:t>
      </w:r>
      <w:r w:rsidRPr="005071D1">
        <w:rPr>
          <w:rFonts w:ascii="Cambria Math" w:hAnsi="Cambria Math" w:cs="Cambria Math"/>
          <w:lang w:val="en-CA"/>
        </w:rPr>
        <w:t>𝑲</w:t>
      </w:r>
      <w:r w:rsidRPr="005071D1">
        <w:rPr>
          <w:rFonts w:ascii="Cambria Math" w:hAnsi="Cambria Math" w:cs="Cambria Math"/>
          <w:sz w:val="16"/>
          <w:szCs w:val="16"/>
          <w:lang w:val="en-CA"/>
        </w:rPr>
        <w:t xml:space="preserve">𝑽𝑪𝑶 </w:t>
      </w:r>
      <w:r w:rsidRPr="005071D1">
        <w:rPr>
          <w:rFonts w:ascii="Times New Roman" w:hAnsi="Times New Roman" w:cs="Times New Roman"/>
          <w:b/>
          <w:bCs/>
          <w:lang w:val="en-CA"/>
        </w:rPr>
        <w:t xml:space="preserve">and compare to either measurements </w:t>
      </w:r>
    </w:p>
    <w:p w:rsidR="005071D1" w:rsidRDefault="005071D1">
      <w:pPr>
        <w:rPr>
          <w:sz w:val="24"/>
          <w:szCs w:val="24"/>
        </w:rPr>
      </w:pPr>
    </w:p>
    <w:p w:rsidR="005071D1" w:rsidRPr="005071D1" w:rsidRDefault="005071D1" w:rsidP="005071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5071D1" w:rsidRDefault="005071D1" w:rsidP="005071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lang w:val="en-CA"/>
        </w:rPr>
      </w:pPr>
      <w:r w:rsidRPr="005071D1">
        <w:rPr>
          <w:rFonts w:ascii="Times New Roman" w:hAnsi="Times New Roman" w:cs="Times New Roman"/>
          <w:b/>
          <w:bCs/>
          <w:lang w:val="en-CA"/>
        </w:rPr>
        <w:t xml:space="preserve">Reduce gain to 1, how did you do this? </w:t>
      </w:r>
    </w:p>
    <w:p w:rsidR="005071D1" w:rsidRPr="005071D1" w:rsidRDefault="005071D1" w:rsidP="005071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CA"/>
        </w:rPr>
      </w:pPr>
      <w:r w:rsidRPr="005071D1">
        <w:rPr>
          <w:lang w:val="en-CA"/>
        </w:rPr>
        <w:t xml:space="preserve">The gain is given by the ratio </w:t>
      </w:r>
      <w:r w:rsidRPr="005071D1">
        <w:rPr>
          <w:rFonts w:ascii="Cambria Math" w:hAnsi="Cambria Math" w:cs="Cambria Math"/>
          <w:lang w:val="en-CA"/>
        </w:rPr>
        <w:t>𝑅</w:t>
      </w:r>
      <w:r w:rsidRPr="005071D1">
        <w:rPr>
          <w:lang w:val="en-CA"/>
        </w:rPr>
        <w:t>3/</w:t>
      </w:r>
      <w:r w:rsidRPr="005071D1">
        <w:rPr>
          <w:rFonts w:ascii="Cambria Math" w:hAnsi="Cambria Math" w:cs="Cambria Math"/>
          <w:lang w:val="en-CA"/>
        </w:rPr>
        <w:t>𝑅</w:t>
      </w:r>
      <w:r w:rsidRPr="005071D1">
        <w:rPr>
          <w:lang w:val="en-CA"/>
        </w:rPr>
        <w:t xml:space="preserve">1. We changed </w:t>
      </w:r>
      <w:r w:rsidRPr="005071D1">
        <w:rPr>
          <w:rFonts w:ascii="Cambria Math" w:hAnsi="Cambria Math" w:cs="Cambria Math"/>
          <w:lang w:val="en-CA"/>
        </w:rPr>
        <w:t>𝑅</w:t>
      </w:r>
      <w:r w:rsidRPr="005071D1">
        <w:rPr>
          <w:lang w:val="en-CA"/>
        </w:rPr>
        <w:t xml:space="preserve">1 to equal </w:t>
      </w:r>
      <w:r w:rsidRPr="005071D1">
        <w:rPr>
          <w:rFonts w:ascii="Cambria Math" w:hAnsi="Cambria Math" w:cs="Cambria Math"/>
          <w:lang w:val="en-CA"/>
        </w:rPr>
        <w:t>𝑅</w:t>
      </w:r>
      <w:r w:rsidRPr="005071D1">
        <w:rPr>
          <w:lang w:val="en-CA"/>
        </w:rPr>
        <w:t xml:space="preserve">3=330 </w:t>
      </w:r>
      <w:r w:rsidRPr="005071D1">
        <w:rPr>
          <w:rFonts w:ascii="Cambria Math" w:hAnsi="Cambria Math" w:cs="Cambria Math"/>
          <w:lang w:val="en-CA"/>
        </w:rPr>
        <w:t>𝑘</w:t>
      </w:r>
      <w:r w:rsidRPr="005071D1">
        <w:rPr>
          <w:lang w:val="en-CA"/>
        </w:rPr>
        <w:t xml:space="preserve">Ω so that it was equal to </w:t>
      </w:r>
      <w:r w:rsidRPr="005071D1">
        <w:rPr>
          <w:rFonts w:ascii="Cambria Math" w:hAnsi="Cambria Math" w:cs="Cambria Math"/>
          <w:lang w:val="en-CA"/>
        </w:rPr>
        <w:t>𝑅</w:t>
      </w:r>
      <w:r w:rsidRPr="005071D1">
        <w:rPr>
          <w:lang w:val="en-CA"/>
        </w:rPr>
        <w:t xml:space="preserve">3, giving a gain of 1. </w:t>
      </w:r>
    </w:p>
    <w:p w:rsidR="005071D1" w:rsidRDefault="005071D1">
      <w:pPr>
        <w:rPr>
          <w:sz w:val="24"/>
          <w:szCs w:val="24"/>
        </w:rPr>
      </w:pPr>
    </w:p>
    <w:p w:rsidR="005071D1" w:rsidRPr="005071D1" w:rsidRDefault="005071D1" w:rsidP="005071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5071D1" w:rsidRPr="005071D1" w:rsidRDefault="005071D1" w:rsidP="005071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lang w:val="en-CA"/>
        </w:rPr>
      </w:pPr>
      <w:r w:rsidRPr="005071D1">
        <w:rPr>
          <w:rFonts w:ascii="Times New Roman" w:hAnsi="Times New Roman" w:cs="Times New Roman"/>
          <w:b/>
          <w:bCs/>
          <w:lang w:val="en-CA"/>
        </w:rPr>
        <w:t xml:space="preserve">Calculate new </w:t>
      </w:r>
      <w:r w:rsidRPr="005071D1">
        <w:rPr>
          <w:rFonts w:ascii="Cambria Math" w:hAnsi="Cambria Math" w:cs="Cambria Math"/>
          <w:lang w:val="en-CA"/>
        </w:rPr>
        <w:t>𝝎</w:t>
      </w:r>
      <w:r w:rsidRPr="005071D1">
        <w:rPr>
          <w:rFonts w:ascii="Cambria Math" w:hAnsi="Cambria Math" w:cs="Cambria Math"/>
          <w:sz w:val="16"/>
          <w:szCs w:val="16"/>
          <w:lang w:val="en-CA"/>
        </w:rPr>
        <w:t>𝒏</w:t>
      </w:r>
      <w:r w:rsidRPr="005071D1">
        <w:rPr>
          <w:rFonts w:ascii="Times New Roman" w:hAnsi="Times New Roman" w:cs="Times New Roman"/>
          <w:b/>
          <w:bCs/>
          <w:lang w:val="en-CA"/>
        </w:rPr>
        <w:t xml:space="preserve">, </w:t>
      </w:r>
      <w:r w:rsidRPr="005071D1">
        <w:rPr>
          <w:rFonts w:ascii="Cambria Math" w:hAnsi="Cambria Math" w:cs="Cambria Math"/>
          <w:lang w:val="en-CA"/>
        </w:rPr>
        <w:t>𝜻</w:t>
      </w:r>
      <w:r>
        <w:rPr>
          <w:rFonts w:ascii="Cambria Math" w:hAnsi="Cambria Math" w:cs="Cambria Math"/>
          <w:lang w:val="en-CA"/>
        </w:rPr>
        <w:t xml:space="preserve"> </w:t>
      </w:r>
    </w:p>
    <w:p w:rsidR="005071D1" w:rsidRDefault="005071D1">
      <w:pPr>
        <w:rPr>
          <w:sz w:val="24"/>
          <w:szCs w:val="24"/>
        </w:rPr>
      </w:pPr>
      <w:r>
        <w:t xml:space="preserve">Using the calculated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VCO</m:t>
            </m:r>
          </m:sub>
        </m:sSub>
        <m:r>
          <w:rPr>
            <w:rFonts w:ascii="Cambria Math" w:hAnsi="Cambria Math" w:cs="Cambria Math"/>
          </w:rPr>
          <m:t>=1.76×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10</m:t>
            </m:r>
          </m:e>
          <m:sup>
            <m:r>
              <w:rPr>
                <w:rFonts w:ascii="Cambria Math" w:hAnsi="Cambria Math" w:cs="Cambria Math"/>
              </w:rPr>
              <m:t>6</m:t>
            </m:r>
          </m:sup>
        </m:sSup>
        <m:r>
          <w:rPr>
            <w:rFonts w:ascii="Cambria Math" w:hAnsi="Cambria Math" w:cs="Cambria Math"/>
          </w:rPr>
          <m:t xml:space="preserve"> rad/s/V</m:t>
        </m:r>
        <m:r>
          <w:rPr>
            <w:rFonts w:ascii="Cambria Math" w:hAnsi="Cambria Math"/>
          </w:rPr>
          <m:t xml:space="preserve">, and </m:t>
        </m:r>
        <m:r>
          <w:rPr>
            <w:rFonts w:ascii="Cambria Math" w:hAnsi="Cambria Math" w:cs="Cambria Math"/>
          </w:rPr>
          <m:t>Kphase=1.6 V/rad</m:t>
        </m:r>
      </m:oMath>
      <w:r>
        <w:rPr>
          <w:rFonts w:ascii="Cambria Math" w:hAnsi="Cambria Math" w:cs="Cambria Math"/>
        </w:rPr>
        <w:t xml:space="preserve"> </w:t>
      </w:r>
      <w:r>
        <w:t>(phase detector 1) from the previous parts,</w:t>
      </w:r>
    </w:p>
    <w:p w:rsidR="005071D1" w:rsidRDefault="005071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71D1" w:rsidRDefault="005071D1">
      <w:pPr>
        <w:rPr>
          <w:sz w:val="24"/>
          <w:szCs w:val="24"/>
        </w:rPr>
      </w:pPr>
    </w:p>
    <w:p w:rsidR="00FC44BD" w:rsidRPr="005071D1" w:rsidRDefault="005071D1" w:rsidP="00AA2E0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A2E08" w:rsidRPr="00AA2E08">
        <w:rPr>
          <w:b/>
          <w:sz w:val="24"/>
          <w:szCs w:val="24"/>
        </w:rPr>
        <w:lastRenderedPageBreak/>
        <w:t>References</w:t>
      </w:r>
    </w:p>
    <w:p w:rsidR="00AA2E08" w:rsidRDefault="00AA2E08" w:rsidP="00AA2E08">
      <w:pPr>
        <w:rPr>
          <w:b/>
          <w:sz w:val="24"/>
          <w:szCs w:val="24"/>
        </w:rPr>
      </w:pPr>
    </w:p>
    <w:p w:rsidR="00AA2E08" w:rsidRPr="00AA2E08" w:rsidRDefault="00AA2E08" w:rsidP="00AA2E08">
      <w:pPr>
        <w:rPr>
          <w:b/>
          <w:sz w:val="24"/>
          <w:szCs w:val="24"/>
        </w:rPr>
      </w:pPr>
      <w:r>
        <w:rPr>
          <w:b/>
          <w:bCs/>
          <w:sz w:val="23"/>
          <w:szCs w:val="23"/>
        </w:rPr>
        <w:t xml:space="preserve">[1] Calvin </w:t>
      </w:r>
      <w:proofErr w:type="spellStart"/>
      <w:r>
        <w:rPr>
          <w:b/>
          <w:bCs/>
          <w:sz w:val="23"/>
          <w:szCs w:val="23"/>
        </w:rPr>
        <w:t>Plett</w:t>
      </w:r>
      <w:proofErr w:type="spellEnd"/>
      <w:r>
        <w:rPr>
          <w:b/>
          <w:bCs/>
          <w:sz w:val="23"/>
          <w:szCs w:val="23"/>
        </w:rPr>
        <w:t>, “Lab1_Assign1_Tuned_Amp_2017.pdf”, Department of Electronics, Carleton University, September 2017</w:t>
      </w:r>
    </w:p>
    <w:sectPr w:rsidR="00AA2E08" w:rsidRPr="00AA2E0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20A01"/>
    <w:multiLevelType w:val="hybridMultilevel"/>
    <w:tmpl w:val="A6022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BD"/>
    <w:rsid w:val="00066208"/>
    <w:rsid w:val="000C1464"/>
    <w:rsid w:val="000D0071"/>
    <w:rsid w:val="000D6354"/>
    <w:rsid w:val="00266909"/>
    <w:rsid w:val="00297AA8"/>
    <w:rsid w:val="002C39DE"/>
    <w:rsid w:val="002D30D4"/>
    <w:rsid w:val="002F4372"/>
    <w:rsid w:val="00315B43"/>
    <w:rsid w:val="00330378"/>
    <w:rsid w:val="003A7E98"/>
    <w:rsid w:val="004565AA"/>
    <w:rsid w:val="0049167B"/>
    <w:rsid w:val="00493D8E"/>
    <w:rsid w:val="004F6150"/>
    <w:rsid w:val="00500E2C"/>
    <w:rsid w:val="005071D1"/>
    <w:rsid w:val="005141DA"/>
    <w:rsid w:val="00554170"/>
    <w:rsid w:val="005977A7"/>
    <w:rsid w:val="005D23C3"/>
    <w:rsid w:val="007421BE"/>
    <w:rsid w:val="007C4355"/>
    <w:rsid w:val="00826E5A"/>
    <w:rsid w:val="00862889"/>
    <w:rsid w:val="008A7B02"/>
    <w:rsid w:val="008C0AC4"/>
    <w:rsid w:val="008D16C0"/>
    <w:rsid w:val="008F35FD"/>
    <w:rsid w:val="00927CBC"/>
    <w:rsid w:val="009979BE"/>
    <w:rsid w:val="009C7436"/>
    <w:rsid w:val="00A43C02"/>
    <w:rsid w:val="00AA2E08"/>
    <w:rsid w:val="00AA7F04"/>
    <w:rsid w:val="00B038B7"/>
    <w:rsid w:val="00B83207"/>
    <w:rsid w:val="00B878DE"/>
    <w:rsid w:val="00BF6061"/>
    <w:rsid w:val="00C06960"/>
    <w:rsid w:val="00CC4FC0"/>
    <w:rsid w:val="00CE5BB6"/>
    <w:rsid w:val="00CF74AF"/>
    <w:rsid w:val="00D275D7"/>
    <w:rsid w:val="00D556E5"/>
    <w:rsid w:val="00DF789C"/>
    <w:rsid w:val="00E778A0"/>
    <w:rsid w:val="00EB26A3"/>
    <w:rsid w:val="00ED5FDC"/>
    <w:rsid w:val="00F57657"/>
    <w:rsid w:val="00FC44BD"/>
    <w:rsid w:val="00F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62BC"/>
  <w15:docId w15:val="{3DF709E9-5048-4879-9A1E-695DAEFB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5F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ED5F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297A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Cambria Math" w:hAnsi="Cambria Math" w:cs="Cambria Math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F576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6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5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43C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038B7"/>
    <w:pPr>
      <w:ind w:left="720"/>
      <w:contextualSpacing/>
    </w:pPr>
  </w:style>
  <w:style w:type="paragraph" w:styleId="NoSpacing">
    <w:name w:val="No Spacing"/>
    <w:uiPriority w:val="1"/>
    <w:qFormat/>
    <w:rsid w:val="000D63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CA" w:eastAsia="en-US"/>
    </w:rPr>
  </w:style>
  <w:style w:type="table" w:styleId="TableGridLight">
    <w:name w:val="Grid Table Light"/>
    <w:basedOn w:val="TableNormal"/>
    <w:uiPriority w:val="40"/>
    <w:rsid w:val="000D00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D0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rleton%20University\Fourth%20Year\ELEC%204505\LabKValu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rleton%20University\Fourth%20Year\ELEC%204505\LabKValu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rleton%20University\Fourth%20Year\ELEC%204505\LabKValu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Carleton%20University\Fourth%20Year\ELEC%204505\LabKValu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Vs DC Tuning Voltage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3941382327209099E-3"/>
                  <c:y val="-7.190726159230095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[LabKValues.xlsx]Sheet1!$A$2:$A$42</c:f>
              <c:numCache>
                <c:formatCode>General</c:formatCode>
                <c:ptCount val="41"/>
                <c:pt idx="0">
                  <c:v>1.35</c:v>
                </c:pt>
                <c:pt idx="1">
                  <c:v>1.85</c:v>
                </c:pt>
                <c:pt idx="2">
                  <c:v>2.08</c:v>
                </c:pt>
                <c:pt idx="3">
                  <c:v>2.1</c:v>
                </c:pt>
                <c:pt idx="4">
                  <c:v>2.12</c:v>
                </c:pt>
                <c:pt idx="5">
                  <c:v>2.14</c:v>
                </c:pt>
                <c:pt idx="6">
                  <c:v>2.16</c:v>
                </c:pt>
                <c:pt idx="7">
                  <c:v>2.1800000000000002</c:v>
                </c:pt>
                <c:pt idx="8">
                  <c:v>2.2000000000000002</c:v>
                </c:pt>
                <c:pt idx="9">
                  <c:v>2.2200000000000002</c:v>
                </c:pt>
                <c:pt idx="10">
                  <c:v>2.2599999999999998</c:v>
                </c:pt>
                <c:pt idx="11">
                  <c:v>2.2999999999999998</c:v>
                </c:pt>
                <c:pt idx="12">
                  <c:v>2.3199999999999998</c:v>
                </c:pt>
                <c:pt idx="13">
                  <c:v>2.36</c:v>
                </c:pt>
                <c:pt idx="14">
                  <c:v>2.4</c:v>
                </c:pt>
                <c:pt idx="15">
                  <c:v>2.5</c:v>
                </c:pt>
                <c:pt idx="16">
                  <c:v>2.58</c:v>
                </c:pt>
                <c:pt idx="17">
                  <c:v>2.6</c:v>
                </c:pt>
                <c:pt idx="18">
                  <c:v>2.7</c:v>
                </c:pt>
                <c:pt idx="19">
                  <c:v>2.86</c:v>
                </c:pt>
                <c:pt idx="20">
                  <c:v>2.87</c:v>
                </c:pt>
                <c:pt idx="21">
                  <c:v>2.92</c:v>
                </c:pt>
                <c:pt idx="22">
                  <c:v>2.96</c:v>
                </c:pt>
                <c:pt idx="23">
                  <c:v>3.01</c:v>
                </c:pt>
                <c:pt idx="24">
                  <c:v>3.08</c:v>
                </c:pt>
                <c:pt idx="25">
                  <c:v>3.15</c:v>
                </c:pt>
                <c:pt idx="26">
                  <c:v>3.2</c:v>
                </c:pt>
                <c:pt idx="27">
                  <c:v>3.29</c:v>
                </c:pt>
                <c:pt idx="28">
                  <c:v>3.3</c:v>
                </c:pt>
                <c:pt idx="29">
                  <c:v>3.36</c:v>
                </c:pt>
                <c:pt idx="30">
                  <c:v>3.41</c:v>
                </c:pt>
                <c:pt idx="31">
                  <c:v>3.43</c:v>
                </c:pt>
                <c:pt idx="32">
                  <c:v>3.45</c:v>
                </c:pt>
                <c:pt idx="33">
                  <c:v>3.49</c:v>
                </c:pt>
                <c:pt idx="34">
                  <c:v>3.55</c:v>
                </c:pt>
                <c:pt idx="35">
                  <c:v>3.61</c:v>
                </c:pt>
                <c:pt idx="36">
                  <c:v>3.68</c:v>
                </c:pt>
                <c:pt idx="37">
                  <c:v>3.73</c:v>
                </c:pt>
                <c:pt idx="38">
                  <c:v>3.8</c:v>
                </c:pt>
                <c:pt idx="39">
                  <c:v>4</c:v>
                </c:pt>
                <c:pt idx="40">
                  <c:v>4.05</c:v>
                </c:pt>
              </c:numCache>
            </c:numRef>
          </c:xVal>
          <c:yVal>
            <c:numRef>
              <c:f>[LabKValues.xlsx]Sheet1!$B$2:$B$42</c:f>
              <c:numCache>
                <c:formatCode>0.00E+00</c:formatCode>
                <c:ptCount val="41"/>
                <c:pt idx="0">
                  <c:v>500000</c:v>
                </c:pt>
                <c:pt idx="1">
                  <c:v>750000</c:v>
                </c:pt>
                <c:pt idx="2">
                  <c:v>1125000</c:v>
                </c:pt>
                <c:pt idx="3">
                  <c:v>1130000</c:v>
                </c:pt>
                <c:pt idx="4">
                  <c:v>1140000</c:v>
                </c:pt>
                <c:pt idx="5">
                  <c:v>1150000</c:v>
                </c:pt>
                <c:pt idx="6">
                  <c:v>1160000</c:v>
                </c:pt>
                <c:pt idx="7">
                  <c:v>1170000</c:v>
                </c:pt>
                <c:pt idx="8">
                  <c:v>1180000</c:v>
                </c:pt>
                <c:pt idx="9">
                  <c:v>1190000</c:v>
                </c:pt>
                <c:pt idx="10">
                  <c:v>1200000</c:v>
                </c:pt>
                <c:pt idx="11">
                  <c:v>1210000</c:v>
                </c:pt>
                <c:pt idx="12">
                  <c:v>1220000</c:v>
                </c:pt>
                <c:pt idx="13">
                  <c:v>1230000</c:v>
                </c:pt>
                <c:pt idx="14">
                  <c:v>1240000</c:v>
                </c:pt>
                <c:pt idx="15">
                  <c:v>1250000</c:v>
                </c:pt>
                <c:pt idx="16">
                  <c:v>1260000</c:v>
                </c:pt>
                <c:pt idx="17">
                  <c:v>1270000</c:v>
                </c:pt>
                <c:pt idx="18">
                  <c:v>1280000</c:v>
                </c:pt>
                <c:pt idx="19">
                  <c:v>1290000</c:v>
                </c:pt>
                <c:pt idx="20">
                  <c:v>1300000</c:v>
                </c:pt>
                <c:pt idx="21">
                  <c:v>1310000</c:v>
                </c:pt>
                <c:pt idx="22">
                  <c:v>1320000</c:v>
                </c:pt>
                <c:pt idx="23">
                  <c:v>1330000</c:v>
                </c:pt>
                <c:pt idx="24">
                  <c:v>1340000</c:v>
                </c:pt>
                <c:pt idx="25">
                  <c:v>1350000</c:v>
                </c:pt>
                <c:pt idx="26">
                  <c:v>1360000</c:v>
                </c:pt>
                <c:pt idx="27">
                  <c:v>1370000</c:v>
                </c:pt>
                <c:pt idx="28">
                  <c:v>1380000</c:v>
                </c:pt>
                <c:pt idx="29">
                  <c:v>1390000</c:v>
                </c:pt>
                <c:pt idx="30">
                  <c:v>1400000</c:v>
                </c:pt>
                <c:pt idx="31">
                  <c:v>1410000</c:v>
                </c:pt>
                <c:pt idx="32">
                  <c:v>1420000</c:v>
                </c:pt>
                <c:pt idx="33">
                  <c:v>1430000</c:v>
                </c:pt>
                <c:pt idx="34">
                  <c:v>1440000</c:v>
                </c:pt>
                <c:pt idx="35">
                  <c:v>1450000</c:v>
                </c:pt>
                <c:pt idx="36">
                  <c:v>1460000</c:v>
                </c:pt>
                <c:pt idx="37">
                  <c:v>1470000</c:v>
                </c:pt>
                <c:pt idx="38">
                  <c:v>1480000</c:v>
                </c:pt>
                <c:pt idx="39">
                  <c:v>1490000</c:v>
                </c:pt>
                <c:pt idx="40">
                  <c:v>1500000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F0-46D7-AE4C-559496E599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298048"/>
        <c:axId val="410296736"/>
      </c:scatterChart>
      <c:valAx>
        <c:axId val="410298048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DC 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296736"/>
        <c:crosses val="autoZero"/>
        <c:crossBetween val="midCat"/>
      </c:valAx>
      <c:valAx>
        <c:axId val="410296736"/>
        <c:scaling>
          <c:orientation val="minMax"/>
          <c:min val="9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298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1'!$G$5:$G$13</c:f>
              <c:numCache>
                <c:formatCode>General</c:formatCode>
                <c:ptCount val="9"/>
                <c:pt idx="0">
                  <c:v>0.28951521632081939</c:v>
                </c:pt>
                <c:pt idx="1">
                  <c:v>0.6108303316129754</c:v>
                </c:pt>
                <c:pt idx="2">
                  <c:v>0.91676909619506142</c:v>
                </c:pt>
                <c:pt idx="3">
                  <c:v>1.2334241823843928</c:v>
                </c:pt>
                <c:pt idx="4">
                  <c:v>1.5444069485047422</c:v>
                </c:pt>
                <c:pt idx="5">
                  <c:v>1.8822328785207647</c:v>
                </c:pt>
                <c:pt idx="6">
                  <c:v>2.2049966170920761</c:v>
                </c:pt>
                <c:pt idx="7">
                  <c:v>2.5180912316073392</c:v>
                </c:pt>
                <c:pt idx="8">
                  <c:v>2.8446597879479976</c:v>
                </c:pt>
              </c:numCache>
            </c:numRef>
          </c:xVal>
          <c:yVal>
            <c:numRef>
              <c:f>'part 1'!$I$5:$I$13</c:f>
              <c:numCache>
                <c:formatCode>0.00E+00</c:formatCode>
                <c:ptCount val="9"/>
                <c:pt idx="0">
                  <c:v>0.50159999999999993</c:v>
                </c:pt>
                <c:pt idx="1">
                  <c:v>1.0151999999999999</c:v>
                </c:pt>
                <c:pt idx="2">
                  <c:v>1.4687999999999999</c:v>
                </c:pt>
                <c:pt idx="3">
                  <c:v>1.968</c:v>
                </c:pt>
                <c:pt idx="4">
                  <c:v>2.46</c:v>
                </c:pt>
                <c:pt idx="5">
                  <c:v>3.0199999999999996</c:v>
                </c:pt>
                <c:pt idx="6">
                  <c:v>3.5399999999999996</c:v>
                </c:pt>
                <c:pt idx="7">
                  <c:v>4.04</c:v>
                </c:pt>
                <c:pt idx="8">
                  <c:v>4.5999999999999996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F2-4A6F-AE85-28BB7D35C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173784"/>
        <c:axId val="433164272"/>
      </c:scatterChart>
      <c:valAx>
        <c:axId val="43317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164272"/>
        <c:crosses val="autoZero"/>
        <c:crossBetween val="midCat"/>
      </c:valAx>
      <c:valAx>
        <c:axId val="43316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173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3070118608591653E-2"/>
                  <c:y val="-0.245140711577719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1'!$L$5:$L$13</c:f>
              <c:numCache>
                <c:formatCode>General</c:formatCode>
                <c:ptCount val="9"/>
                <c:pt idx="0">
                  <c:v>0.28029987787028932</c:v>
                </c:pt>
                <c:pt idx="1">
                  <c:v>0.57002453370134798</c:v>
                </c:pt>
                <c:pt idx="2">
                  <c:v>0.91699598899782064</c:v>
                </c:pt>
                <c:pt idx="3">
                  <c:v>1.2334241823843928</c:v>
                </c:pt>
                <c:pt idx="4">
                  <c:v>1.5618602410246856</c:v>
                </c:pt>
                <c:pt idx="5">
                  <c:v>1.8822328785207647</c:v>
                </c:pt>
                <c:pt idx="6">
                  <c:v>2.2165681500327987</c:v>
                </c:pt>
                <c:pt idx="7">
                  <c:v>2.5172011136888219</c:v>
                </c:pt>
                <c:pt idx="8">
                  <c:v>2.8274333882308138</c:v>
                </c:pt>
              </c:numCache>
            </c:numRef>
          </c:xVal>
          <c:yVal>
            <c:numRef>
              <c:f>'part 1'!$N$5:$N$13</c:f>
              <c:numCache>
                <c:formatCode>0.00E+00</c:formatCode>
                <c:ptCount val="9"/>
                <c:pt idx="0">
                  <c:v>2.3860000000000001</c:v>
                </c:pt>
                <c:pt idx="1">
                  <c:v>2.2492000000000001</c:v>
                </c:pt>
                <c:pt idx="2">
                  <c:v>2.1244000000000001</c:v>
                </c:pt>
                <c:pt idx="3">
                  <c:v>2.0019999999999998</c:v>
                </c:pt>
                <c:pt idx="4">
                  <c:v>1.8900000000000001</c:v>
                </c:pt>
                <c:pt idx="5">
                  <c:v>1.7400000000000002</c:v>
                </c:pt>
                <c:pt idx="6">
                  <c:v>1.6150000000000002</c:v>
                </c:pt>
                <c:pt idx="7">
                  <c:v>1.49</c:v>
                </c:pt>
                <c:pt idx="8">
                  <c:v>1.3865000000000001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57-40AC-9641-982618E36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993872"/>
        <c:axId val="328994528"/>
      </c:scatterChart>
      <c:valAx>
        <c:axId val="32899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994528"/>
        <c:crosses val="autoZero"/>
        <c:crossBetween val="midCat"/>
      </c:valAx>
      <c:valAx>
        <c:axId val="32899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993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'part 1'!$Q$5:$Q$13</c:f>
              <c:numCache>
                <c:formatCode>General</c:formatCode>
                <c:ptCount val="9"/>
                <c:pt idx="0">
                  <c:v>0.29094638630745473</c:v>
                </c:pt>
                <c:pt idx="1">
                  <c:v>0.6093118951637404</c:v>
                </c:pt>
                <c:pt idx="2">
                  <c:v>0.91699598899782064</c:v>
                </c:pt>
                <c:pt idx="3">
                  <c:v>1.2322024519079966</c:v>
                </c:pt>
                <c:pt idx="4">
                  <c:v>1.5498523757709646</c:v>
                </c:pt>
                <c:pt idx="5">
                  <c:v>1.8971728969178363</c:v>
                </c:pt>
                <c:pt idx="6">
                  <c:v>2.2044730183164778</c:v>
                </c:pt>
                <c:pt idx="7">
                  <c:v>2.5165902484506235</c:v>
                </c:pt>
                <c:pt idx="8">
                  <c:v>2.8256880589788196</c:v>
                </c:pt>
              </c:numCache>
            </c:numRef>
          </c:xVal>
          <c:yVal>
            <c:numRef>
              <c:f>'part 1'!$S$5:$S$13</c:f>
              <c:numCache>
                <c:formatCode>General</c:formatCode>
                <c:ptCount val="9"/>
                <c:pt idx="0">
                  <c:v>0.214</c:v>
                </c:pt>
                <c:pt idx="1">
                  <c:v>0.49679999999999991</c:v>
                </c:pt>
                <c:pt idx="2">
                  <c:v>0.73439999999999994</c:v>
                </c:pt>
                <c:pt idx="3">
                  <c:v>0.99479999999999991</c:v>
                </c:pt>
                <c:pt idx="4">
                  <c:v>1.23</c:v>
                </c:pt>
                <c:pt idx="5">
                  <c:v>1.51</c:v>
                </c:pt>
                <c:pt idx="6">
                  <c:v>1.77</c:v>
                </c:pt>
                <c:pt idx="7">
                  <c:v>2.02</c:v>
                </c:pt>
                <c:pt idx="8">
                  <c:v>2.2299999999999995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26-4A0F-B317-CD128A590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299624"/>
        <c:axId val="538300608"/>
      </c:scatterChart>
      <c:valAx>
        <c:axId val="538299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300608"/>
        <c:crosses val="autoZero"/>
        <c:crossBetween val="midCat"/>
      </c:valAx>
      <c:valAx>
        <c:axId val="53830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299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1117</Words>
  <Characters>6770</Characters>
  <Application>Microsoft Office Word</Application>
  <DocSecurity>0</DocSecurity>
  <Lines>451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Looi</dc:creator>
  <cp:keywords/>
  <dc:description/>
  <cp:lastModifiedBy>Andre Yim</cp:lastModifiedBy>
  <cp:revision>4</cp:revision>
  <dcterms:created xsi:type="dcterms:W3CDTF">2017-11-18T21:42:00Z</dcterms:created>
  <dcterms:modified xsi:type="dcterms:W3CDTF">2017-11-19T04:12:00Z</dcterms:modified>
</cp:coreProperties>
</file>