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1ba0bfdfaee32a33511707fda20d0e55628aa4c.png"/>
            <a:graphic>
              <a:graphicData uri="http://schemas.openxmlformats.org/drawingml/2006/picture">
                <pic:pic>
                  <pic:nvPicPr>
                    <pic:cNvPr id="1" name="image-11ba0bfdfaee32a33511707fda20d0e55628aa4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ink_step_by_step"/>
      <w:r>
        <w:rPr>
          <w:rFonts w:eastAsia="inter" w:cs="inter" w:ascii="inter" w:hAnsi="inter"/>
          <w:b/>
          <w:color w:val="000000"/>
          <w:sz w:val="39"/>
        </w:rPr>
        <w:t xml:space="preserve">Think step by step</w:t>
      </w:r>
      <w:bookmarkEnd w:id="0"/>
    </w:p>
    <w:p>
      <w:pPr>
        <w:spacing w:line="360" w:after="210" w:lineRule="auto"/>
      </w:pPr>
      <w:r>
        <w:rPr>
          <w:rFonts w:eastAsia="inter" w:cs="inter" w:ascii="inter" w:hAnsi="inter"/>
          <w:color w:val="000000"/>
        </w:rPr>
        <w:t xml:space="preserve">Act as an **English grammar checker designer"</w:t>
      </w:r>
      <w:r>
        <w:rPr>
          <w:rFonts w:eastAsia="inter" w:cs="inter" w:ascii="inter" w:hAnsi="inter"/>
          <w:color w:val="000000"/>
        </w:rPr>
        <w:br w:type="textWrapping"/>
      </w:r>
      <w:r>
        <w:rPr>
          <w:rFonts w:eastAsia="inter" w:cs="inter" w:ascii="inter" w:hAnsi="inter"/>
          <w:color w:val="000000"/>
        </w:rPr>
        <w:t xml:space="preserve">Now the target users are C1-lev ESL L1 Cantonese speakers, causal and professional contexts.</w:t>
      </w:r>
      <w:r>
        <w:rPr>
          <w:rFonts w:eastAsia="inter" w:cs="inter" w:ascii="inter" w:hAnsi="inter"/>
          <w:color w:val="000000"/>
        </w:rPr>
        <w:br w:type="textWrapping"/>
      </w:r>
      <w:r>
        <w:rPr>
          <w:rFonts w:eastAsia="inter" w:cs="inter" w:ascii="inter" w:hAnsi="inter"/>
          <w:color w:val="000000"/>
        </w:rPr>
        <w:t xml:space="preserve">You need a full, exhaustive list of errors + minimal pairs,</w:t>
      </w:r>
    </w:p>
    <w:p>
      <w:pPr>
        <w:numPr>
          <w:ilvl w:val="0"/>
          <w:numId w:val="1"/>
        </w:numPr>
        <w:spacing w:line="360" w:before="105" w:after="105" w:lineRule="auto"/>
      </w:pPr>
      <w:r>
        <w:rPr>
          <w:rFonts w:eastAsia="inter" w:cs="inter" w:ascii="inter" w:hAnsi="inter"/>
          <w:color w:val="000000"/>
          <w:sz w:val="21"/>
        </w:rPr>
        <w:t xml:space="preserve">A checker must identify</w:t>
      </w:r>
    </w:p>
    <w:p>
      <w:pPr>
        <w:numPr>
          <w:ilvl w:val="0"/>
          <w:numId w:val="1"/>
        </w:numPr>
        <w:spacing w:line="360" w:before="105" w:after="105" w:lineRule="auto"/>
      </w:pPr>
      <w:r>
        <w:rPr>
          <w:rFonts w:eastAsia="inter" w:cs="inter" w:ascii="inter" w:hAnsi="inter"/>
          <w:color w:val="000000"/>
          <w:sz w:val="21"/>
        </w:rPr>
        <w:t xml:space="preserve">A checker must flag and explain,</w:t>
      </w:r>
    </w:p>
    <w:p>
      <w:pPr>
        <w:numPr>
          <w:ilvl w:val="0"/>
          <w:numId w:val="1"/>
        </w:numPr>
        <w:spacing w:line="360" w:before="105" w:after="105" w:lineRule="auto"/>
      </w:pPr>
      <w:r>
        <w:rPr>
          <w:rFonts w:eastAsia="inter" w:cs="inter" w:ascii="inter" w:hAnsi="inter"/>
          <w:color w:val="000000"/>
          <w:sz w:val="21"/>
        </w:rPr>
        <w:t xml:space="preserve">A checker must only flag</w:t>
      </w:r>
    </w:p>
    <w:p>
      <w:pPr>
        <w:spacing w:line="360" w:after="210" w:lineRule="auto"/>
      </w:pPr>
      <w:r>
        <w:rPr>
          <w:rFonts w:eastAsia="inter" w:cs="inter" w:ascii="inter" w:hAnsi="inter"/>
          <w:color w:val="000000"/>
        </w:rPr>
        <w:t xml:space="preserve">A C1-focused checker for Cantonese L1 users should prioritize fossilized, high-impact grammar and usage issues (especially articles, countability, tense/aspect, and prepositions), then offer graded warnings for subtler or stylistic points.</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bookmarkStart w:id="4" w:name="fnref4"/>
      <w:bookmarkEnd w:id="4"/>
      <w:hyperlink w:anchor="fn4">
        <w:r>
          <w:rPr>
            <w:rFonts w:eastAsia="inter" w:cs="inter" w:ascii="inter" w:hAnsi="inter"/>
            <w:color w:val="#000"/>
            <w:u w:val="single"/>
            <w:vertAlign w:val="superscript"/>
          </w:rPr>
          <w:t xml:space="preserve">[4]</w:t>
        </w:r>
      </w:hyperlink>
      <w:bookmarkStart w:id="5" w:name="fnref5"/>
      <w:bookmarkEnd w:id="5"/>
      <w:hyperlink w:anchor="fn5">
        <w:r>
          <w:rPr>
            <w:rFonts w:eastAsia="inter" w:cs="inter" w:ascii="inter" w:hAnsi="inter"/>
            <w:color w:val="#000"/>
            <w:u w:val="single"/>
            <w:vertAlign w:val="superscript"/>
          </w:rPr>
          <w:t xml:space="preserve">[5]</w:t>
        </w:r>
      </w:hyperlink>
      <w:bookmarkStart w:id="6" w:name="fnref6"/>
      <w:bookmarkEnd w:id="6"/>
      <w:hyperlink w:anchor="fn6">
        <w:r>
          <w:rPr>
            <w:rFonts w:eastAsia="inter" w:cs="inter" w:ascii="inter" w:hAnsi="inter"/>
            <w:color w:val="#000"/>
            <w:u w:val="single"/>
            <w:vertAlign w:val="superscript"/>
          </w:rPr>
          <w:t xml:space="preserve">[6]</w:t>
        </w:r>
      </w:hyperlink>
      <w:r>
        <w:rPr>
          <w:rFonts w:eastAsia="inter" w:cs="inter" w:ascii="inter" w:hAnsi="inter"/>
          <w:color w:val="000000"/>
        </w:rPr>
        <w:br w:type="textWrapping"/>
      </w:r>
      <w:r>
        <w:rPr>
          <w:rFonts w:eastAsia="inter" w:cs="inter" w:ascii="inter" w:hAnsi="inter"/>
          <w:color w:val="000000"/>
        </w:rPr>
        <w:t xml:space="preserve">Below is a design spec with three strictness levels and minimal pairs for each error type.</w:t>
      </w:r>
    </w:p>
    <w:p>
      <w:pPr>
        <w:spacing w:line="360" w:before="315" w:after="105" w:lineRule="auto"/>
        <w:ind w:left="-30"/>
        <w:jc w:val="left"/>
      </w:pPr>
      <w:bookmarkStart w:id="7" w:name="design_overview"/>
      <w:r>
        <w:rPr>
          <w:rFonts w:eastAsia="inter" w:cs="inter" w:ascii="inter" w:hAnsi="inter"/>
          <w:b/>
          <w:color w:val="000000"/>
          <w:sz w:val="24"/>
        </w:rPr>
        <w:t xml:space="preserve">Design overview</w:t>
      </w:r>
      <w:bookmarkEnd w:id="7"/>
    </w:p>
    <w:p>
      <w:pPr>
        <w:spacing w:line="360" w:after="210" w:lineRule="auto"/>
      </w:pPr>
      <w:r>
        <w:rPr>
          <w:rFonts w:eastAsia="inter" w:cs="inter" w:ascii="inter" w:hAnsi="inter"/>
          <w:color w:val="000000"/>
        </w:rPr>
        <w:t xml:space="preserve">Research on Hong Kong Cantonese ESL users shows persistent problems with countable vs uncountable nouns, article choice, tense marking, prepositions, and non-finite verb patterns, even at higher proficiency levels. These are often driven by L1 transfer from Cantonese, which lacks articles and has different ways of expressing tense and prepositional relations.</w:t>
      </w:r>
      <w:bookmarkStart w:id="8" w:name="fnref2_1"/>
      <w:bookmarkEnd w:id="8"/>
      <w:hyperlink w:anchor="fn2">
        <w:r>
          <w:rPr>
            <w:rFonts w:eastAsia="inter" w:cs="inter" w:ascii="inter" w:hAnsi="inter"/>
            <w:color w:val="#000"/>
            <w:u w:val="single"/>
            <w:vertAlign w:val="superscript"/>
          </w:rPr>
          <w:t xml:space="preserve">[2]</w:t>
        </w:r>
      </w:hyperlink>
      <w:bookmarkStart w:id="9" w:name="fnref7"/>
      <w:bookmarkEnd w:id="9"/>
      <w:hyperlink w:anchor="fn7">
        <w:r>
          <w:rPr>
            <w:rFonts w:eastAsia="inter" w:cs="inter" w:ascii="inter" w:hAnsi="inter"/>
            <w:color w:val="#000"/>
            <w:u w:val="single"/>
            <w:vertAlign w:val="superscript"/>
          </w:rPr>
          <w:t xml:space="preserve">[7]</w:t>
        </w:r>
      </w:hyperlink>
      <w:bookmarkStart w:id="10" w:name="fnref3_1"/>
      <w:bookmarkEnd w:id="10"/>
      <w:hyperlink w:anchor="fn3">
        <w:r>
          <w:rPr>
            <w:rFonts w:eastAsia="inter" w:cs="inter" w:ascii="inter" w:hAnsi="inter"/>
            <w:color w:val="#000"/>
            <w:u w:val="single"/>
            <w:vertAlign w:val="superscript"/>
          </w:rPr>
          <w:t xml:space="preserve">[3]</w:t>
        </w:r>
      </w:hyperlink>
      <w:bookmarkStart w:id="11" w:name="fnref4_1"/>
      <w:bookmarkEnd w:id="11"/>
      <w:hyperlink w:anchor="fn4">
        <w:r>
          <w:rPr>
            <w:rFonts w:eastAsia="inter" w:cs="inter" w:ascii="inter" w:hAnsi="inter"/>
            <w:color w:val="#000"/>
            <w:u w:val="single"/>
            <w:vertAlign w:val="superscript"/>
          </w:rPr>
          <w:t xml:space="preserve">[4]</w:t>
        </w:r>
      </w:hyperlink>
      <w:bookmarkStart w:id="12" w:name="fnref5_1"/>
      <w:bookmarkEnd w:id="12"/>
      <w:hyperlink w:anchor="fn5">
        <w:r>
          <w:rPr>
            <w:rFonts w:eastAsia="inter" w:cs="inter" w:ascii="inter" w:hAnsi="inter"/>
            <w:color w:val="#000"/>
            <w:u w:val="single"/>
            <w:vertAlign w:val="superscript"/>
          </w:rPr>
          <w:t xml:space="preserve">[5]</w:t>
        </w:r>
      </w:hyperlink>
      <w:bookmarkStart w:id="13" w:name="fnref6_1"/>
      <w:bookmarkEnd w:id="13"/>
      <w:hyperlink w:anchor="fn6">
        <w:r>
          <w:rPr>
            <w:rFonts w:eastAsia="inter" w:cs="inter" w:ascii="inter" w:hAnsi="inter"/>
            <w:color w:val="#000"/>
            <w:u w:val="single"/>
            <w:vertAlign w:val="superscript"/>
          </w:rPr>
          <w:t xml:space="preserve">[6]</w:t>
        </w:r>
      </w:hyperlink>
      <w:bookmarkStart w:id="14" w:name="fnref1_1"/>
      <w:bookmarkEnd w:id="1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 checker should therefore:</w:t>
      </w:r>
    </w:p>
    <w:p>
      <w:pPr>
        <w:numPr>
          <w:ilvl w:val="0"/>
          <w:numId w:val="2"/>
        </w:numPr>
        <w:spacing w:line="360" w:before="105" w:after="105" w:lineRule="auto"/>
      </w:pPr>
      <w:r>
        <w:rPr>
          <w:rFonts w:eastAsia="inter" w:cs="inter" w:ascii="inter" w:hAnsi="inter"/>
          <w:color w:val="000000"/>
          <w:sz w:val="21"/>
        </w:rPr>
        <w:t xml:space="preserve">Treat “must identify” errors as virtually always wrong in any context, suitable for confident auto-suggestions.</w:t>
      </w:r>
    </w:p>
    <w:p>
      <w:pPr>
        <w:numPr>
          <w:ilvl w:val="0"/>
          <w:numId w:val="2"/>
        </w:numPr>
        <w:spacing w:line="360" w:before="105" w:after="105" w:lineRule="auto"/>
      </w:pPr>
      <w:r>
        <w:rPr>
          <w:rFonts w:eastAsia="inter" w:cs="inter" w:ascii="inter" w:hAnsi="inter"/>
          <w:color w:val="000000"/>
          <w:sz w:val="21"/>
        </w:rPr>
        <w:t xml:space="preserve">Treat “must flag and explain” errors as systematic but context-sensitive, needing user education and a clear explanation.</w:t>
      </w:r>
    </w:p>
    <w:p>
      <w:pPr>
        <w:numPr>
          <w:ilvl w:val="0"/>
          <w:numId w:val="2"/>
        </w:numPr>
        <w:spacing w:line="360" w:before="105" w:after="105" w:lineRule="auto"/>
      </w:pPr>
      <w:r>
        <w:rPr>
          <w:rFonts w:eastAsia="inter" w:cs="inter" w:ascii="inter" w:hAnsi="inter"/>
          <w:color w:val="000000"/>
          <w:sz w:val="21"/>
        </w:rPr>
        <w:t xml:space="preserve">Treat “only flag” items as low-confidence or stylistic, where the tool offers a soft suggestion without asserting it is wrong.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errors_to_identify"/>
      <w:r>
        <w:rPr>
          <w:rFonts w:eastAsia="inter" w:cs="inter" w:ascii="inter" w:hAnsi="inter"/>
          <w:b/>
          <w:color w:val="000000"/>
          <w:sz w:val="24"/>
        </w:rPr>
        <w:t xml:space="preserve">Errors to identify</w:t>
      </w:r>
      <w:bookmarkEnd w:id="15"/>
    </w:p>
    <w:p>
      <w:pPr>
        <w:spacing w:line="360" w:after="210" w:lineRule="auto"/>
      </w:pPr>
      <w:r>
        <w:rPr>
          <w:rFonts w:eastAsia="inter" w:cs="inter" w:ascii="inter" w:hAnsi="inter"/>
          <w:color w:val="000000"/>
        </w:rPr>
        <w:t xml:space="preserve">These are clear grammatical violations or globally non-standard forms where an automatic suggestion is safe.</w:t>
      </w:r>
    </w:p>
    <w:p>
      <w:pPr>
        <w:spacing w:line="360" w:before="315" w:after="105" w:lineRule="auto"/>
        <w:ind w:left="-30"/>
        <w:jc w:val="left"/>
      </w:pPr>
      <w:bookmarkStart w:id="16" w:name="bm_1_subject_verb_agreement_core_685e22"/>
      <w:r>
        <w:rPr>
          <w:rFonts w:eastAsia="inter" w:cs="inter" w:ascii="inter" w:hAnsi="inter"/>
          <w:b/>
          <w:color w:val="000000"/>
          <w:sz w:val="24"/>
        </w:rPr>
        <w:t xml:space="preserve">1. Subject–verb agreement (core patterns)</w:t>
      </w:r>
      <w:bookmarkEnd w:id="16"/>
    </w:p>
    <w:p>
      <w:pPr>
        <w:numPr>
          <w:ilvl w:val="0"/>
          <w:numId w:val="3"/>
        </w:numPr>
        <w:spacing w:line="360" w:before="105" w:after="105" w:lineRule="auto"/>
      </w:pPr>
      <w:r>
        <w:rPr>
          <w:rFonts w:eastAsia="inter" w:cs="inter" w:ascii="inter" w:hAnsi="inter"/>
          <w:color w:val="000000"/>
          <w:sz w:val="21"/>
        </w:rPr>
        <w:t xml:space="preserve">Present simple third-person mismatch:</w:t>
      </w:r>
    </w:p>
    <w:p>
      <w:pPr>
        <w:numPr>
          <w:ilvl w:val="1"/>
          <w:numId w:val="3"/>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She go to the office every day.</w:t>
      </w:r>
    </w:p>
    <w:p>
      <w:pPr>
        <w:numPr>
          <w:ilvl w:val="1"/>
          <w:numId w:val="3"/>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She goes to the office every day.</w:t>
      </w:r>
    </w:p>
    <w:p>
      <w:pPr>
        <w:numPr>
          <w:ilvl w:val="0"/>
          <w:numId w:val="3"/>
        </w:numPr>
        <w:spacing w:line="360" w:before="105" w:after="105" w:lineRule="auto"/>
      </w:pPr>
      <w:r>
        <w:rPr>
          <w:rFonts w:eastAsia="inter" w:cs="inter" w:ascii="inter" w:hAnsi="inter"/>
          <w:color w:val="000000"/>
          <w:sz w:val="21"/>
        </w:rPr>
        <w:t xml:space="preserve">“There is/are” with clear plural:</w:t>
      </w:r>
    </w:p>
    <w:p>
      <w:pPr>
        <w:numPr>
          <w:ilvl w:val="1"/>
          <w:numId w:val="3"/>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There is many issues in this report.</w:t>
      </w:r>
    </w:p>
    <w:p>
      <w:pPr>
        <w:numPr>
          <w:ilvl w:val="1"/>
          <w:numId w:val="3"/>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There are many issues in this report.</w:t>
      </w:r>
    </w:p>
    <w:p>
      <w:pPr>
        <w:spacing w:line="360" w:before="315" w:after="105" w:lineRule="auto"/>
        <w:ind w:left="-30"/>
        <w:jc w:val="left"/>
      </w:pPr>
      <w:bookmarkStart w:id="17" w:name="bm_2_countable_uncountable_nouns_5f8354"/>
      <w:r>
        <w:rPr>
          <w:rFonts w:eastAsia="inter" w:cs="inter" w:ascii="inter" w:hAnsi="inter"/>
          <w:b/>
          <w:color w:val="000000"/>
          <w:sz w:val="24"/>
        </w:rPr>
        <w:t xml:space="preserve">2. Countable/uncountable nouns and impossible plurals</w:t>
      </w:r>
      <w:bookmarkEnd w:id="17"/>
    </w:p>
    <w:p>
      <w:pPr>
        <w:spacing w:line="360" w:after="210" w:lineRule="auto"/>
      </w:pPr>
      <w:r>
        <w:rPr>
          <w:rFonts w:eastAsia="inter" w:cs="inter" w:ascii="inter" w:hAnsi="inter"/>
          <w:color w:val="000000"/>
        </w:rPr>
        <w:t xml:space="preserve">Cantonese L1 learners often overpluralize uncountable nouns or treat them as countable because Cantonese does not mark this distinction morphologically.</w:t>
      </w:r>
      <w:bookmarkStart w:id="18" w:name="fnref5_2"/>
      <w:bookmarkEnd w:id="18"/>
      <w:hyperlink w:anchor="fn5">
        <w:r>
          <w:rPr>
            <w:rFonts w:eastAsia="inter" w:cs="inter" w:ascii="inter" w:hAnsi="inter"/>
            <w:color w:val="#000"/>
            <w:u w:val="single"/>
            <w:vertAlign w:val="superscript"/>
          </w:rPr>
          <w:t xml:space="preserve">[5]</w:t>
        </w:r>
      </w:hyperlink>
      <w:bookmarkStart w:id="19" w:name="fnref6_2"/>
      <w:bookmarkEnd w:id="19"/>
      <w:hyperlink w:anchor="fn6">
        <w:r>
          <w:rPr>
            <w:rFonts w:eastAsia="inter" w:cs="inter" w:ascii="inter" w:hAnsi="inter"/>
            <w:color w:val="#000"/>
            <w:u w:val="single"/>
            <w:vertAlign w:val="superscript"/>
          </w:rPr>
          <w:t xml:space="preserve">[6]</w:t>
        </w:r>
      </w:hyperlink>
      <w:bookmarkStart w:id="20" w:name="fnref1_2"/>
      <w:bookmarkEnd w:id="20"/>
      <w:hyperlink w:anchor="fn1">
        <w:r>
          <w:rPr>
            <w:rFonts w:eastAsia="inter" w:cs="inter" w:ascii="inter" w:hAnsi="inter"/>
            <w:color w:val="#000"/>
            <w:u w:val="single"/>
            <w:vertAlign w:val="superscript"/>
          </w:rPr>
          <w:t xml:space="preserve">[1]</w:t>
        </w:r>
      </w:hyperlink>
      <w:bookmarkStart w:id="21" w:name="fnref2_2"/>
      <w:bookmarkEnd w:id="21"/>
      <w:hyperlink w:anchor="fn2">
        <w:r>
          <w:rPr>
            <w:rFonts w:eastAsia="inter" w:cs="inter" w:ascii="inter" w:hAnsi="inter"/>
            <w:color w:val="#000"/>
            <w:u w:val="single"/>
            <w:vertAlign w:val="superscript"/>
          </w:rPr>
          <w:t xml:space="preserve">[2]</w:t>
        </w:r>
      </w:hyperlink>
    </w:p>
    <w:p>
      <w:pPr>
        <w:numPr>
          <w:ilvl w:val="0"/>
          <w:numId w:val="4"/>
        </w:numPr>
        <w:spacing w:line="360" w:before="105" w:after="105" w:lineRule="auto"/>
      </w:pPr>
      <w:r>
        <w:rPr>
          <w:rFonts w:eastAsia="inter" w:cs="inter" w:ascii="inter" w:hAnsi="inter"/>
          <w:color w:val="000000"/>
          <w:sz w:val="21"/>
        </w:rPr>
        <w:t xml:space="preserve">Uncountable noun with plural </w:t>
      </w:r>
      <w:r>
        <w:rPr>
          <w:rFonts w:eastAsia="inter" w:cs="inter" w:ascii="inter" w:hAnsi="inter"/>
          <w:i/>
          <w:color w:val="000000"/>
          <w:sz w:val="21"/>
        </w:rPr>
        <w:t xml:space="preserve">-s</w:t>
      </w:r>
      <w:r>
        <w:rPr>
          <w:rFonts w:eastAsia="inter" w:cs="inter" w:ascii="inter" w:hAnsi="inter"/>
          <w:color w:val="000000"/>
          <w:sz w:val="21"/>
        </w:rPr>
        <w:t xml:space="preserve">:</w:t>
      </w:r>
    </w:p>
    <w:p>
      <w:pPr>
        <w:numPr>
          <w:ilvl w:val="1"/>
          <w:numId w:val="4"/>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We need more informations for the proposal.</w:t>
      </w:r>
    </w:p>
    <w:p>
      <w:pPr>
        <w:numPr>
          <w:ilvl w:val="1"/>
          <w:numId w:val="4"/>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We need more information for the proposal.</w:t>
      </w:r>
    </w:p>
    <w:p>
      <w:pPr>
        <w:numPr>
          <w:ilvl w:val="0"/>
          <w:numId w:val="4"/>
        </w:numPr>
        <w:spacing w:line="360" w:before="105" w:after="105" w:lineRule="auto"/>
      </w:pPr>
      <w:r>
        <w:rPr>
          <w:rFonts w:eastAsia="inter" w:cs="inter" w:ascii="inter" w:hAnsi="inter"/>
          <w:color w:val="000000"/>
          <w:sz w:val="21"/>
        </w:rPr>
        <w:t xml:space="preserve">Uncountable with “many” instead of “much”:</w:t>
      </w:r>
    </w:p>
    <w:p>
      <w:pPr>
        <w:numPr>
          <w:ilvl w:val="1"/>
          <w:numId w:val="4"/>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There are many research on this topic.</w:t>
      </w:r>
    </w:p>
    <w:p>
      <w:pPr>
        <w:numPr>
          <w:ilvl w:val="1"/>
          <w:numId w:val="4"/>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There is much research on this topic.</w:t>
      </w:r>
    </w:p>
    <w:p>
      <w:pPr>
        <w:spacing w:line="360" w:before="315" w:after="105" w:lineRule="auto"/>
        <w:ind w:left="-30"/>
        <w:jc w:val="left"/>
      </w:pPr>
      <w:bookmarkStart w:id="22" w:name="bm_3_plural_marking_after_numeral_abdf8e"/>
      <w:r>
        <w:rPr>
          <w:rFonts w:eastAsia="inter" w:cs="inter" w:ascii="inter" w:hAnsi="inter"/>
          <w:b/>
          <w:color w:val="000000"/>
          <w:sz w:val="24"/>
        </w:rPr>
        <w:t xml:space="preserve">3. Plural marking after numerals and quantifiers</w:t>
      </w:r>
      <w:bookmarkEnd w:id="22"/>
    </w:p>
    <w:p>
      <w:pPr>
        <w:numPr>
          <w:ilvl w:val="0"/>
          <w:numId w:val="5"/>
        </w:numPr>
        <w:spacing w:line="360" w:before="105" w:after="105" w:lineRule="auto"/>
      </w:pPr>
      <w:r>
        <w:rPr>
          <w:rFonts w:eastAsia="inter" w:cs="inter" w:ascii="inter" w:hAnsi="inter"/>
          <w:color w:val="000000"/>
          <w:sz w:val="21"/>
        </w:rPr>
        <w:t xml:space="preserve">Missing plural after numeral:</w:t>
      </w:r>
    </w:p>
    <w:p>
      <w:pPr>
        <w:numPr>
          <w:ilvl w:val="1"/>
          <w:numId w:val="5"/>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We hired three new staff member this month.</w:t>
      </w:r>
    </w:p>
    <w:p>
      <w:pPr>
        <w:numPr>
          <w:ilvl w:val="1"/>
          <w:numId w:val="5"/>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We hired three new staff members this month.</w:t>
      </w:r>
    </w:p>
    <w:p>
      <w:pPr>
        <w:numPr>
          <w:ilvl w:val="0"/>
          <w:numId w:val="5"/>
        </w:numPr>
        <w:spacing w:line="360" w:before="105" w:after="105" w:lineRule="auto"/>
      </w:pPr>
      <w:r>
        <w:rPr>
          <w:rFonts w:eastAsia="inter" w:cs="inter" w:ascii="inter" w:hAnsi="inter"/>
          <w:color w:val="000000"/>
          <w:sz w:val="21"/>
        </w:rPr>
        <w:t xml:space="preserve">Wrong number after “a lot of / few / several”:</w:t>
      </w:r>
    </w:p>
    <w:p>
      <w:pPr>
        <w:numPr>
          <w:ilvl w:val="1"/>
          <w:numId w:val="5"/>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We received several feedback from clients.</w:t>
      </w:r>
    </w:p>
    <w:p>
      <w:pPr>
        <w:numPr>
          <w:ilvl w:val="1"/>
          <w:numId w:val="5"/>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We received several pieces of feedback from clients.</w:t>
      </w:r>
    </w:p>
    <w:p>
      <w:pPr>
        <w:spacing w:line="360" w:before="315" w:after="105" w:lineRule="auto"/>
        <w:ind w:left="-30"/>
        <w:jc w:val="left"/>
      </w:pPr>
      <w:bookmarkStart w:id="23" w:name="bm_4_core_tense_morphology_past_a_30160a"/>
      <w:r>
        <w:rPr>
          <w:rFonts w:eastAsia="inter" w:cs="inter" w:ascii="inter" w:hAnsi="inter"/>
          <w:b/>
          <w:color w:val="000000"/>
          <w:sz w:val="24"/>
        </w:rPr>
        <w:t xml:space="preserve">4. Core tense morphology (past and third-person -s)</w:t>
      </w:r>
      <w:bookmarkEnd w:id="23"/>
    </w:p>
    <w:p>
      <w:pPr>
        <w:spacing w:line="360" w:after="210" w:lineRule="auto"/>
      </w:pPr>
      <w:r>
        <w:rPr>
          <w:rFonts w:eastAsia="inter" w:cs="inter" w:ascii="inter" w:hAnsi="inter"/>
          <w:color w:val="000000"/>
        </w:rPr>
        <w:t xml:space="preserve">Cantonese marks aspect differently and often allows bare verbs for past reference, which leads to omission of English tense morphology.</w:t>
      </w:r>
      <w:bookmarkStart w:id="24" w:name="fnref4_2"/>
      <w:bookmarkEnd w:id="24"/>
      <w:hyperlink w:anchor="fn4">
        <w:r>
          <w:rPr>
            <w:rFonts w:eastAsia="inter" w:cs="inter" w:ascii="inter" w:hAnsi="inter"/>
            <w:color w:val="#000"/>
            <w:u w:val="single"/>
            <w:vertAlign w:val="superscript"/>
          </w:rPr>
          <w:t xml:space="preserve">[4]</w:t>
        </w:r>
      </w:hyperlink>
    </w:p>
    <w:p>
      <w:pPr>
        <w:numPr>
          <w:ilvl w:val="0"/>
          <w:numId w:val="6"/>
        </w:numPr>
        <w:spacing w:line="360" w:before="105" w:after="105" w:lineRule="auto"/>
      </w:pPr>
      <w:r>
        <w:rPr>
          <w:rFonts w:eastAsia="inter" w:cs="inter" w:ascii="inter" w:hAnsi="inter"/>
          <w:color w:val="000000"/>
          <w:sz w:val="21"/>
        </w:rPr>
        <w:t xml:space="preserve">Missing past tense with explicit past time:</w:t>
      </w:r>
    </w:p>
    <w:p>
      <w:pPr>
        <w:numPr>
          <w:ilvl w:val="1"/>
          <w:numId w:val="6"/>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Yesterday we discuss the budget.</w:t>
      </w:r>
    </w:p>
    <w:p>
      <w:pPr>
        <w:numPr>
          <w:ilvl w:val="1"/>
          <w:numId w:val="6"/>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Yesterday we discussed the budget.</w:t>
      </w:r>
    </w:p>
    <w:p>
      <w:pPr>
        <w:numPr>
          <w:ilvl w:val="0"/>
          <w:numId w:val="6"/>
        </w:numPr>
        <w:spacing w:line="360" w:before="105" w:after="105" w:lineRule="auto"/>
      </w:pPr>
      <w:r>
        <w:rPr>
          <w:rFonts w:eastAsia="inter" w:cs="inter" w:ascii="inter" w:hAnsi="inter"/>
          <w:color w:val="000000"/>
          <w:sz w:val="21"/>
        </w:rPr>
        <w:t xml:space="preserve">Missing third-person singular -s in habitual actions:</w:t>
      </w:r>
    </w:p>
    <w:p>
      <w:pPr>
        <w:numPr>
          <w:ilvl w:val="1"/>
          <w:numId w:val="6"/>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My manager often check the numbers carefully.</w:t>
      </w:r>
    </w:p>
    <w:p>
      <w:pPr>
        <w:numPr>
          <w:ilvl w:val="1"/>
          <w:numId w:val="6"/>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My manager often checks the numbers carefully.</w:t>
      </w:r>
    </w:p>
    <w:p>
      <w:pPr>
        <w:spacing w:line="360" w:before="315" w:after="105" w:lineRule="auto"/>
        <w:ind w:left="-30"/>
        <w:jc w:val="left"/>
      </w:pPr>
      <w:bookmarkStart w:id="25" w:name="bm_5_modal_and_auxiliary_verb_patterns"/>
      <w:r>
        <w:rPr>
          <w:rFonts w:eastAsia="inter" w:cs="inter" w:ascii="inter" w:hAnsi="inter"/>
          <w:b/>
          <w:color w:val="000000"/>
          <w:sz w:val="24"/>
        </w:rPr>
        <w:t xml:space="preserve">5. Modal and auxiliary verb patterns</w:t>
      </w:r>
      <w:bookmarkEnd w:id="25"/>
    </w:p>
    <w:p>
      <w:pPr>
        <w:numPr>
          <w:ilvl w:val="0"/>
          <w:numId w:val="7"/>
        </w:numPr>
        <w:spacing w:line="360" w:before="105" w:after="105" w:lineRule="auto"/>
      </w:pPr>
      <w:r>
        <w:rPr>
          <w:rFonts w:eastAsia="inter" w:cs="inter" w:ascii="inter" w:hAnsi="inter"/>
          <w:color w:val="000000"/>
          <w:sz w:val="21"/>
        </w:rPr>
        <w:t xml:space="preserve">Modal + bare infinitive (no “to”):</w:t>
      </w:r>
    </w:p>
    <w:p>
      <w:pPr>
        <w:numPr>
          <w:ilvl w:val="1"/>
          <w:numId w:val="7"/>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She can to join the meeting later.</w:t>
      </w:r>
    </w:p>
    <w:p>
      <w:pPr>
        <w:numPr>
          <w:ilvl w:val="1"/>
          <w:numId w:val="7"/>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She can join the meeting later.</w:t>
      </w:r>
    </w:p>
    <w:p>
      <w:pPr>
        <w:numPr>
          <w:ilvl w:val="0"/>
          <w:numId w:val="7"/>
        </w:numPr>
        <w:spacing w:line="360" w:before="105" w:after="105" w:lineRule="auto"/>
      </w:pPr>
      <w:r>
        <w:rPr>
          <w:rFonts w:eastAsia="inter" w:cs="inter" w:ascii="inter" w:hAnsi="inter"/>
          <w:color w:val="000000"/>
          <w:sz w:val="21"/>
        </w:rPr>
        <w:t xml:space="preserve">“Do/does/did” + bare infinitive:</w:t>
      </w:r>
    </w:p>
    <w:p>
      <w:pPr>
        <w:numPr>
          <w:ilvl w:val="1"/>
          <w:numId w:val="7"/>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He didn’t went to the training yesterday.</w:t>
      </w:r>
    </w:p>
    <w:p>
      <w:pPr>
        <w:numPr>
          <w:ilvl w:val="1"/>
          <w:numId w:val="7"/>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He didn’t go to the training yesterday.</w:t>
      </w:r>
    </w:p>
    <w:p>
      <w:pPr>
        <w:spacing w:line="360" w:before="315" w:after="105" w:lineRule="auto"/>
        <w:ind w:left="-30"/>
        <w:jc w:val="left"/>
      </w:pPr>
      <w:bookmarkStart w:id="26" w:name="bm_6_obligatory_prepositions_with_58e3b6"/>
      <w:r>
        <w:rPr>
          <w:rFonts w:eastAsia="inter" w:cs="inter" w:ascii="inter" w:hAnsi="inter"/>
          <w:b/>
          <w:color w:val="000000"/>
          <w:sz w:val="24"/>
        </w:rPr>
        <w:t xml:space="preserve">6. Obligatory prepositions with specific verbs</w:t>
      </w:r>
      <w:bookmarkEnd w:id="26"/>
    </w:p>
    <w:p>
      <w:pPr>
        <w:spacing w:line="360" w:after="210" w:lineRule="auto"/>
      </w:pPr>
      <w:r>
        <w:rPr>
          <w:rFonts w:eastAsia="inter" w:cs="inter" w:ascii="inter" w:hAnsi="inter"/>
          <w:color w:val="000000"/>
        </w:rPr>
        <w:t xml:space="preserve">Studies of Hong Kong English show frequent omission of prepositions like “to” and “for” in fixed verb-preposition combinations (e.g. </w:t>
      </w:r>
      <w:r>
        <w:rPr>
          <w:rFonts w:eastAsia="inter" w:cs="inter" w:ascii="inter" w:hAnsi="inter"/>
          <w:i/>
          <w:color w:val="000000"/>
        </w:rPr>
        <w:t xml:space="preserve">apply ___ a job</w:t>
      </w:r>
      <w:r>
        <w:rPr>
          <w:rFonts w:eastAsia="inter" w:cs="inter" w:ascii="inter" w:hAnsi="inter"/>
          <w:color w:val="000000"/>
        </w:rPr>
        <w:t xml:space="preserve">).</w:t>
      </w:r>
      <w:bookmarkStart w:id="27" w:name="fnref8"/>
      <w:bookmarkEnd w:id="27"/>
      <w:hyperlink w:anchor="fn8">
        <w:r>
          <w:rPr>
            <w:rFonts w:eastAsia="inter" w:cs="inter" w:ascii="inter" w:hAnsi="inter"/>
            <w:color w:val="#000"/>
            <w:u w:val="single"/>
            <w:vertAlign w:val="superscript"/>
          </w:rPr>
          <w:t xml:space="preserve">[8]</w:t>
        </w:r>
      </w:hyperlink>
      <w:bookmarkStart w:id="28" w:name="fnref4_3"/>
      <w:bookmarkEnd w:id="28"/>
      <w:hyperlink w:anchor="fn4">
        <w:r>
          <w:rPr>
            <w:rFonts w:eastAsia="inter" w:cs="inter" w:ascii="inter" w:hAnsi="inter"/>
            <w:color w:val="#000"/>
            <w:u w:val="single"/>
            <w:vertAlign w:val="superscript"/>
          </w:rPr>
          <w:t xml:space="preserve">[4]</w:t>
        </w:r>
      </w:hyperlink>
    </w:p>
    <w:p>
      <w:pPr>
        <w:numPr>
          <w:ilvl w:val="0"/>
          <w:numId w:val="8"/>
        </w:numPr>
        <w:spacing w:line="360" w:before="105" w:after="105" w:lineRule="auto"/>
      </w:pPr>
      <w:r>
        <w:rPr>
          <w:rFonts w:eastAsia="inter" w:cs="inter" w:ascii="inter" w:hAnsi="inter"/>
          <w:color w:val="000000"/>
          <w:sz w:val="21"/>
        </w:rPr>
        <w:t xml:space="preserve">Omitted “to” with “apply”:</w:t>
      </w:r>
    </w:p>
    <w:p>
      <w:pPr>
        <w:numPr>
          <w:ilvl w:val="1"/>
          <w:numId w:val="8"/>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I applied the position last week.</w:t>
      </w:r>
    </w:p>
    <w:p>
      <w:pPr>
        <w:numPr>
          <w:ilvl w:val="1"/>
          <w:numId w:val="8"/>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I applied for the position last week.</w:t>
      </w:r>
    </w:p>
    <w:p>
      <w:pPr>
        <w:numPr>
          <w:ilvl w:val="0"/>
          <w:numId w:val="8"/>
        </w:numPr>
        <w:spacing w:line="360" w:before="105" w:after="105" w:lineRule="auto"/>
      </w:pPr>
      <w:r>
        <w:rPr>
          <w:rFonts w:eastAsia="inter" w:cs="inter" w:ascii="inter" w:hAnsi="inter"/>
          <w:color w:val="000000"/>
          <w:sz w:val="21"/>
        </w:rPr>
        <w:t xml:space="preserve">Omitted “to” with “listen”:</w:t>
      </w:r>
    </w:p>
    <w:p>
      <w:pPr>
        <w:numPr>
          <w:ilvl w:val="1"/>
          <w:numId w:val="8"/>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Please listen me carefully.</w:t>
      </w:r>
    </w:p>
    <w:p>
      <w:pPr>
        <w:numPr>
          <w:ilvl w:val="1"/>
          <w:numId w:val="8"/>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Please listen to me carefully.</w:t>
      </w:r>
    </w:p>
    <w:p>
      <w:pPr>
        <w:spacing w:line="360" w:before="315" w:after="105" w:lineRule="auto"/>
        <w:ind w:left="-30"/>
        <w:jc w:val="left"/>
      </w:pPr>
      <w:bookmarkStart w:id="29" w:name="bm_7_non_finite_verb_after_prepos_8402d5"/>
      <w:r>
        <w:rPr>
          <w:rFonts w:eastAsia="inter" w:cs="inter" w:ascii="inter" w:hAnsi="inter"/>
          <w:b/>
          <w:color w:val="000000"/>
          <w:sz w:val="24"/>
        </w:rPr>
        <w:t xml:space="preserve">7. Non-finite verb after prepositions and certain verbs</w:t>
      </w:r>
      <w:bookmarkEnd w:id="29"/>
    </w:p>
    <w:p>
      <w:pPr>
        <w:numPr>
          <w:ilvl w:val="0"/>
          <w:numId w:val="9"/>
        </w:numPr>
        <w:spacing w:line="360" w:before="105" w:after="105" w:lineRule="auto"/>
      </w:pPr>
      <w:r>
        <w:rPr>
          <w:rFonts w:eastAsia="inter" w:cs="inter" w:ascii="inter" w:hAnsi="inter"/>
          <w:color w:val="000000"/>
          <w:sz w:val="21"/>
        </w:rPr>
        <w:t xml:space="preserve">Gerund after preposition:</w:t>
      </w:r>
    </w:p>
    <w:p>
      <w:pPr>
        <w:numPr>
          <w:ilvl w:val="1"/>
          <w:numId w:val="9"/>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She is responsible for check the invoices.</w:t>
      </w:r>
    </w:p>
    <w:p>
      <w:pPr>
        <w:numPr>
          <w:ilvl w:val="1"/>
          <w:numId w:val="9"/>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She is responsible for checking the invoices.</w:t>
      </w:r>
    </w:p>
    <w:p>
      <w:pPr>
        <w:numPr>
          <w:ilvl w:val="0"/>
          <w:numId w:val="9"/>
        </w:numPr>
        <w:spacing w:line="360" w:before="105" w:after="105" w:lineRule="auto"/>
      </w:pPr>
      <w:r>
        <w:rPr>
          <w:rFonts w:eastAsia="inter" w:cs="inter" w:ascii="inter" w:hAnsi="inter"/>
          <w:color w:val="000000"/>
          <w:sz w:val="21"/>
        </w:rPr>
        <w:t xml:space="preserve">Bare infinitive after “to” in purpose clauses:</w:t>
      </w:r>
    </w:p>
    <w:p>
      <w:pPr>
        <w:numPr>
          <w:ilvl w:val="1"/>
          <w:numId w:val="9"/>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We arranged a call to clarifying the details.</w:t>
      </w:r>
    </w:p>
    <w:p>
      <w:pPr>
        <w:numPr>
          <w:ilvl w:val="1"/>
          <w:numId w:val="9"/>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We arranged a call to clarify the details.</w:t>
      </w:r>
    </w:p>
    <w:p>
      <w:pPr>
        <w:spacing w:line="360" w:before="315" w:after="105" w:lineRule="auto"/>
        <w:ind w:left="-30"/>
        <w:jc w:val="left"/>
      </w:pPr>
      <w:bookmarkStart w:id="30" w:name="bm_8_core_question_formation_and_9513d6"/>
      <w:r>
        <w:rPr>
          <w:rFonts w:eastAsia="inter" w:cs="inter" w:ascii="inter" w:hAnsi="inter"/>
          <w:b/>
          <w:color w:val="000000"/>
          <w:sz w:val="24"/>
        </w:rPr>
        <w:t xml:space="preserve">8. Core question formation and inversion</w:t>
      </w:r>
      <w:bookmarkEnd w:id="30"/>
    </w:p>
    <w:p>
      <w:pPr>
        <w:spacing w:line="360" w:after="210" w:lineRule="auto"/>
      </w:pPr>
      <w:r>
        <w:rPr>
          <w:rFonts w:eastAsia="inter" w:cs="inter" w:ascii="inter" w:hAnsi="inter"/>
          <w:color w:val="000000"/>
        </w:rPr>
        <w:t xml:space="preserve">Cantonese often forms questions by adding a particle or relying on intonation, which leads to missing subject–auxiliary inversion in English questions.</w:t>
      </w:r>
      <w:bookmarkStart w:id="31" w:name="fnref1_3"/>
      <w:bookmarkEnd w:id="31"/>
      <w:hyperlink w:anchor="fn1">
        <w:r>
          <w:rPr>
            <w:rFonts w:eastAsia="inter" w:cs="inter" w:ascii="inter" w:hAnsi="inter"/>
            <w:color w:val="#000"/>
            <w:u w:val="single"/>
            <w:vertAlign w:val="superscript"/>
          </w:rPr>
          <w:t xml:space="preserve">[1]</w:t>
        </w:r>
      </w:hyperlink>
    </w:p>
    <w:p>
      <w:pPr>
        <w:numPr>
          <w:ilvl w:val="0"/>
          <w:numId w:val="10"/>
        </w:numPr>
        <w:spacing w:line="360" w:before="105" w:after="105" w:lineRule="auto"/>
      </w:pPr>
      <w:r>
        <w:rPr>
          <w:rFonts w:eastAsia="inter" w:cs="inter" w:ascii="inter" w:hAnsi="inter"/>
          <w:color w:val="000000"/>
          <w:sz w:val="21"/>
        </w:rPr>
        <w:t xml:space="preserve">Wh-question without inversion:</w:t>
      </w:r>
    </w:p>
    <w:p>
      <w:pPr>
        <w:numPr>
          <w:ilvl w:val="1"/>
          <w:numId w:val="10"/>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Why you are late to the meeting?</w:t>
      </w:r>
    </w:p>
    <w:p>
      <w:pPr>
        <w:numPr>
          <w:ilvl w:val="1"/>
          <w:numId w:val="10"/>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Why are you late to the meeting?</w:t>
      </w:r>
    </w:p>
    <w:p>
      <w:pPr>
        <w:numPr>
          <w:ilvl w:val="0"/>
          <w:numId w:val="10"/>
        </w:numPr>
        <w:spacing w:line="360" w:before="105" w:after="105" w:lineRule="auto"/>
      </w:pPr>
      <w:r>
        <w:rPr>
          <w:rFonts w:eastAsia="inter" w:cs="inter" w:ascii="inter" w:hAnsi="inter"/>
          <w:color w:val="000000"/>
          <w:sz w:val="21"/>
        </w:rPr>
        <w:t xml:space="preserve">Yes/no question without inversion:</w:t>
      </w:r>
    </w:p>
    <w:p>
      <w:pPr>
        <w:numPr>
          <w:ilvl w:val="1"/>
          <w:numId w:val="10"/>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You finished the report?</w:t>
      </w:r>
      <w:r>
        <w:rPr>
          <w:rFonts w:eastAsia="inter" w:cs="inter" w:ascii="inter" w:hAnsi="inter"/>
          <w:color w:val="000000"/>
          <w:sz w:val="21"/>
        </w:rPr>
        <w:t xml:space="preserve"> (in formal email)</w:t>
      </w:r>
    </w:p>
    <w:p>
      <w:pPr>
        <w:numPr>
          <w:ilvl w:val="1"/>
          <w:numId w:val="10"/>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Have you finished the report?</w:t>
      </w:r>
    </w:p>
    <w:p>
      <w:pPr>
        <w:spacing w:line="360" w:before="315" w:after="105" w:lineRule="auto"/>
        <w:ind w:left="-30"/>
        <w:jc w:val="left"/>
      </w:pPr>
      <w:bookmarkStart w:id="32" w:name="bm_9_basic_run_ons_and_comma_splices"/>
      <w:r>
        <w:rPr>
          <w:rFonts w:eastAsia="inter" w:cs="inter" w:ascii="inter" w:hAnsi="inter"/>
          <w:b/>
          <w:color w:val="000000"/>
          <w:sz w:val="24"/>
        </w:rPr>
        <w:t xml:space="preserve">9. Basic run-ons and comma splices</w:t>
      </w:r>
      <w:bookmarkEnd w:id="32"/>
    </w:p>
    <w:p>
      <w:pPr>
        <w:numPr>
          <w:ilvl w:val="0"/>
          <w:numId w:val="11"/>
        </w:numPr>
        <w:spacing w:line="360" w:before="105" w:after="105" w:lineRule="auto"/>
      </w:pPr>
      <w:r>
        <w:rPr>
          <w:rFonts w:eastAsia="inter" w:cs="inter" w:ascii="inter" w:hAnsi="inter"/>
          <w:color w:val="000000"/>
          <w:sz w:val="21"/>
        </w:rPr>
        <w:t xml:space="preserve">Comma splice:</w:t>
      </w:r>
    </w:p>
    <w:p>
      <w:pPr>
        <w:numPr>
          <w:ilvl w:val="1"/>
          <w:numId w:val="11"/>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The figures look good, we can relax now.</w:t>
      </w:r>
    </w:p>
    <w:p>
      <w:pPr>
        <w:numPr>
          <w:ilvl w:val="1"/>
          <w:numId w:val="11"/>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The figures look good, so we can relax now.</w:t>
      </w:r>
    </w:p>
    <w:p>
      <w:pPr>
        <w:numPr>
          <w:ilvl w:val="0"/>
          <w:numId w:val="11"/>
        </w:numPr>
        <w:spacing w:line="360" w:before="105" w:after="105" w:lineRule="auto"/>
      </w:pPr>
      <w:r>
        <w:rPr>
          <w:rFonts w:eastAsia="inter" w:cs="inter" w:ascii="inter" w:hAnsi="inter"/>
          <w:color w:val="000000"/>
          <w:sz w:val="21"/>
        </w:rPr>
        <w:t xml:space="preserve">Fused sentence:</w:t>
      </w:r>
    </w:p>
    <w:p>
      <w:pPr>
        <w:numPr>
          <w:ilvl w:val="1"/>
          <w:numId w:val="11"/>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I read your email I will reply tomorrow.</w:t>
      </w:r>
    </w:p>
    <w:p>
      <w:pPr>
        <w:numPr>
          <w:ilvl w:val="1"/>
          <w:numId w:val="11"/>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I read your email, and I will reply tomorrow.</w:t>
      </w:r>
    </w:p>
    <w:p>
      <w:pPr>
        <w:spacing w:line="360" w:before="315" w:after="105" w:lineRule="auto"/>
        <w:ind w:left="-30"/>
        <w:jc w:val="left"/>
      </w:pPr>
      <w:bookmarkStart w:id="33" w:name="bm_10_pronoun_case_in_standard_patterns"/>
      <w:r>
        <w:rPr>
          <w:rFonts w:eastAsia="inter" w:cs="inter" w:ascii="inter" w:hAnsi="inter"/>
          <w:b/>
          <w:color w:val="000000"/>
          <w:sz w:val="24"/>
        </w:rPr>
        <w:t xml:space="preserve">10. Pronoun case in standard patterns</w:t>
      </w:r>
      <w:bookmarkEnd w:id="33"/>
    </w:p>
    <w:p>
      <w:pPr>
        <w:numPr>
          <w:ilvl w:val="0"/>
          <w:numId w:val="12"/>
        </w:numPr>
        <w:spacing w:line="360" w:before="105" w:after="105" w:lineRule="auto"/>
      </w:pPr>
      <w:r>
        <w:rPr>
          <w:rFonts w:eastAsia="inter" w:cs="inter" w:ascii="inter" w:hAnsi="inter"/>
          <w:color w:val="000000"/>
          <w:sz w:val="21"/>
        </w:rPr>
        <w:t xml:space="preserve">Object pronoun after preposition:</w:t>
      </w:r>
    </w:p>
    <w:p>
      <w:pPr>
        <w:numPr>
          <w:ilvl w:val="1"/>
          <w:numId w:val="12"/>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The manager spoke to John and I.</w:t>
      </w:r>
    </w:p>
    <w:p>
      <w:pPr>
        <w:numPr>
          <w:ilvl w:val="1"/>
          <w:numId w:val="12"/>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The manager spoke to John and me.</w:t>
      </w:r>
    </w:p>
    <w:p>
      <w:pPr>
        <w:numPr>
          <w:ilvl w:val="0"/>
          <w:numId w:val="12"/>
        </w:numPr>
        <w:spacing w:line="360" w:before="105" w:after="105" w:lineRule="auto"/>
      </w:pPr>
      <w:r>
        <w:rPr>
          <w:rFonts w:eastAsia="inter" w:cs="inter" w:ascii="inter" w:hAnsi="inter"/>
          <w:color w:val="000000"/>
          <w:sz w:val="21"/>
        </w:rPr>
        <w:t xml:space="preserve">Subject pronoun in coordinated subject:</w:t>
      </w:r>
    </w:p>
    <w:p>
      <w:pPr>
        <w:numPr>
          <w:ilvl w:val="1"/>
          <w:numId w:val="12"/>
        </w:numPr>
        <w:spacing w:line="360" w:before="105" w:after="105" w:lineRule="auto"/>
      </w:pPr>
      <w:r>
        <w:rPr>
          <w:rFonts w:eastAsia="inter" w:cs="inter" w:ascii="inter" w:hAnsi="inter"/>
          <w:color w:val="000000"/>
          <w:sz w:val="21"/>
        </w:rPr>
        <w:t xml:space="preserve">INCORRECT: </w:t>
      </w:r>
      <w:r>
        <w:rPr>
          <w:rFonts w:eastAsia="inter" w:cs="inter" w:ascii="inter" w:hAnsi="inter"/>
          <w:i/>
          <w:color w:val="000000"/>
          <w:sz w:val="21"/>
        </w:rPr>
        <w:t xml:space="preserve">Me and my team will handle it.</w:t>
      </w:r>
    </w:p>
    <w:p>
      <w:pPr>
        <w:numPr>
          <w:ilvl w:val="1"/>
          <w:numId w:val="12"/>
        </w:numPr>
        <w:spacing w:line="360" w:before="105" w:after="105" w:lineRule="auto"/>
      </w:pPr>
      <w:r>
        <w:rPr>
          <w:rFonts w:eastAsia="inter" w:cs="inter" w:ascii="inter" w:hAnsi="inter"/>
          <w:color w:val="000000"/>
          <w:sz w:val="21"/>
        </w:rPr>
        <w:t xml:space="preserve">CORRECT: </w:t>
      </w:r>
      <w:r>
        <w:rPr>
          <w:rFonts w:eastAsia="inter" w:cs="inter" w:ascii="inter" w:hAnsi="inter"/>
          <w:i/>
          <w:color w:val="000000"/>
          <w:sz w:val="21"/>
        </w:rPr>
        <w:t xml:space="preserve">My team and I will handle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errors_to_flag_and_explain"/>
      <w:r>
        <w:rPr>
          <w:rFonts w:eastAsia="inter" w:cs="inter" w:ascii="inter" w:hAnsi="inter"/>
          <w:b/>
          <w:color w:val="000000"/>
          <w:sz w:val="24"/>
        </w:rPr>
        <w:t xml:space="preserve">Errors to flag and explain</w:t>
      </w:r>
      <w:bookmarkEnd w:id="34"/>
    </w:p>
    <w:p>
      <w:pPr>
        <w:spacing w:line="360" w:after="210" w:lineRule="auto"/>
      </w:pPr>
      <w:r>
        <w:rPr>
          <w:rFonts w:eastAsia="inter" w:cs="inter" w:ascii="inter" w:hAnsi="inter"/>
          <w:color w:val="000000"/>
        </w:rPr>
        <w:t xml:space="preserve">These are common, often L1-driven, but context-dependent; the checker should highlight them and provide short explanations, not just corrections.</w:t>
      </w:r>
    </w:p>
    <w:p>
      <w:pPr>
        <w:spacing w:line="360" w:before="315" w:after="105" w:lineRule="auto"/>
        <w:ind w:left="-30"/>
        <w:jc w:val="left"/>
      </w:pPr>
      <w:bookmarkStart w:id="35" w:name="bm_1_article_choice_a_an_the_zero"/>
      <w:r>
        <w:rPr>
          <w:rFonts w:eastAsia="inter" w:cs="inter" w:ascii="inter" w:hAnsi="inter"/>
          <w:b/>
          <w:color w:val="000000"/>
          <w:sz w:val="24"/>
        </w:rPr>
        <w:t xml:space="preserve">1. Article choice (a/an, the, zero)</w:t>
      </w:r>
      <w:bookmarkEnd w:id="35"/>
    </w:p>
    <w:p>
      <w:pPr>
        <w:spacing w:line="360" w:after="210" w:lineRule="auto"/>
      </w:pPr>
      <w:r>
        <w:rPr>
          <w:rFonts w:eastAsia="inter" w:cs="inter" w:ascii="inter" w:hAnsi="inter"/>
          <w:color w:val="000000"/>
        </w:rPr>
        <w:t xml:space="preserve">Hong Kong Cantonese learners struggle with mapping articles to definiteness and countability, often overusing or omitting them.</w:t>
      </w:r>
      <w:bookmarkStart w:id="36" w:name="fnref3_2"/>
      <w:bookmarkEnd w:id="36"/>
      <w:hyperlink w:anchor="fn3">
        <w:r>
          <w:rPr>
            <w:rFonts w:eastAsia="inter" w:cs="inter" w:ascii="inter" w:hAnsi="inter"/>
            <w:color w:val="#000"/>
            <w:u w:val="single"/>
            <w:vertAlign w:val="superscript"/>
          </w:rPr>
          <w:t xml:space="preserve">[3]</w:t>
        </w:r>
      </w:hyperlink>
      <w:bookmarkStart w:id="37" w:name="fnref1_4"/>
      <w:bookmarkEnd w:id="37"/>
      <w:hyperlink w:anchor="fn1">
        <w:r>
          <w:rPr>
            <w:rFonts w:eastAsia="inter" w:cs="inter" w:ascii="inter" w:hAnsi="inter"/>
            <w:color w:val="#000"/>
            <w:u w:val="single"/>
            <w:vertAlign w:val="superscript"/>
          </w:rPr>
          <w:t xml:space="preserve">[1]</w:t>
        </w:r>
      </w:hyperlink>
    </w:p>
    <w:p>
      <w:pPr>
        <w:numPr>
          <w:ilvl w:val="0"/>
          <w:numId w:val="13"/>
        </w:numPr>
        <w:spacing w:line="360" w:before="105" w:after="105" w:lineRule="auto"/>
      </w:pPr>
      <w:r>
        <w:rPr>
          <w:rFonts w:eastAsia="inter" w:cs="inter" w:ascii="inter" w:hAnsi="inter"/>
          <w:color w:val="000000"/>
          <w:sz w:val="21"/>
        </w:rPr>
        <w:t xml:space="preserve">Overuse of “the” with general reference:</w:t>
      </w:r>
    </w:p>
    <w:p>
      <w:pPr>
        <w:numPr>
          <w:ilvl w:val="1"/>
          <w:numId w:val="13"/>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The teamwork is important in the workplace.</w:t>
      </w:r>
    </w:p>
    <w:p>
      <w:pPr>
        <w:numPr>
          <w:ilvl w:val="1"/>
          <w:numId w:val="13"/>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Teamwork is important in the workplace.</w:t>
      </w:r>
    </w:p>
    <w:p>
      <w:pPr>
        <w:numPr>
          <w:ilvl w:val="0"/>
          <w:numId w:val="13"/>
        </w:numPr>
        <w:spacing w:line="360" w:before="105" w:after="105" w:lineRule="auto"/>
      </w:pPr>
      <w:r>
        <w:rPr>
          <w:rFonts w:eastAsia="inter" w:cs="inter" w:ascii="inter" w:hAnsi="inter"/>
          <w:color w:val="000000"/>
          <w:sz w:val="21"/>
        </w:rPr>
        <w:t xml:space="preserve">Missing article with first mention of a singular count noun:</w:t>
      </w:r>
    </w:p>
    <w:p>
      <w:pPr>
        <w:numPr>
          <w:ilvl w:val="1"/>
          <w:numId w:val="13"/>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We hired new designer last week.</w:t>
      </w:r>
    </w:p>
    <w:p>
      <w:pPr>
        <w:numPr>
          <w:ilvl w:val="1"/>
          <w:numId w:val="13"/>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We hired a new designer last week.</w:t>
      </w:r>
    </w:p>
    <w:p>
      <w:pPr>
        <w:spacing w:line="360" w:before="315" w:after="105" w:lineRule="auto"/>
        <w:ind w:left="-30"/>
        <w:jc w:val="left"/>
      </w:pPr>
      <w:bookmarkStart w:id="38" w:name="bm_2_count_vs_mass_when_both_are_168ce0"/>
      <w:r>
        <w:rPr>
          <w:rFonts w:eastAsia="inter" w:cs="inter" w:ascii="inter" w:hAnsi="inter"/>
          <w:b/>
          <w:color w:val="000000"/>
          <w:sz w:val="24"/>
        </w:rPr>
        <w:t xml:space="preserve">2. Count vs mass when both are possible</w:t>
      </w:r>
      <w:bookmarkEnd w:id="38"/>
    </w:p>
    <w:p>
      <w:pPr>
        <w:spacing w:line="360" w:after="210" w:lineRule="auto"/>
      </w:pPr>
      <w:r>
        <w:rPr>
          <w:rFonts w:eastAsia="inter" w:cs="inter" w:ascii="inter" w:hAnsi="inter"/>
          <w:color w:val="000000"/>
        </w:rPr>
        <w:t xml:space="preserve">Learners often confuse pairs like </w:t>
      </w:r>
      <w:r>
        <w:rPr>
          <w:rFonts w:eastAsia="inter" w:cs="inter" w:ascii="inter" w:hAnsi="inter"/>
          <w:i/>
          <w:color w:val="000000"/>
        </w:rPr>
        <w:t xml:space="preserve">paper/a paper</w:t>
      </w:r>
      <w:r>
        <w:rPr>
          <w:rFonts w:eastAsia="inter" w:cs="inter" w:ascii="inter" w:hAnsi="inter"/>
          <w:color w:val="000000"/>
        </w:rPr>
        <w:t xml:space="preserve">, </w:t>
      </w:r>
      <w:r>
        <w:rPr>
          <w:rFonts w:eastAsia="inter" w:cs="inter" w:ascii="inter" w:hAnsi="inter"/>
          <w:i/>
          <w:color w:val="000000"/>
        </w:rPr>
        <w:t xml:space="preserve">chicken/a chicken</w:t>
      </w:r>
      <w:r>
        <w:rPr>
          <w:rFonts w:eastAsia="inter" w:cs="inter" w:ascii="inter" w:hAnsi="inter"/>
          <w:color w:val="000000"/>
        </w:rPr>
        <w:t xml:space="preserve">, </w:t>
      </w:r>
      <w:r>
        <w:rPr>
          <w:rFonts w:eastAsia="inter" w:cs="inter" w:ascii="inter" w:hAnsi="inter"/>
          <w:i/>
          <w:color w:val="000000"/>
        </w:rPr>
        <w:t xml:space="preserve">experience/experiences</w:t>
      </w:r>
      <w:r>
        <w:rPr>
          <w:rFonts w:eastAsia="inter" w:cs="inter" w:ascii="inter" w:hAnsi="inter"/>
          <w:color w:val="000000"/>
        </w:rPr>
        <w:t xml:space="preserve">.</w:t>
      </w:r>
      <w:bookmarkStart w:id="39" w:name="fnref6_3"/>
      <w:bookmarkEnd w:id="39"/>
      <w:hyperlink w:anchor="fn6">
        <w:r>
          <w:rPr>
            <w:rFonts w:eastAsia="inter" w:cs="inter" w:ascii="inter" w:hAnsi="inter"/>
            <w:color w:val="#000"/>
            <w:u w:val="single"/>
            <w:vertAlign w:val="superscript"/>
          </w:rPr>
          <w:t xml:space="preserve">[6]</w:t>
        </w:r>
      </w:hyperlink>
      <w:bookmarkStart w:id="40" w:name="fnref1_5"/>
      <w:bookmarkEnd w:id="40"/>
      <w:hyperlink w:anchor="fn1">
        <w:r>
          <w:rPr>
            <w:rFonts w:eastAsia="inter" w:cs="inter" w:ascii="inter" w:hAnsi="inter"/>
            <w:color w:val="#000"/>
            <w:u w:val="single"/>
            <w:vertAlign w:val="superscript"/>
          </w:rPr>
          <w:t xml:space="preserve">[1]</w:t>
        </w:r>
      </w:hyperlink>
    </w:p>
    <w:p>
      <w:pPr>
        <w:numPr>
          <w:ilvl w:val="0"/>
          <w:numId w:val="14"/>
        </w:numPr>
        <w:spacing w:line="360" w:before="105" w:after="105" w:lineRule="auto"/>
      </w:pPr>
      <w:r>
        <w:rPr>
          <w:rFonts w:eastAsia="inter" w:cs="inter" w:ascii="inter" w:hAnsi="inter"/>
          <w:color w:val="000000"/>
          <w:sz w:val="21"/>
        </w:rPr>
        <w:t xml:space="preserve">Using mass where count is intended:</w:t>
      </w:r>
    </w:p>
    <w:p>
      <w:pPr>
        <w:numPr>
          <w:ilvl w:val="1"/>
          <w:numId w:val="14"/>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I had many experience with client complaints.</w:t>
      </w:r>
    </w:p>
    <w:p>
      <w:pPr>
        <w:numPr>
          <w:ilvl w:val="1"/>
          <w:numId w:val="14"/>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I had a lot of experience with client complaints.</w:t>
      </w:r>
    </w:p>
    <w:p>
      <w:pPr>
        <w:numPr>
          <w:ilvl w:val="0"/>
          <w:numId w:val="14"/>
        </w:numPr>
        <w:spacing w:line="360" w:before="105" w:after="105" w:lineRule="auto"/>
      </w:pPr>
      <w:r>
        <w:rPr>
          <w:rFonts w:eastAsia="inter" w:cs="inter" w:ascii="inter" w:hAnsi="inter"/>
          <w:color w:val="000000"/>
          <w:sz w:val="21"/>
        </w:rPr>
        <w:t xml:space="preserve">Using count where mass is intended:</w:t>
      </w:r>
    </w:p>
    <w:p>
      <w:pPr>
        <w:numPr>
          <w:ilvl w:val="1"/>
          <w:numId w:val="14"/>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We ordered three chickens for lunch</w:t>
      </w:r>
      <w:r>
        <w:rPr>
          <w:rFonts w:eastAsia="inter" w:cs="inter" w:ascii="inter" w:hAnsi="inter"/>
          <w:color w:val="000000"/>
          <w:sz w:val="21"/>
        </w:rPr>
        <w:t xml:space="preserve"> (meaning three portions, not three whole animals).</w:t>
      </w:r>
    </w:p>
    <w:p>
      <w:pPr>
        <w:numPr>
          <w:ilvl w:val="1"/>
          <w:numId w:val="14"/>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We ordered some chicken for lunch.</w:t>
      </w:r>
    </w:p>
    <w:p>
      <w:pPr>
        <w:spacing w:line="360" w:before="315" w:after="105" w:lineRule="auto"/>
        <w:ind w:left="-30"/>
        <w:jc w:val="left"/>
      </w:pPr>
      <w:bookmarkStart w:id="41" w:name="bm_3_aspect_already_perfect_vs_past"/>
      <w:r>
        <w:rPr>
          <w:rFonts w:eastAsia="inter" w:cs="inter" w:ascii="inter" w:hAnsi="inter"/>
          <w:b/>
          <w:color w:val="000000"/>
          <w:sz w:val="24"/>
        </w:rPr>
        <w:t xml:space="preserve">3. Aspect: “already”, perfect vs past</w:t>
      </w:r>
      <w:bookmarkEnd w:id="41"/>
    </w:p>
    <w:p>
      <w:pPr>
        <w:spacing w:line="360" w:after="210" w:lineRule="auto"/>
      </w:pPr>
      <w:r>
        <w:rPr>
          <w:rFonts w:eastAsia="inter" w:cs="inter" w:ascii="inter" w:hAnsi="inter"/>
          <w:color w:val="000000"/>
        </w:rPr>
        <w:t xml:space="preserve">Because Cantonese expresses completion via particles rather than tense morphology, learners may overuse simple past or combine “already” with non-target-like forms.</w:t>
      </w:r>
      <w:bookmarkStart w:id="42" w:name="fnref4_4"/>
      <w:bookmarkEnd w:id="42"/>
      <w:hyperlink w:anchor="fn4">
        <w:r>
          <w:rPr>
            <w:rFonts w:eastAsia="inter" w:cs="inter" w:ascii="inter" w:hAnsi="inter"/>
            <w:color w:val="#000"/>
            <w:u w:val="single"/>
            <w:vertAlign w:val="superscript"/>
          </w:rPr>
          <w:t xml:space="preserve">[4]</w:t>
        </w:r>
      </w:hyperlink>
    </w:p>
    <w:p>
      <w:pPr>
        <w:numPr>
          <w:ilvl w:val="0"/>
          <w:numId w:val="15"/>
        </w:numPr>
        <w:spacing w:line="360" w:before="105" w:after="105" w:lineRule="auto"/>
      </w:pPr>
      <w:r>
        <w:rPr>
          <w:rFonts w:eastAsia="inter" w:cs="inter" w:ascii="inter" w:hAnsi="inter"/>
          <w:color w:val="000000"/>
          <w:sz w:val="21"/>
        </w:rPr>
        <w:t xml:space="preserve">Simple present with “already”:</w:t>
      </w:r>
    </w:p>
    <w:p>
      <w:pPr>
        <w:numPr>
          <w:ilvl w:val="1"/>
          <w:numId w:val="15"/>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I already submit the form.</w:t>
      </w:r>
    </w:p>
    <w:p>
      <w:pPr>
        <w:numPr>
          <w:ilvl w:val="1"/>
          <w:numId w:val="15"/>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I have already submitted the form.</w:t>
      </w:r>
    </w:p>
    <w:p>
      <w:pPr>
        <w:numPr>
          <w:ilvl w:val="0"/>
          <w:numId w:val="15"/>
        </w:numPr>
        <w:spacing w:line="360" w:before="105" w:after="105" w:lineRule="auto"/>
      </w:pPr>
      <w:r>
        <w:rPr>
          <w:rFonts w:eastAsia="inter" w:cs="inter" w:ascii="inter" w:hAnsi="inter"/>
          <w:color w:val="000000"/>
          <w:sz w:val="21"/>
        </w:rPr>
        <w:t xml:space="preserve">Overuse of simple past where experience is meant:</w:t>
      </w:r>
    </w:p>
    <w:p>
      <w:pPr>
        <w:numPr>
          <w:ilvl w:val="1"/>
          <w:numId w:val="15"/>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I went to France three times.</w:t>
      </w:r>
    </w:p>
    <w:p>
      <w:pPr>
        <w:numPr>
          <w:ilvl w:val="1"/>
          <w:numId w:val="15"/>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I have been to France three times.</w:t>
      </w:r>
    </w:p>
    <w:p>
      <w:pPr>
        <w:spacing w:line="360" w:before="315" w:after="105" w:lineRule="auto"/>
        <w:ind w:left="-30"/>
        <w:jc w:val="left"/>
      </w:pPr>
      <w:bookmarkStart w:id="43" w:name="bm_4_gerunds_vs_infinitives_beyon_a5c3ba"/>
      <w:r>
        <w:rPr>
          <w:rFonts w:eastAsia="inter" w:cs="inter" w:ascii="inter" w:hAnsi="inter"/>
          <w:b/>
          <w:color w:val="000000"/>
          <w:sz w:val="24"/>
        </w:rPr>
        <w:t xml:space="preserve">4. Gerunds vs infinitives beyond core patterns</w:t>
      </w:r>
      <w:bookmarkEnd w:id="43"/>
    </w:p>
    <w:p>
      <w:pPr>
        <w:spacing w:line="360" w:after="210" w:lineRule="auto"/>
      </w:pPr>
      <w:r>
        <w:rPr>
          <w:rFonts w:eastAsia="inter" w:cs="inter" w:ascii="inter" w:hAnsi="inter"/>
          <w:color w:val="000000"/>
        </w:rPr>
        <w:t xml:space="preserve">Cantonese speakers are documented to overuse or misplace -ing forms.</w:t>
      </w:r>
      <w:bookmarkStart w:id="44" w:name="fnref9"/>
      <w:bookmarkEnd w:id="44"/>
      <w:hyperlink w:anchor="fn9">
        <w:r>
          <w:rPr>
            <w:rFonts w:eastAsia="inter" w:cs="inter" w:ascii="inter" w:hAnsi="inter"/>
            <w:color w:val="#000"/>
            <w:u w:val="single"/>
            <w:vertAlign w:val="superscript"/>
          </w:rPr>
          <w:t xml:space="preserve">[9]</w:t>
        </w:r>
      </w:hyperlink>
    </w:p>
    <w:p>
      <w:pPr>
        <w:numPr>
          <w:ilvl w:val="0"/>
          <w:numId w:val="16"/>
        </w:numPr>
        <w:spacing w:line="360" w:before="105" w:after="105" w:lineRule="auto"/>
      </w:pPr>
      <w:r>
        <w:rPr>
          <w:rFonts w:eastAsia="inter" w:cs="inter" w:ascii="inter" w:hAnsi="inter"/>
          <w:color w:val="000000"/>
          <w:sz w:val="21"/>
        </w:rPr>
        <w:t xml:space="preserve">Gerund vs infinitive with subject function:</w:t>
      </w:r>
    </w:p>
    <w:p>
      <w:pPr>
        <w:numPr>
          <w:ilvl w:val="1"/>
          <w:numId w:val="16"/>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To play tennis is fun.</w:t>
      </w:r>
      <w:r>
        <w:rPr>
          <w:rFonts w:eastAsia="inter" w:cs="inter" w:ascii="inter" w:hAnsi="inter"/>
          <w:color w:val="000000"/>
          <w:sz w:val="21"/>
        </w:rPr>
        <w:t xml:space="preserve"> (formal but marked)</w:t>
      </w:r>
    </w:p>
    <w:p>
      <w:pPr>
        <w:numPr>
          <w:ilvl w:val="1"/>
          <w:numId w:val="16"/>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Playing tennis is fun.</w:t>
      </w:r>
    </w:p>
    <w:p>
      <w:pPr>
        <w:numPr>
          <w:ilvl w:val="0"/>
          <w:numId w:val="16"/>
        </w:numPr>
        <w:spacing w:line="360" w:before="105" w:after="105" w:lineRule="auto"/>
      </w:pPr>
      <w:r>
        <w:rPr>
          <w:rFonts w:eastAsia="inter" w:cs="inter" w:ascii="inter" w:hAnsi="inter"/>
          <w:color w:val="000000"/>
          <w:sz w:val="21"/>
        </w:rPr>
        <w:t xml:space="preserve">Gerund after “can”:</w:t>
      </w:r>
    </w:p>
    <w:p>
      <w:pPr>
        <w:numPr>
          <w:ilvl w:val="1"/>
          <w:numId w:val="16"/>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Can you cooking tonight?</w:t>
      </w:r>
    </w:p>
    <w:p>
      <w:pPr>
        <w:numPr>
          <w:ilvl w:val="1"/>
          <w:numId w:val="16"/>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Can you cook tonight?</w:t>
      </w:r>
    </w:p>
    <w:p>
      <w:pPr>
        <w:spacing w:line="360" w:before="315" w:after="105" w:lineRule="auto"/>
        <w:ind w:left="-30"/>
        <w:jc w:val="left"/>
      </w:pPr>
      <w:bookmarkStart w:id="45" w:name="bm_5_verb_preposition_and_verb_ob_85aa4f"/>
      <w:r>
        <w:rPr>
          <w:rFonts w:eastAsia="inter" w:cs="inter" w:ascii="inter" w:hAnsi="inter"/>
          <w:b/>
          <w:color w:val="000000"/>
          <w:sz w:val="24"/>
        </w:rPr>
        <w:t xml:space="preserve">5. Verb–preposition and verb–object collocations</w:t>
      </w:r>
      <w:bookmarkEnd w:id="45"/>
    </w:p>
    <w:p>
      <w:pPr>
        <w:spacing w:line="360" w:after="210" w:lineRule="auto"/>
      </w:pPr>
      <w:r>
        <w:rPr>
          <w:rFonts w:eastAsia="inter" w:cs="inter" w:ascii="inter" w:hAnsi="inter"/>
          <w:color w:val="000000"/>
        </w:rPr>
        <w:t xml:space="preserve">Many advanced learners fossilize semi-fixed but non-standard collocations like “discuss about” or “emphasize on”.</w:t>
      </w:r>
      <w:bookmarkStart w:id="46" w:name="fnref8_1"/>
      <w:bookmarkEnd w:id="46"/>
      <w:hyperlink w:anchor="fn8">
        <w:r>
          <w:rPr>
            <w:rFonts w:eastAsia="inter" w:cs="inter" w:ascii="inter" w:hAnsi="inter"/>
            <w:color w:val="#000"/>
            <w:u w:val="single"/>
            <w:vertAlign w:val="superscript"/>
          </w:rPr>
          <w:t xml:space="preserve">[8]</w:t>
        </w:r>
      </w:hyperlink>
      <w:bookmarkStart w:id="47" w:name="fnref4_5"/>
      <w:bookmarkEnd w:id="47"/>
      <w:hyperlink w:anchor="fn4">
        <w:r>
          <w:rPr>
            <w:rFonts w:eastAsia="inter" w:cs="inter" w:ascii="inter" w:hAnsi="inter"/>
            <w:color w:val="#000"/>
            <w:u w:val="single"/>
            <w:vertAlign w:val="superscript"/>
          </w:rPr>
          <w:t xml:space="preserve">[4]</w:t>
        </w:r>
      </w:hyperlink>
    </w:p>
    <w:p>
      <w:pPr>
        <w:numPr>
          <w:ilvl w:val="0"/>
          <w:numId w:val="17"/>
        </w:numPr>
        <w:spacing w:line="360" w:before="105" w:after="105" w:lineRule="auto"/>
      </w:pPr>
      <w:r>
        <w:rPr>
          <w:rFonts w:eastAsia="inter" w:cs="inter" w:ascii="inter" w:hAnsi="inter"/>
          <w:color w:val="000000"/>
          <w:sz w:val="21"/>
        </w:rPr>
        <w:t xml:space="preserve">Overused preposition after “discuss”:</w:t>
      </w:r>
    </w:p>
    <w:p>
      <w:pPr>
        <w:numPr>
          <w:ilvl w:val="1"/>
          <w:numId w:val="17"/>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We will discuss about the budget tomorrow.</w:t>
      </w:r>
    </w:p>
    <w:p>
      <w:pPr>
        <w:numPr>
          <w:ilvl w:val="1"/>
          <w:numId w:val="17"/>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We will discuss the budget tomorrow.</w:t>
      </w:r>
    </w:p>
    <w:p>
      <w:pPr>
        <w:numPr>
          <w:ilvl w:val="0"/>
          <w:numId w:val="17"/>
        </w:numPr>
        <w:spacing w:line="360" w:before="105" w:after="105" w:lineRule="auto"/>
      </w:pPr>
      <w:r>
        <w:rPr>
          <w:rFonts w:eastAsia="inter" w:cs="inter" w:ascii="inter" w:hAnsi="inter"/>
          <w:color w:val="000000"/>
          <w:sz w:val="21"/>
        </w:rPr>
        <w:t xml:space="preserve">Wrong preposition with “provide”:</w:t>
      </w:r>
    </w:p>
    <w:p>
      <w:pPr>
        <w:numPr>
          <w:ilvl w:val="1"/>
          <w:numId w:val="17"/>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They provided to us all the data.</w:t>
      </w:r>
    </w:p>
    <w:p>
      <w:pPr>
        <w:numPr>
          <w:ilvl w:val="1"/>
          <w:numId w:val="17"/>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They provided us with all the data.</w:t>
      </w:r>
    </w:p>
    <w:p>
      <w:pPr>
        <w:spacing w:line="360" w:before="315" w:after="105" w:lineRule="auto"/>
        <w:ind w:left="-30"/>
        <w:jc w:val="left"/>
      </w:pPr>
      <w:bookmarkStart w:id="48" w:name="bm_6_relative_clauses_and_which_t_dc03d1"/>
      <w:r>
        <w:rPr>
          <w:rFonts w:eastAsia="inter" w:cs="inter" w:ascii="inter" w:hAnsi="inter"/>
          <w:b/>
          <w:color w:val="000000"/>
          <w:sz w:val="24"/>
        </w:rPr>
        <w:t xml:space="preserve">6. Relative clauses and “which/that/who/where”</w:t>
      </w:r>
      <w:bookmarkEnd w:id="48"/>
    </w:p>
    <w:p>
      <w:pPr>
        <w:spacing w:line="360" w:after="210" w:lineRule="auto"/>
      </w:pPr>
      <w:r>
        <w:rPr>
          <w:rFonts w:eastAsia="inter" w:cs="inter" w:ascii="inter" w:hAnsi="inter"/>
          <w:color w:val="000000"/>
        </w:rPr>
        <w:t xml:space="preserve">Cantonese relative clause structure is very different, which encourages dropping relative pronouns or misusing “where/which”.</w:t>
      </w:r>
      <w:bookmarkStart w:id="49" w:name="fnref4_6"/>
      <w:bookmarkEnd w:id="49"/>
      <w:hyperlink w:anchor="fn4">
        <w:r>
          <w:rPr>
            <w:rFonts w:eastAsia="inter" w:cs="inter" w:ascii="inter" w:hAnsi="inter"/>
            <w:color w:val="#000"/>
            <w:u w:val="single"/>
            <w:vertAlign w:val="superscript"/>
          </w:rPr>
          <w:t xml:space="preserve">[4]</w:t>
        </w:r>
      </w:hyperlink>
    </w:p>
    <w:p>
      <w:pPr>
        <w:numPr>
          <w:ilvl w:val="0"/>
          <w:numId w:val="18"/>
        </w:numPr>
        <w:spacing w:line="360" w:before="105" w:after="105" w:lineRule="auto"/>
      </w:pPr>
      <w:r>
        <w:rPr>
          <w:rFonts w:eastAsia="inter" w:cs="inter" w:ascii="inter" w:hAnsi="inter"/>
          <w:color w:val="000000"/>
          <w:sz w:val="21"/>
        </w:rPr>
        <w:t xml:space="preserve">Dropped relative pronoun:</w:t>
      </w:r>
    </w:p>
    <w:p>
      <w:pPr>
        <w:numPr>
          <w:ilvl w:val="1"/>
          <w:numId w:val="18"/>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The report I sent yesterday is updated.</w:t>
      </w:r>
    </w:p>
    <w:p>
      <w:pPr>
        <w:numPr>
          <w:ilvl w:val="1"/>
          <w:numId w:val="18"/>
        </w:numPr>
        <w:spacing w:line="360" w:before="105" w:after="105" w:lineRule="auto"/>
      </w:pPr>
      <w:r>
        <w:rPr>
          <w:rFonts w:eastAsia="inter" w:cs="inter" w:ascii="inter" w:hAnsi="inter"/>
          <w:color w:val="000000"/>
          <w:sz w:val="21"/>
        </w:rPr>
        <w:t xml:space="preserve">MORE STANDARD: </w:t>
      </w:r>
      <w:r>
        <w:rPr>
          <w:rFonts w:eastAsia="inter" w:cs="inter" w:ascii="inter" w:hAnsi="inter"/>
          <w:i/>
          <w:color w:val="000000"/>
          <w:sz w:val="21"/>
        </w:rPr>
        <w:t xml:space="preserve">The report that I sent yesterday is updated.</w:t>
      </w:r>
    </w:p>
    <w:p>
      <w:pPr>
        <w:numPr>
          <w:ilvl w:val="0"/>
          <w:numId w:val="18"/>
        </w:numPr>
        <w:spacing w:line="360" w:before="105" w:after="105" w:lineRule="auto"/>
      </w:pPr>
      <w:r>
        <w:rPr>
          <w:rFonts w:eastAsia="inter" w:cs="inter" w:ascii="inter" w:hAnsi="inter"/>
          <w:color w:val="000000"/>
          <w:sz w:val="21"/>
        </w:rPr>
        <w:t xml:space="preserve">Misuse of “where” for “which”:</w:t>
      </w:r>
    </w:p>
    <w:p>
      <w:pPr>
        <w:numPr>
          <w:ilvl w:val="1"/>
          <w:numId w:val="18"/>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We had a meeting where we discussed the budget.</w:t>
      </w:r>
      <w:r>
        <w:rPr>
          <w:rFonts w:eastAsia="inter" w:cs="inter" w:ascii="inter" w:hAnsi="inter"/>
          <w:color w:val="000000"/>
          <w:sz w:val="21"/>
        </w:rPr>
        <w:t xml:space="preserve"> (OK in many contexts, but ambiguous in writing)</w:t>
      </w:r>
    </w:p>
    <w:p>
      <w:pPr>
        <w:numPr>
          <w:ilvl w:val="1"/>
          <w:numId w:val="18"/>
        </w:numPr>
        <w:spacing w:line="360" w:before="105" w:after="105" w:lineRule="auto"/>
      </w:pPr>
      <w:r>
        <w:rPr>
          <w:rFonts w:eastAsia="inter" w:cs="inter" w:ascii="inter" w:hAnsi="inter"/>
          <w:color w:val="000000"/>
          <w:sz w:val="21"/>
        </w:rPr>
        <w:t xml:space="preserve">MORE PRECISE: </w:t>
      </w:r>
      <w:r>
        <w:rPr>
          <w:rFonts w:eastAsia="inter" w:cs="inter" w:ascii="inter" w:hAnsi="inter"/>
          <w:i/>
          <w:color w:val="000000"/>
          <w:sz w:val="21"/>
        </w:rPr>
        <w:t xml:space="preserve">We had a meeting in which we discussed the budget.</w:t>
      </w:r>
    </w:p>
    <w:p>
      <w:pPr>
        <w:spacing w:line="360" w:before="315" w:after="105" w:lineRule="auto"/>
        <w:ind w:left="-30"/>
        <w:jc w:val="left"/>
      </w:pPr>
      <w:bookmarkStart w:id="50" w:name="bm_7_word_order_influenced_by_can_efd4b5"/>
      <w:r>
        <w:rPr>
          <w:rFonts w:eastAsia="inter" w:cs="inter" w:ascii="inter" w:hAnsi="inter"/>
          <w:b/>
          <w:color w:val="000000"/>
          <w:sz w:val="24"/>
        </w:rPr>
        <w:t xml:space="preserve">7. Word order influenced by Cantonese topic/time patterns</w:t>
      </w:r>
      <w:bookmarkEnd w:id="50"/>
    </w:p>
    <w:p>
      <w:pPr>
        <w:spacing w:line="360" w:after="210" w:lineRule="auto"/>
      </w:pPr>
      <w:r>
        <w:rPr>
          <w:rFonts w:eastAsia="inter" w:cs="inter" w:ascii="inter" w:hAnsi="inter"/>
          <w:color w:val="000000"/>
        </w:rPr>
        <w:t xml:space="preserve">Cantonese often places time and topic elements early, which can lead to unusual but understandable English word order.</w:t>
      </w:r>
      <w:bookmarkStart w:id="51" w:name="fnref7_1"/>
      <w:bookmarkEnd w:id="51"/>
      <w:hyperlink w:anchor="fn7">
        <w:r>
          <w:rPr>
            <w:rFonts w:eastAsia="inter" w:cs="inter" w:ascii="inter" w:hAnsi="inter"/>
            <w:color w:val="#000"/>
            <w:u w:val="single"/>
            <w:vertAlign w:val="superscript"/>
          </w:rPr>
          <w:t xml:space="preserve">[7]</w:t>
        </w:r>
      </w:hyperlink>
    </w:p>
    <w:p>
      <w:pPr>
        <w:numPr>
          <w:ilvl w:val="0"/>
          <w:numId w:val="19"/>
        </w:numPr>
        <w:spacing w:line="360" w:before="105" w:after="105" w:lineRule="auto"/>
      </w:pPr>
      <w:r>
        <w:rPr>
          <w:rFonts w:eastAsia="inter" w:cs="inter" w:ascii="inter" w:hAnsi="inter"/>
          <w:color w:val="000000"/>
          <w:sz w:val="21"/>
        </w:rPr>
        <w:t xml:space="preserve">Over-fronted time phrase:</w:t>
      </w:r>
    </w:p>
    <w:p>
      <w:pPr>
        <w:numPr>
          <w:ilvl w:val="1"/>
          <w:numId w:val="19"/>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This morning in the office we all discussed the problem.</w:t>
      </w:r>
    </w:p>
    <w:p>
      <w:pPr>
        <w:numPr>
          <w:ilvl w:val="1"/>
          <w:numId w:val="19"/>
        </w:numPr>
        <w:spacing w:line="360" w:before="105" w:after="105" w:lineRule="auto"/>
      </w:pPr>
      <w:r>
        <w:rPr>
          <w:rFonts w:eastAsia="inter" w:cs="inter" w:ascii="inter" w:hAnsi="inter"/>
          <w:color w:val="000000"/>
          <w:sz w:val="21"/>
        </w:rPr>
        <w:t xml:space="preserve">MORE NEUTRAL: </w:t>
      </w:r>
      <w:r>
        <w:rPr>
          <w:rFonts w:eastAsia="inter" w:cs="inter" w:ascii="inter" w:hAnsi="inter"/>
          <w:i/>
          <w:color w:val="000000"/>
          <w:sz w:val="21"/>
        </w:rPr>
        <w:t xml:space="preserve">We all discussed the problem in the office this morning.</w:t>
      </w:r>
    </w:p>
    <w:p>
      <w:pPr>
        <w:numPr>
          <w:ilvl w:val="0"/>
          <w:numId w:val="19"/>
        </w:numPr>
        <w:spacing w:line="360" w:before="105" w:after="105" w:lineRule="auto"/>
      </w:pPr>
      <w:r>
        <w:rPr>
          <w:rFonts w:eastAsia="inter" w:cs="inter" w:ascii="inter" w:hAnsi="inter"/>
          <w:color w:val="000000"/>
          <w:sz w:val="21"/>
        </w:rPr>
        <w:t xml:space="preserve">Topic-fronting:</w:t>
      </w:r>
    </w:p>
    <w:p>
      <w:pPr>
        <w:numPr>
          <w:ilvl w:val="1"/>
          <w:numId w:val="19"/>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This proposal, I think we need to revise.</w:t>
      </w:r>
    </w:p>
    <w:p>
      <w:pPr>
        <w:numPr>
          <w:ilvl w:val="1"/>
          <w:numId w:val="19"/>
        </w:numPr>
        <w:spacing w:line="360" w:before="105" w:after="105" w:lineRule="auto"/>
      </w:pPr>
      <w:r>
        <w:rPr>
          <w:rFonts w:eastAsia="inter" w:cs="inter" w:ascii="inter" w:hAnsi="inter"/>
          <w:color w:val="000000"/>
          <w:sz w:val="21"/>
        </w:rPr>
        <w:t xml:space="preserve">MORE NEUTRAL: </w:t>
      </w:r>
      <w:r>
        <w:rPr>
          <w:rFonts w:eastAsia="inter" w:cs="inter" w:ascii="inter" w:hAnsi="inter"/>
          <w:i/>
          <w:color w:val="000000"/>
          <w:sz w:val="21"/>
        </w:rPr>
        <w:t xml:space="preserve">I think we need to revise this proposal.</w:t>
      </w:r>
    </w:p>
    <w:p>
      <w:pPr>
        <w:spacing w:line="360" w:before="315" w:after="105" w:lineRule="auto"/>
        <w:ind w:left="-30"/>
        <w:jc w:val="left"/>
      </w:pPr>
      <w:bookmarkStart w:id="52" w:name="bm_8_formal_vs_casual_register_an_5a3da1"/>
      <w:r>
        <w:rPr>
          <w:rFonts w:eastAsia="inter" w:cs="inter" w:ascii="inter" w:hAnsi="inter"/>
          <w:b/>
          <w:color w:val="000000"/>
          <w:sz w:val="24"/>
        </w:rPr>
        <w:t xml:space="preserve">8. Formal vs casual register and direct translations</w:t>
      </w:r>
      <w:bookmarkEnd w:id="52"/>
    </w:p>
    <w:p>
      <w:pPr>
        <w:spacing w:line="360" w:after="210" w:lineRule="auto"/>
      </w:pPr>
      <w:r>
        <w:rPr>
          <w:rFonts w:eastAsia="inter" w:cs="inter" w:ascii="inter" w:hAnsi="inter"/>
          <w:color w:val="000000"/>
        </w:rPr>
        <w:t xml:space="preserve">Cantonese tends to be more direct; literal translations may sound blunt or overly casual in professional English.</w:t>
      </w:r>
      <w:bookmarkStart w:id="53" w:name="fnref1_6"/>
      <w:bookmarkEnd w:id="53"/>
      <w:hyperlink w:anchor="fn1">
        <w:r>
          <w:rPr>
            <w:rFonts w:eastAsia="inter" w:cs="inter" w:ascii="inter" w:hAnsi="inter"/>
            <w:color w:val="#000"/>
            <w:u w:val="single"/>
            <w:vertAlign w:val="superscript"/>
          </w:rPr>
          <w:t xml:space="preserve">[1]</w:t>
        </w:r>
      </w:hyperlink>
    </w:p>
    <w:p>
      <w:pPr>
        <w:numPr>
          <w:ilvl w:val="0"/>
          <w:numId w:val="20"/>
        </w:numPr>
        <w:spacing w:line="360" w:before="105" w:after="105" w:lineRule="auto"/>
      </w:pPr>
      <w:r>
        <w:rPr>
          <w:rFonts w:eastAsia="inter" w:cs="inter" w:ascii="inter" w:hAnsi="inter"/>
          <w:color w:val="000000"/>
          <w:sz w:val="21"/>
        </w:rPr>
        <w:t xml:space="preserve">Over-direct request in email:</w:t>
      </w:r>
    </w:p>
    <w:p>
      <w:pPr>
        <w:numPr>
          <w:ilvl w:val="1"/>
          <w:numId w:val="20"/>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Send me the file now.</w:t>
      </w:r>
    </w:p>
    <w:p>
      <w:pPr>
        <w:numPr>
          <w:ilvl w:val="1"/>
          <w:numId w:val="20"/>
        </w:numPr>
        <w:spacing w:line="360" w:before="105" w:after="105" w:lineRule="auto"/>
      </w:pPr>
      <w:r>
        <w:rPr>
          <w:rFonts w:eastAsia="inter" w:cs="inter" w:ascii="inter" w:hAnsi="inter"/>
          <w:color w:val="000000"/>
          <w:sz w:val="21"/>
        </w:rPr>
        <w:t xml:space="preserve">MORE POLITE: </w:t>
      </w:r>
      <w:r>
        <w:rPr>
          <w:rFonts w:eastAsia="inter" w:cs="inter" w:ascii="inter" w:hAnsi="inter"/>
          <w:i/>
          <w:color w:val="000000"/>
          <w:sz w:val="21"/>
        </w:rPr>
        <w:t xml:space="preserve">Could you send me the file now?</w:t>
      </w:r>
    </w:p>
    <w:p>
      <w:pPr>
        <w:numPr>
          <w:ilvl w:val="0"/>
          <w:numId w:val="20"/>
        </w:numPr>
        <w:spacing w:line="360" w:before="105" w:after="105" w:lineRule="auto"/>
      </w:pPr>
      <w:r>
        <w:rPr>
          <w:rFonts w:eastAsia="inter" w:cs="inter" w:ascii="inter" w:hAnsi="inter"/>
          <w:color w:val="000000"/>
          <w:sz w:val="21"/>
        </w:rPr>
        <w:t xml:space="preserve">Literal encouragement:</w:t>
      </w:r>
    </w:p>
    <w:p>
      <w:pPr>
        <w:numPr>
          <w:ilvl w:val="1"/>
          <w:numId w:val="20"/>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Add oil in your exam!</w:t>
      </w:r>
    </w:p>
    <w:p>
      <w:pPr>
        <w:numPr>
          <w:ilvl w:val="1"/>
          <w:numId w:val="20"/>
        </w:numPr>
        <w:spacing w:line="360" w:before="105" w:after="105" w:lineRule="auto"/>
      </w:pPr>
      <w:r>
        <w:rPr>
          <w:rFonts w:eastAsia="inter" w:cs="inter" w:ascii="inter" w:hAnsi="inter"/>
          <w:color w:val="000000"/>
          <w:sz w:val="21"/>
        </w:rPr>
        <w:t xml:space="preserve">MORE NATURAL: </w:t>
      </w:r>
      <w:r>
        <w:rPr>
          <w:rFonts w:eastAsia="inter" w:cs="inter" w:ascii="inter" w:hAnsi="inter"/>
          <w:i/>
          <w:color w:val="000000"/>
          <w:sz w:val="21"/>
        </w:rPr>
        <w:t xml:space="preserve">Good luck with your exam!</w:t>
      </w:r>
    </w:p>
    <w:p>
      <w:pPr>
        <w:spacing w:line="360" w:before="315" w:after="105" w:lineRule="auto"/>
        <w:ind w:left="-30"/>
        <w:jc w:val="left"/>
      </w:pPr>
      <w:bookmarkStart w:id="54" w:name="bm_9_overuse_of_very_so_too"/>
      <w:r>
        <w:rPr>
          <w:rFonts w:eastAsia="inter" w:cs="inter" w:ascii="inter" w:hAnsi="inter"/>
          <w:b/>
          <w:color w:val="000000"/>
          <w:sz w:val="24"/>
        </w:rPr>
        <w:t xml:space="preserve">9. Overuse of “very”, “so”, “too”</w:t>
      </w:r>
      <w:bookmarkEnd w:id="54"/>
    </w:p>
    <w:p>
      <w:pPr>
        <w:numPr>
          <w:ilvl w:val="0"/>
          <w:numId w:val="21"/>
        </w:numPr>
        <w:spacing w:line="360" w:before="105" w:after="105" w:lineRule="auto"/>
      </w:pPr>
      <w:r>
        <w:rPr>
          <w:rFonts w:eastAsia="inter" w:cs="inter" w:ascii="inter" w:hAnsi="inter"/>
          <w:color w:val="000000"/>
          <w:sz w:val="21"/>
        </w:rPr>
        <w:t xml:space="preserve">“Too” used as a simple intensifier without negative implication:</w:t>
      </w:r>
    </w:p>
    <w:p>
      <w:pPr>
        <w:numPr>
          <w:ilvl w:val="1"/>
          <w:numId w:val="21"/>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The meeting was too long</w:t>
      </w:r>
      <w:r>
        <w:rPr>
          <w:rFonts w:eastAsia="inter" w:cs="inter" w:ascii="inter" w:hAnsi="inter"/>
          <w:color w:val="000000"/>
          <w:sz w:val="21"/>
        </w:rPr>
        <w:t xml:space="preserve"> (but speaker means “very long”, not “excessively long”).</w:t>
      </w:r>
    </w:p>
    <w:p>
      <w:pPr>
        <w:numPr>
          <w:ilvl w:val="1"/>
          <w:numId w:val="21"/>
        </w:numPr>
        <w:spacing w:line="360" w:before="105" w:after="105" w:lineRule="auto"/>
      </w:pPr>
      <w:r>
        <w:rPr>
          <w:rFonts w:eastAsia="inter" w:cs="inter" w:ascii="inter" w:hAnsi="inter"/>
          <w:color w:val="000000"/>
          <w:sz w:val="21"/>
        </w:rPr>
        <w:t xml:space="preserve">MORE PRECISE: </w:t>
      </w:r>
      <w:r>
        <w:rPr>
          <w:rFonts w:eastAsia="inter" w:cs="inter" w:ascii="inter" w:hAnsi="inter"/>
          <w:i/>
          <w:color w:val="000000"/>
          <w:sz w:val="21"/>
        </w:rPr>
        <w:t xml:space="preserve">The meeting was very long.</w:t>
      </w:r>
    </w:p>
    <w:p>
      <w:pPr>
        <w:numPr>
          <w:ilvl w:val="0"/>
          <w:numId w:val="21"/>
        </w:numPr>
        <w:spacing w:line="360" w:before="105" w:after="105" w:lineRule="auto"/>
      </w:pPr>
      <w:r>
        <w:rPr>
          <w:rFonts w:eastAsia="inter" w:cs="inter" w:ascii="inter" w:hAnsi="inter"/>
          <w:color w:val="000000"/>
          <w:sz w:val="21"/>
        </w:rPr>
        <w:t xml:space="preserve">“So” in formal writing:</w:t>
      </w:r>
    </w:p>
    <w:p>
      <w:pPr>
        <w:numPr>
          <w:ilvl w:val="1"/>
          <w:numId w:val="21"/>
        </w:numPr>
        <w:spacing w:line="360" w:before="105" w:after="105" w:lineRule="auto"/>
      </w:pPr>
      <w:r>
        <w:rPr>
          <w:rFonts w:eastAsia="inter" w:cs="inter" w:ascii="inter" w:hAnsi="inter"/>
          <w:color w:val="000000"/>
          <w:sz w:val="21"/>
        </w:rPr>
        <w:t xml:space="preserve">LIKELY ISSUE: </w:t>
      </w:r>
      <w:r>
        <w:rPr>
          <w:rFonts w:eastAsia="inter" w:cs="inter" w:ascii="inter" w:hAnsi="inter"/>
          <w:i/>
          <w:color w:val="000000"/>
          <w:sz w:val="21"/>
        </w:rPr>
        <w:t xml:space="preserve">The results are so good.</w:t>
      </w:r>
    </w:p>
    <w:p>
      <w:pPr>
        <w:numPr>
          <w:ilvl w:val="1"/>
          <w:numId w:val="21"/>
        </w:numPr>
        <w:spacing w:line="360" w:before="105" w:after="105" w:lineRule="auto"/>
      </w:pPr>
      <w:r>
        <w:rPr>
          <w:rFonts w:eastAsia="inter" w:cs="inter" w:ascii="inter" w:hAnsi="inter"/>
          <w:color w:val="000000"/>
          <w:sz w:val="21"/>
        </w:rPr>
        <w:t xml:space="preserve">MORE FORMAL: </w:t>
      </w:r>
      <w:r>
        <w:rPr>
          <w:rFonts w:eastAsia="inter" w:cs="inter" w:ascii="inter" w:hAnsi="inter"/>
          <w:i/>
          <w:color w:val="000000"/>
          <w:sz w:val="21"/>
        </w:rPr>
        <w:t xml:space="preserve">The results are extremely good.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errors_to_only_flag"/>
      <w:r>
        <w:rPr>
          <w:rFonts w:eastAsia="inter" w:cs="inter" w:ascii="inter" w:hAnsi="inter"/>
          <w:b/>
          <w:color w:val="000000"/>
          <w:sz w:val="24"/>
        </w:rPr>
        <w:t xml:space="preserve">Errors to only flag</w:t>
      </w:r>
      <w:bookmarkEnd w:id="55"/>
    </w:p>
    <w:p>
      <w:pPr>
        <w:spacing w:line="360" w:after="210" w:lineRule="auto"/>
      </w:pPr>
      <w:r>
        <w:rPr>
          <w:rFonts w:eastAsia="inter" w:cs="inter" w:ascii="inter" w:hAnsi="inter"/>
          <w:color w:val="000000"/>
        </w:rPr>
        <w:t xml:space="preserve">These issues are often stylistic, dialectal (e.g. Hong Kong English features), or context-sensitive. The checker should highlight them gently (e.g. “Consider revising…”) without declaring them wrong.</w:t>
      </w:r>
    </w:p>
    <w:p>
      <w:pPr>
        <w:spacing w:line="360" w:before="315" w:after="105" w:lineRule="auto"/>
        <w:ind w:left="-30"/>
        <w:jc w:val="left"/>
      </w:pPr>
      <w:bookmarkStart w:id="56" w:name="bm_1_long_dense_sentences_in_prof_c8cf6a"/>
      <w:r>
        <w:rPr>
          <w:rFonts w:eastAsia="inter" w:cs="inter" w:ascii="inter" w:hAnsi="inter"/>
          <w:b/>
          <w:color w:val="000000"/>
          <w:sz w:val="24"/>
        </w:rPr>
        <w:t xml:space="preserve">1. Long, dense sentences in professional writing</w:t>
      </w:r>
      <w:bookmarkEnd w:id="56"/>
    </w:p>
    <w:p>
      <w:pPr>
        <w:numPr>
          <w:ilvl w:val="0"/>
          <w:numId w:val="22"/>
        </w:numPr>
        <w:spacing w:line="360" w:before="105" w:after="105" w:lineRule="auto"/>
      </w:pPr>
      <w:r>
        <w:rPr>
          <w:rFonts w:eastAsia="inter" w:cs="inter" w:ascii="inter" w:hAnsi="inter"/>
          <w:color w:val="000000"/>
          <w:sz w:val="21"/>
        </w:rPr>
        <w:t xml:space="preserve">Possible overlong sentence:</w:t>
      </w:r>
    </w:p>
    <w:p>
      <w:pPr>
        <w:numPr>
          <w:ilvl w:val="1"/>
          <w:numId w:val="22"/>
        </w:numPr>
        <w:spacing w:line="360" w:before="105" w:after="105" w:lineRule="auto"/>
      </w:pPr>
      <w:r>
        <w:rPr>
          <w:rFonts w:eastAsia="inter" w:cs="inter" w:ascii="inter" w:hAnsi="inter"/>
          <w:color w:val="000000"/>
          <w:sz w:val="21"/>
        </w:rPr>
        <w:t xml:space="preserve">ORIGINAL: </w:t>
      </w:r>
      <w:r>
        <w:rPr>
          <w:rFonts w:eastAsia="inter" w:cs="inter" w:ascii="inter" w:hAnsi="inter"/>
          <w:i/>
          <w:color w:val="000000"/>
          <w:sz w:val="21"/>
        </w:rPr>
        <w:t xml:space="preserve">Although the client approved the concept last week and we have already briefed the design team, we still need to confirm the final budget before proceeding to the production phase, which might delay the launch.</w:t>
      </w:r>
    </w:p>
    <w:p>
      <w:pPr>
        <w:numPr>
          <w:ilvl w:val="1"/>
          <w:numId w:val="22"/>
        </w:numPr>
        <w:spacing w:line="360" w:before="105" w:after="105" w:lineRule="auto"/>
      </w:pPr>
      <w:r>
        <w:rPr>
          <w:rFonts w:eastAsia="inter" w:cs="inter" w:ascii="inter" w:hAnsi="inter"/>
          <w:color w:val="000000"/>
          <w:sz w:val="21"/>
        </w:rPr>
        <w:t xml:space="preserve">POSSIBLE REVISION: Split into two or three shorter sentences.</w:t>
      </w:r>
    </w:p>
    <w:p>
      <w:pPr>
        <w:spacing w:line="360" w:before="315" w:after="105" w:lineRule="auto"/>
        <w:ind w:left="-30"/>
        <w:jc w:val="left"/>
      </w:pPr>
      <w:bookmarkStart w:id="57" w:name="bm_2_passive_vs_active_voice"/>
      <w:r>
        <w:rPr>
          <w:rFonts w:eastAsia="inter" w:cs="inter" w:ascii="inter" w:hAnsi="inter"/>
          <w:b/>
          <w:color w:val="000000"/>
          <w:sz w:val="24"/>
        </w:rPr>
        <w:t xml:space="preserve">2. Passive vs active voice</w:t>
      </w:r>
      <w:bookmarkEnd w:id="57"/>
    </w:p>
    <w:p>
      <w:pPr>
        <w:numPr>
          <w:ilvl w:val="0"/>
          <w:numId w:val="23"/>
        </w:numPr>
        <w:spacing w:line="360" w:before="105" w:after="105" w:lineRule="auto"/>
      </w:pPr>
      <w:r>
        <w:rPr>
          <w:rFonts w:eastAsia="inter" w:cs="inter" w:ascii="inter" w:hAnsi="inter"/>
          <w:color w:val="000000"/>
          <w:sz w:val="21"/>
        </w:rPr>
        <w:t xml:space="preserve">Heavy passive structure:</w:t>
      </w:r>
    </w:p>
    <w:p>
      <w:pPr>
        <w:numPr>
          <w:ilvl w:val="1"/>
          <w:numId w:val="23"/>
        </w:numPr>
        <w:spacing w:line="360" w:before="105" w:after="105" w:lineRule="auto"/>
      </w:pPr>
      <w:r>
        <w:rPr>
          <w:rFonts w:eastAsia="inter" w:cs="inter" w:ascii="inter" w:hAnsi="inter"/>
          <w:color w:val="000000"/>
          <w:sz w:val="21"/>
        </w:rPr>
        <w:t xml:space="preserve">ORIGINAL: </w:t>
      </w:r>
      <w:r>
        <w:rPr>
          <w:rFonts w:eastAsia="inter" w:cs="inter" w:ascii="inter" w:hAnsi="inter"/>
          <w:i/>
          <w:color w:val="000000"/>
          <w:sz w:val="21"/>
        </w:rPr>
        <w:t xml:space="preserve">The proposal was reviewed and was approved by management yesterday.</w:t>
      </w:r>
    </w:p>
    <w:p>
      <w:pPr>
        <w:numPr>
          <w:ilvl w:val="1"/>
          <w:numId w:val="23"/>
        </w:numPr>
        <w:spacing w:line="360" w:before="105" w:after="105" w:lineRule="auto"/>
      </w:pPr>
      <w:r>
        <w:rPr>
          <w:rFonts w:eastAsia="inter" w:cs="inter" w:ascii="inter" w:hAnsi="inter"/>
          <w:color w:val="000000"/>
          <w:sz w:val="21"/>
        </w:rPr>
        <w:t xml:space="preserve">POSSIBLE REVISION: </w:t>
      </w:r>
      <w:r>
        <w:rPr>
          <w:rFonts w:eastAsia="inter" w:cs="inter" w:ascii="inter" w:hAnsi="inter"/>
          <w:i/>
          <w:color w:val="000000"/>
          <w:sz w:val="21"/>
        </w:rPr>
        <w:t xml:space="preserve">Management reviewed and approved the proposal yesterday.</w:t>
      </w:r>
    </w:p>
    <w:p>
      <w:pPr>
        <w:spacing w:line="360" w:before="315" w:after="105" w:lineRule="auto"/>
        <w:ind w:left="-30"/>
        <w:jc w:val="left"/>
      </w:pPr>
      <w:bookmarkStart w:id="58" w:name="bm_3_choice_between_near_synonyms_d6de07"/>
      <w:r>
        <w:rPr>
          <w:rFonts w:eastAsia="inter" w:cs="inter" w:ascii="inter" w:hAnsi="inter"/>
          <w:b/>
          <w:color w:val="000000"/>
          <w:sz w:val="24"/>
        </w:rPr>
        <w:t xml:space="preserve">3. Choice between near-synonyms and collocational strength</w:t>
      </w:r>
      <w:bookmarkEnd w:id="58"/>
    </w:p>
    <w:p>
      <w:pPr>
        <w:numPr>
          <w:ilvl w:val="0"/>
          <w:numId w:val="24"/>
        </w:numPr>
        <w:spacing w:line="360" w:before="105" w:after="105" w:lineRule="auto"/>
      </w:pPr>
      <w:r>
        <w:rPr>
          <w:rFonts w:eastAsia="inter" w:cs="inter" w:ascii="inter" w:hAnsi="inter"/>
          <w:color w:val="000000"/>
          <w:sz w:val="21"/>
        </w:rPr>
        <w:t xml:space="preserve">Slightly odd but understandable collocation:</w:t>
      </w:r>
    </w:p>
    <w:p>
      <w:pPr>
        <w:numPr>
          <w:ilvl w:val="1"/>
          <w:numId w:val="24"/>
        </w:numPr>
        <w:spacing w:line="360" w:before="105" w:after="105" w:lineRule="auto"/>
      </w:pPr>
      <w:r>
        <w:rPr>
          <w:rFonts w:eastAsia="inter" w:cs="inter" w:ascii="inter" w:hAnsi="inter"/>
          <w:color w:val="000000"/>
          <w:sz w:val="21"/>
        </w:rPr>
        <w:t xml:space="preserve">ORIGINAL: </w:t>
      </w:r>
      <w:r>
        <w:rPr>
          <w:rFonts w:eastAsia="inter" w:cs="inter" w:ascii="inter" w:hAnsi="inter"/>
          <w:i/>
          <w:color w:val="000000"/>
          <w:sz w:val="21"/>
        </w:rPr>
        <w:t xml:space="preserve">We will do a meeting next Monday.</w:t>
      </w:r>
    </w:p>
    <w:p>
      <w:pPr>
        <w:numPr>
          <w:ilvl w:val="1"/>
          <w:numId w:val="24"/>
        </w:numPr>
        <w:spacing w:line="360" w:before="105" w:after="105" w:lineRule="auto"/>
      </w:pPr>
      <w:r>
        <w:rPr>
          <w:rFonts w:eastAsia="inter" w:cs="inter" w:ascii="inter" w:hAnsi="inter"/>
          <w:color w:val="000000"/>
          <w:sz w:val="21"/>
        </w:rPr>
        <w:t xml:space="preserve">PREFERRED: </w:t>
      </w:r>
      <w:r>
        <w:rPr>
          <w:rFonts w:eastAsia="inter" w:cs="inter" w:ascii="inter" w:hAnsi="inter"/>
          <w:i/>
          <w:color w:val="000000"/>
          <w:sz w:val="21"/>
        </w:rPr>
        <w:t xml:space="preserve">We will have a meeting next Monday.</w:t>
      </w:r>
    </w:p>
    <w:p>
      <w:pPr>
        <w:numPr>
          <w:ilvl w:val="0"/>
          <w:numId w:val="24"/>
        </w:numPr>
        <w:spacing w:line="360" w:before="105" w:after="105" w:lineRule="auto"/>
      </w:pPr>
      <w:r>
        <w:rPr>
          <w:rFonts w:eastAsia="inter" w:cs="inter" w:ascii="inter" w:hAnsi="inter"/>
          <w:color w:val="000000"/>
          <w:sz w:val="21"/>
        </w:rPr>
        <w:t xml:space="preserve">Slightly off register:</w:t>
      </w:r>
    </w:p>
    <w:p>
      <w:pPr>
        <w:numPr>
          <w:ilvl w:val="1"/>
          <w:numId w:val="24"/>
        </w:numPr>
        <w:spacing w:line="360" w:before="105" w:after="105" w:lineRule="auto"/>
      </w:pPr>
      <w:r>
        <w:rPr>
          <w:rFonts w:eastAsia="inter" w:cs="inter" w:ascii="inter" w:hAnsi="inter"/>
          <w:color w:val="000000"/>
          <w:sz w:val="21"/>
        </w:rPr>
        <w:t xml:space="preserve">ORIGINAL: </w:t>
      </w:r>
      <w:r>
        <w:rPr>
          <w:rFonts w:eastAsia="inter" w:cs="inter" w:ascii="inter" w:hAnsi="inter"/>
          <w:i/>
          <w:color w:val="000000"/>
          <w:sz w:val="21"/>
        </w:rPr>
        <w:t xml:space="preserve">The issue is quite serious, we must fix it ASAP.</w:t>
      </w:r>
    </w:p>
    <w:p>
      <w:pPr>
        <w:numPr>
          <w:ilvl w:val="1"/>
          <w:numId w:val="24"/>
        </w:numPr>
        <w:spacing w:line="360" w:before="105" w:after="105" w:lineRule="auto"/>
      </w:pPr>
      <w:r>
        <w:rPr>
          <w:rFonts w:eastAsia="inter" w:cs="inter" w:ascii="inter" w:hAnsi="inter"/>
          <w:color w:val="000000"/>
          <w:sz w:val="21"/>
        </w:rPr>
        <w:t xml:space="preserve">PREFERRED (formal): </w:t>
      </w:r>
      <w:r>
        <w:rPr>
          <w:rFonts w:eastAsia="inter" w:cs="inter" w:ascii="inter" w:hAnsi="inter"/>
          <w:i/>
          <w:color w:val="000000"/>
          <w:sz w:val="21"/>
        </w:rPr>
        <w:t xml:space="preserve">The issue is serious; we must fix it as soon as possible.</w:t>
      </w:r>
    </w:p>
    <w:p>
      <w:pPr>
        <w:spacing w:line="360" w:before="315" w:after="105" w:lineRule="auto"/>
        <w:ind w:left="-30"/>
        <w:jc w:val="left"/>
      </w:pPr>
      <w:bookmarkStart w:id="59" w:name="bm_4_local_hong_kong_english_items"/>
      <w:r>
        <w:rPr>
          <w:rFonts w:eastAsia="inter" w:cs="inter" w:ascii="inter" w:hAnsi="inter"/>
          <w:b/>
          <w:color w:val="000000"/>
          <w:sz w:val="24"/>
        </w:rPr>
        <w:t xml:space="preserve">4. Local Hong Kong English items</w:t>
      </w:r>
      <w:bookmarkEnd w:id="59"/>
    </w:p>
    <w:p>
      <w:pPr>
        <w:spacing w:line="360" w:after="210" w:lineRule="auto"/>
      </w:pPr>
      <w:r>
        <w:rPr>
          <w:rFonts w:eastAsia="inter" w:cs="inter" w:ascii="inter" w:hAnsi="inter"/>
          <w:color w:val="000000"/>
        </w:rPr>
        <w:t xml:space="preserve">Some expressions are widely used locally but may not be understood internationally; the checker should flag them only if the target audience is “global”.</w:t>
      </w:r>
      <w:bookmarkStart w:id="60" w:name="fnref4_7"/>
      <w:bookmarkEnd w:id="60"/>
      <w:hyperlink w:anchor="fn4">
        <w:r>
          <w:rPr>
            <w:rFonts w:eastAsia="inter" w:cs="inter" w:ascii="inter" w:hAnsi="inter"/>
            <w:color w:val="#000"/>
            <w:u w:val="single"/>
            <w:vertAlign w:val="superscript"/>
          </w:rPr>
          <w:t xml:space="preserve">[4]</w:t>
        </w:r>
      </w:hyperlink>
    </w:p>
    <w:p>
      <w:pPr>
        <w:numPr>
          <w:ilvl w:val="0"/>
          <w:numId w:val="25"/>
        </w:numPr>
        <w:spacing w:line="360" w:before="105" w:after="105" w:lineRule="auto"/>
      </w:pPr>
      <w:r>
        <w:rPr>
          <w:rFonts w:eastAsia="inter" w:cs="inter" w:ascii="inter" w:hAnsi="inter"/>
          <w:color w:val="000000"/>
          <w:sz w:val="21"/>
        </w:rPr>
        <w:t xml:space="preserve">Local expression:</w:t>
      </w:r>
    </w:p>
    <w:p>
      <w:pPr>
        <w:numPr>
          <w:ilvl w:val="1"/>
          <w:numId w:val="25"/>
        </w:numPr>
        <w:spacing w:line="360" w:before="105" w:after="105" w:lineRule="auto"/>
      </w:pPr>
      <w:r>
        <w:rPr>
          <w:rFonts w:eastAsia="inter" w:cs="inter" w:ascii="inter" w:hAnsi="inter"/>
          <w:color w:val="000000"/>
          <w:sz w:val="21"/>
        </w:rPr>
        <w:t xml:space="preserve">ORIGINAL: </w:t>
      </w:r>
      <w:r>
        <w:rPr>
          <w:rFonts w:eastAsia="inter" w:cs="inter" w:ascii="inter" w:hAnsi="inter"/>
          <w:i/>
          <w:color w:val="000000"/>
          <w:sz w:val="21"/>
        </w:rPr>
        <w:t xml:space="preserve">Let’s chop the contract this afternoon.</w:t>
      </w:r>
    </w:p>
    <w:p>
      <w:pPr>
        <w:numPr>
          <w:ilvl w:val="1"/>
          <w:numId w:val="25"/>
        </w:numPr>
        <w:spacing w:line="360" w:before="105" w:after="105" w:lineRule="auto"/>
      </w:pPr>
      <w:r>
        <w:rPr>
          <w:rFonts w:eastAsia="inter" w:cs="inter" w:ascii="inter" w:hAnsi="inter"/>
          <w:color w:val="000000"/>
          <w:sz w:val="21"/>
        </w:rPr>
        <w:t xml:space="preserve">GLOBAL ENGLISH: </w:t>
      </w:r>
      <w:r>
        <w:rPr>
          <w:rFonts w:eastAsia="inter" w:cs="inter" w:ascii="inter" w:hAnsi="inter"/>
          <w:i/>
          <w:color w:val="000000"/>
          <w:sz w:val="21"/>
        </w:rPr>
        <w:t xml:space="preserve">Let’s stamp/sign the contract this afternoon.</w:t>
      </w:r>
    </w:p>
    <w:p>
      <w:pPr>
        <w:numPr>
          <w:ilvl w:val="0"/>
          <w:numId w:val="25"/>
        </w:numPr>
        <w:spacing w:line="360" w:before="105" w:after="105" w:lineRule="auto"/>
      </w:pPr>
      <w:r>
        <w:rPr>
          <w:rFonts w:eastAsia="inter" w:cs="inter" w:ascii="inter" w:hAnsi="inter"/>
          <w:color w:val="000000"/>
          <w:sz w:val="21"/>
        </w:rPr>
        <w:t xml:space="preserve">Local nouning/verbing:</w:t>
      </w:r>
    </w:p>
    <w:p>
      <w:pPr>
        <w:numPr>
          <w:ilvl w:val="1"/>
          <w:numId w:val="25"/>
        </w:numPr>
        <w:spacing w:line="360" w:before="105" w:after="105" w:lineRule="auto"/>
      </w:pPr>
      <w:r>
        <w:rPr>
          <w:rFonts w:eastAsia="inter" w:cs="inter" w:ascii="inter" w:hAnsi="inter"/>
          <w:color w:val="000000"/>
          <w:sz w:val="21"/>
        </w:rPr>
        <w:t xml:space="preserve">ORIGINAL: </w:t>
      </w:r>
      <w:r>
        <w:rPr>
          <w:rFonts w:eastAsia="inter" w:cs="inter" w:ascii="inter" w:hAnsi="inter"/>
          <w:i/>
          <w:color w:val="000000"/>
          <w:sz w:val="21"/>
        </w:rPr>
        <w:t xml:space="preserve">I will help you to follow this case.</w:t>
      </w:r>
    </w:p>
    <w:p>
      <w:pPr>
        <w:numPr>
          <w:ilvl w:val="1"/>
          <w:numId w:val="25"/>
        </w:numPr>
        <w:spacing w:line="360" w:before="105" w:after="105" w:lineRule="auto"/>
      </w:pPr>
      <w:r>
        <w:rPr>
          <w:rFonts w:eastAsia="inter" w:cs="inter" w:ascii="inter" w:hAnsi="inter"/>
          <w:color w:val="000000"/>
          <w:sz w:val="21"/>
        </w:rPr>
        <w:t xml:space="preserve">GLOBAL ENGLISH: </w:t>
      </w:r>
      <w:r>
        <w:rPr>
          <w:rFonts w:eastAsia="inter" w:cs="inter" w:ascii="inter" w:hAnsi="inter"/>
          <w:i/>
          <w:color w:val="000000"/>
          <w:sz w:val="21"/>
        </w:rPr>
        <w:t xml:space="preserve">I will help you follow up on this case.</w:t>
      </w:r>
    </w:p>
    <w:p>
      <w:pPr>
        <w:spacing w:line="360" w:before="315" w:after="105" w:lineRule="auto"/>
        <w:ind w:left="-30"/>
        <w:jc w:val="left"/>
      </w:pPr>
      <w:bookmarkStart w:id="61" w:name="bm_5_generic_they_gender_neutral_acf979"/>
      <w:r>
        <w:rPr>
          <w:rFonts w:eastAsia="inter" w:cs="inter" w:ascii="inter" w:hAnsi="inter"/>
          <w:b/>
          <w:color w:val="000000"/>
          <w:sz w:val="24"/>
        </w:rPr>
        <w:t xml:space="preserve">5. Generic “they”, gender-neutral forms, and style</w:t>
      </w:r>
      <w:bookmarkEnd w:id="61"/>
    </w:p>
    <w:p>
      <w:pPr>
        <w:numPr>
          <w:ilvl w:val="0"/>
          <w:numId w:val="26"/>
        </w:numPr>
        <w:spacing w:line="360" w:before="105" w:after="105" w:lineRule="auto"/>
      </w:pPr>
      <w:r>
        <w:rPr>
          <w:rFonts w:eastAsia="inter" w:cs="inter" w:ascii="inter" w:hAnsi="inter"/>
          <w:color w:val="000000"/>
          <w:sz w:val="21"/>
        </w:rPr>
        <w:t xml:space="preserve">Gender-neutral singular “they”:</w:t>
      </w:r>
    </w:p>
    <w:p>
      <w:pPr>
        <w:numPr>
          <w:ilvl w:val="1"/>
          <w:numId w:val="26"/>
        </w:numPr>
        <w:spacing w:line="360" w:before="105" w:after="105" w:lineRule="auto"/>
      </w:pPr>
      <w:r>
        <w:rPr>
          <w:rFonts w:eastAsia="inter" w:cs="inter" w:ascii="inter" w:hAnsi="inter"/>
          <w:color w:val="000000"/>
          <w:sz w:val="21"/>
        </w:rPr>
        <w:t xml:space="preserve">ORIGINAL: </w:t>
      </w:r>
      <w:r>
        <w:rPr>
          <w:rFonts w:eastAsia="inter" w:cs="inter" w:ascii="inter" w:hAnsi="inter"/>
          <w:i/>
          <w:color w:val="000000"/>
          <w:sz w:val="21"/>
        </w:rPr>
        <w:t xml:space="preserve">If a manager disagrees, they should explain their reasons.</w:t>
      </w:r>
    </w:p>
    <w:p>
      <w:pPr>
        <w:numPr>
          <w:ilvl w:val="1"/>
          <w:numId w:val="26"/>
        </w:numPr>
        <w:spacing w:line="360" w:before="105" w:after="105" w:lineRule="auto"/>
      </w:pPr>
      <w:r>
        <w:rPr>
          <w:rFonts w:eastAsia="inter" w:cs="inter" w:ascii="inter" w:hAnsi="inter"/>
          <w:color w:val="000000"/>
          <w:sz w:val="21"/>
        </w:rPr>
        <w:t xml:space="preserve">ALTERNATIVE (more formal/legalistic if required): </w:t>
      </w:r>
      <w:r>
        <w:rPr>
          <w:rFonts w:eastAsia="inter" w:cs="inter" w:ascii="inter" w:hAnsi="inter"/>
          <w:i/>
          <w:color w:val="000000"/>
          <w:sz w:val="21"/>
        </w:rPr>
        <w:t xml:space="preserve">If a manager disagrees, he or she should explain the reasons.</w:t>
      </w:r>
    </w:p>
    <w:p>
      <w:pPr>
        <w:spacing w:line="360" w:before="315" w:after="105" w:lineRule="auto"/>
        <w:ind w:left="-30"/>
        <w:jc w:val="left"/>
      </w:pPr>
      <w:bookmarkStart w:id="62" w:name="bm_6_contractions_in_professional_68a245"/>
      <w:r>
        <w:rPr>
          <w:rFonts w:eastAsia="inter" w:cs="inter" w:ascii="inter" w:hAnsi="inter"/>
          <w:b/>
          <w:color w:val="000000"/>
          <w:sz w:val="24"/>
        </w:rPr>
        <w:t xml:space="preserve">6. Contractions in professional vs casual contexts</w:t>
      </w:r>
      <w:bookmarkEnd w:id="62"/>
    </w:p>
    <w:p>
      <w:pPr>
        <w:numPr>
          <w:ilvl w:val="0"/>
          <w:numId w:val="27"/>
        </w:numPr>
        <w:spacing w:line="360" w:before="105" w:after="105" w:lineRule="auto"/>
      </w:pPr>
      <w:r>
        <w:rPr>
          <w:rFonts w:eastAsia="inter" w:cs="inter" w:ascii="inter" w:hAnsi="inter"/>
          <w:color w:val="000000"/>
          <w:sz w:val="21"/>
        </w:rPr>
        <w:t xml:space="preserve">Casual in formal email:</w:t>
      </w:r>
    </w:p>
    <w:p>
      <w:pPr>
        <w:numPr>
          <w:ilvl w:val="1"/>
          <w:numId w:val="27"/>
        </w:numPr>
        <w:spacing w:line="360" w:before="105" w:after="105" w:lineRule="auto"/>
      </w:pPr>
      <w:r>
        <w:rPr>
          <w:rFonts w:eastAsia="inter" w:cs="inter" w:ascii="inter" w:hAnsi="inter"/>
          <w:color w:val="000000"/>
          <w:sz w:val="21"/>
        </w:rPr>
        <w:t xml:space="preserve">ORIGINAL: </w:t>
      </w:r>
      <w:r>
        <w:rPr>
          <w:rFonts w:eastAsia="inter" w:cs="inter" w:ascii="inter" w:hAnsi="inter"/>
          <w:i/>
          <w:color w:val="000000"/>
          <w:sz w:val="21"/>
        </w:rPr>
        <w:t xml:space="preserve">We’ll get back to you soon.</w:t>
      </w:r>
    </w:p>
    <w:p>
      <w:pPr>
        <w:numPr>
          <w:ilvl w:val="1"/>
          <w:numId w:val="27"/>
        </w:numPr>
        <w:spacing w:line="360" w:before="105" w:after="105" w:lineRule="auto"/>
      </w:pPr>
      <w:r>
        <w:rPr>
          <w:rFonts w:eastAsia="inter" w:cs="inter" w:ascii="inter" w:hAnsi="inter"/>
          <w:color w:val="000000"/>
          <w:sz w:val="21"/>
        </w:rPr>
        <w:t xml:space="preserve">MORE FORMAL: </w:t>
      </w:r>
      <w:r>
        <w:rPr>
          <w:rFonts w:eastAsia="inter" w:cs="inter" w:ascii="inter" w:hAnsi="inter"/>
          <w:i/>
          <w:color w:val="000000"/>
          <w:sz w:val="21"/>
        </w:rPr>
        <w:t xml:space="preserve">We will get back to you soon.</w:t>
      </w:r>
    </w:p>
    <w:p>
      <w:pPr>
        <w:numPr>
          <w:ilvl w:val="0"/>
          <w:numId w:val="27"/>
        </w:numPr>
        <w:spacing w:line="360" w:before="105" w:after="105" w:lineRule="auto"/>
      </w:pPr>
      <w:r>
        <w:rPr>
          <w:rFonts w:eastAsia="inter" w:cs="inter" w:ascii="inter" w:hAnsi="inter"/>
          <w:color w:val="000000"/>
          <w:sz w:val="21"/>
        </w:rPr>
        <w:t xml:space="preserve">Overly formal in chat:</w:t>
      </w:r>
    </w:p>
    <w:p>
      <w:pPr>
        <w:numPr>
          <w:ilvl w:val="1"/>
          <w:numId w:val="27"/>
        </w:numPr>
        <w:spacing w:line="360" w:before="105" w:after="105" w:lineRule="auto"/>
      </w:pPr>
      <w:r>
        <w:rPr>
          <w:rFonts w:eastAsia="inter" w:cs="inter" w:ascii="inter" w:hAnsi="inter"/>
          <w:color w:val="000000"/>
          <w:sz w:val="21"/>
        </w:rPr>
        <w:t xml:space="preserve">ORIGINAL: </w:t>
      </w:r>
      <w:r>
        <w:rPr>
          <w:rFonts w:eastAsia="inter" w:cs="inter" w:ascii="inter" w:hAnsi="inter"/>
          <w:i/>
          <w:color w:val="000000"/>
          <w:sz w:val="21"/>
        </w:rPr>
        <w:t xml:space="preserve">I do not think that is possible.</w:t>
      </w:r>
    </w:p>
    <w:p>
      <w:pPr>
        <w:numPr>
          <w:ilvl w:val="1"/>
          <w:numId w:val="27"/>
        </w:numPr>
        <w:spacing w:line="360" w:before="105" w:after="105" w:lineRule="auto"/>
      </w:pPr>
      <w:r>
        <w:rPr>
          <w:rFonts w:eastAsia="inter" w:cs="inter" w:ascii="inter" w:hAnsi="inter"/>
          <w:color w:val="000000"/>
          <w:sz w:val="21"/>
        </w:rPr>
        <w:t xml:space="preserve">MORE NATURAL (casual): </w:t>
      </w:r>
      <w:r>
        <w:rPr>
          <w:rFonts w:eastAsia="inter" w:cs="inter" w:ascii="inter" w:hAnsi="inter"/>
          <w:i/>
          <w:color w:val="000000"/>
          <w:sz w:val="21"/>
        </w:rPr>
        <w:t xml:space="preserve">I don’t think that’s possible.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using_minimal_pairs_in_the_checker"/>
      <w:r>
        <w:rPr>
          <w:rFonts w:eastAsia="inter" w:cs="inter" w:ascii="inter" w:hAnsi="inter"/>
          <w:b/>
          <w:color w:val="000000"/>
          <w:sz w:val="24"/>
        </w:rPr>
        <w:t xml:space="preserve">Using minimal pairs in the checker</w:t>
      </w:r>
      <w:bookmarkEnd w:id="63"/>
    </w:p>
    <w:p>
      <w:pPr>
        <w:spacing w:line="360" w:after="210" w:lineRule="auto"/>
      </w:pPr>
      <w:r>
        <w:rPr>
          <w:rFonts w:eastAsia="inter" w:cs="inter" w:ascii="inter" w:hAnsi="inter"/>
          <w:color w:val="000000"/>
        </w:rPr>
        <w:t xml:space="preserve">For each rule above, the checker should:</w:t>
      </w:r>
    </w:p>
    <w:p>
      <w:pPr>
        <w:numPr>
          <w:ilvl w:val="0"/>
          <w:numId w:val="28"/>
        </w:numPr>
        <w:spacing w:line="360" w:before="105" w:after="105" w:lineRule="auto"/>
      </w:pPr>
      <w:r>
        <w:rPr>
          <w:rFonts w:eastAsia="inter" w:cs="inter" w:ascii="inter" w:hAnsi="inter"/>
          <w:color w:val="000000"/>
          <w:sz w:val="21"/>
        </w:rPr>
        <w:t xml:space="preserve">Store at least one minimal pair (incorrect/correct or less natural/more natural) to display when the user hovers or clicks for help, with labels like “Non-standard” vs “More natural in professional emails”.</w:t>
      </w:r>
    </w:p>
    <w:p>
      <w:pPr>
        <w:numPr>
          <w:ilvl w:val="0"/>
          <w:numId w:val="28"/>
        </w:numPr>
        <w:spacing w:line="360" w:before="105" w:after="105" w:lineRule="auto"/>
      </w:pPr>
      <w:r>
        <w:rPr>
          <w:rFonts w:eastAsia="inter" w:cs="inter" w:ascii="inter" w:hAnsi="inter"/>
          <w:color w:val="000000"/>
          <w:sz w:val="21"/>
        </w:rPr>
        <w:t xml:space="preserve">Differentiate severity in the UI: red underline + correction button for “must identify”, amber underline + explanation for “flag and explain”, and grey dotted underline + “style suggestion” label for “only flag”.</w:t>
      </w:r>
    </w:p>
    <w:p>
      <w:pPr>
        <w:spacing w:line="360" w:after="210" w:lineRule="auto"/>
      </w:pPr>
      <w:r>
        <w:rPr>
          <w:rFonts w:eastAsia="inter" w:cs="inter" w:ascii="inter" w:hAnsi="inter"/>
          <w:color w:val="000000"/>
        </w:rPr>
        <w:t xml:space="preserve">This design aligns with documented Cantonese–English interference patterns while respecting advanced users’ need for nuance, choice of register, and local Hong Kong English norms.</w:t>
      </w:r>
      <w:bookmarkStart w:id="64" w:name="fnref2_3"/>
      <w:bookmarkEnd w:id="64"/>
      <w:hyperlink w:anchor="fn2">
        <w:r>
          <w:rPr>
            <w:rFonts w:eastAsia="inter" w:cs="inter" w:ascii="inter" w:hAnsi="inter"/>
            <w:color w:val="#000"/>
            <w:u w:val="single"/>
            <w:vertAlign w:val="superscript"/>
          </w:rPr>
          <w:t xml:space="preserve">[2]</w:t>
        </w:r>
      </w:hyperlink>
      <w:bookmarkStart w:id="65" w:name="fnref3_3"/>
      <w:bookmarkEnd w:id="65"/>
      <w:hyperlink w:anchor="fn3">
        <w:r>
          <w:rPr>
            <w:rFonts w:eastAsia="inter" w:cs="inter" w:ascii="inter" w:hAnsi="inter"/>
            <w:color w:val="#000"/>
            <w:u w:val="single"/>
            <w:vertAlign w:val="superscript"/>
          </w:rPr>
          <w:t xml:space="preserve">[3]</w:t>
        </w:r>
      </w:hyperlink>
      <w:bookmarkStart w:id="66" w:name="fnref5_3"/>
      <w:bookmarkEnd w:id="66"/>
      <w:hyperlink w:anchor="fn5">
        <w:r>
          <w:rPr>
            <w:rFonts w:eastAsia="inter" w:cs="inter" w:ascii="inter" w:hAnsi="inter"/>
            <w:color w:val="#000"/>
            <w:u w:val="single"/>
            <w:vertAlign w:val="superscript"/>
          </w:rPr>
          <w:t xml:space="preserve">[5]</w:t>
        </w:r>
      </w:hyperlink>
      <w:bookmarkStart w:id="67" w:name="fnref6_4"/>
      <w:bookmarkEnd w:id="67"/>
      <w:hyperlink w:anchor="fn6">
        <w:r>
          <w:rPr>
            <w:rFonts w:eastAsia="inter" w:cs="inter" w:ascii="inter" w:hAnsi="inter"/>
            <w:color w:val="#000"/>
            <w:u w:val="single"/>
            <w:vertAlign w:val="superscript"/>
          </w:rPr>
          <w:t xml:space="preserve">[6]</w:t>
        </w:r>
      </w:hyperlink>
      <w:bookmarkStart w:id="68" w:name="fnref1_7"/>
      <w:bookmarkEnd w:id="68"/>
      <w:hyperlink w:anchor="fn1">
        <w:r>
          <w:rPr>
            <w:rFonts w:eastAsia="inter" w:cs="inter" w:ascii="inter" w:hAnsi="inter"/>
            <w:color w:val="#000"/>
            <w:u w:val="single"/>
            <w:vertAlign w:val="superscript"/>
          </w:rPr>
          <w:t xml:space="preserve">[1]</w:t>
        </w:r>
      </w:hyperlink>
      <w:bookmarkStart w:id="69" w:name="fnref4_8"/>
      <w:bookmarkEnd w:id="69"/>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0" w:name="fn1"/>
    <w:bookmarkEnd w:id="70"/>
    <w:p>
      <w:pPr>
        <w:numPr>
          <w:ilvl w:val="0"/>
          <w:numId w:val="30"/>
        </w:numPr>
        <w:spacing w:line="360" w:after="210" w:lineRule="auto"/>
      </w:pPr>
      <w:hyperlink r:id="rId6">
        <w:r>
          <w:rPr>
            <w:rFonts w:eastAsia="inter" w:cs="inter" w:ascii="inter" w:hAnsi="inter"/>
            <w:color w:val="#000"/>
            <w:sz w:val="18"/>
            <w:u w:val="single"/>
          </w:rPr>
          <w:t xml:space="preserve">https://hongkongtesol.com/blog/top-10-grammar-mistakes-hong-kong-part-1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2"/>
    <w:bookmarkEnd w:id="71"/>
    <w:p>
      <w:pPr>
        <w:numPr>
          <w:ilvl w:val="0"/>
          <w:numId w:val="30"/>
        </w:numPr>
        <w:spacing w:line="360" w:after="210" w:lineRule="auto"/>
      </w:pPr>
      <w:hyperlink r:id="rId7">
        <w:r>
          <w:rPr>
            <w:rFonts w:eastAsia="inter" w:cs="inter" w:ascii="inter" w:hAnsi="inter"/>
            <w:color w:val="#000"/>
            <w:sz w:val="18"/>
            <w:u w:val="single"/>
          </w:rPr>
          <w:t xml:space="preserve">https://simplyenglish.com.hk/common-errors-hk-students/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3"/>
    <w:bookmarkEnd w:id="72"/>
    <w:p>
      <w:pPr>
        <w:numPr>
          <w:ilvl w:val="0"/>
          <w:numId w:val="30"/>
        </w:numPr>
        <w:spacing w:line="360" w:after="210" w:lineRule="auto"/>
      </w:pPr>
      <w:hyperlink r:id="rId8">
        <w:r>
          <w:rPr>
            <w:rFonts w:eastAsia="inter" w:cs="inter" w:ascii="inter" w:hAnsi="inter"/>
            <w:color w:val="#000"/>
            <w:sz w:val="18"/>
            <w:u w:val="single"/>
          </w:rPr>
          <w:t xml:space="preserve">https://caes.hku.hk/ajal/index.php/ajal/article/download/432/467/1649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 w:name="fn4"/>
    <w:bookmarkEnd w:id="73"/>
    <w:p>
      <w:pPr>
        <w:numPr>
          <w:ilvl w:val="0"/>
          <w:numId w:val="30"/>
        </w:numPr>
        <w:spacing w:line="360" w:after="210" w:lineRule="auto"/>
      </w:pPr>
      <w:hyperlink r:id="rId9">
        <w:r>
          <w:rPr>
            <w:rFonts w:eastAsia="inter" w:cs="inter" w:ascii="inter" w:hAnsi="inter"/>
            <w:color w:val="#000"/>
            <w:sz w:val="18"/>
            <w:u w:val="single"/>
          </w:rPr>
          <w:t xml:space="preserve">https://www.cambridge.org/core/journals/english-today/article/syntactic-variation-in-hong-kong-english/9E527EA694A33CFE6D3A16CCE9FCDC43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 w:name="fn5"/>
    <w:bookmarkEnd w:id="74"/>
    <w:p>
      <w:pPr>
        <w:numPr>
          <w:ilvl w:val="0"/>
          <w:numId w:val="30"/>
        </w:numPr>
        <w:spacing w:line="360" w:after="210" w:lineRule="auto"/>
      </w:pPr>
      <w:hyperlink r:id="rId10">
        <w:r>
          <w:rPr>
            <w:rFonts w:eastAsia="inter" w:cs="inter" w:ascii="inter" w:hAnsi="inter"/>
            <w:color w:val="#000"/>
            <w:sz w:val="18"/>
            <w:u w:val="single"/>
          </w:rPr>
          <w:t xml:space="preserve">https://www.lc.cityu.edu.hk/ELSS/Resource/cce1/index.htm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6"/>
    <w:bookmarkEnd w:id="75"/>
    <w:p>
      <w:pPr>
        <w:numPr>
          <w:ilvl w:val="0"/>
          <w:numId w:val="30"/>
        </w:numPr>
        <w:spacing w:line="360" w:after="210" w:lineRule="auto"/>
      </w:pPr>
      <w:hyperlink r:id="rId11">
        <w:r>
          <w:rPr>
            <w:rFonts w:eastAsia="inter" w:cs="inter" w:ascii="inter" w:hAnsi="inter"/>
            <w:color w:val="#000"/>
            <w:sz w:val="18"/>
            <w:u w:val="single"/>
          </w:rPr>
          <w:t xml:space="preserve">https://elc.polyu.edu.hk/cill/eap/2004/u1/nouncorrection.aspx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 w:name="fn7"/>
    <w:bookmarkEnd w:id="76"/>
    <w:p>
      <w:pPr>
        <w:numPr>
          <w:ilvl w:val="0"/>
          <w:numId w:val="30"/>
        </w:numPr>
        <w:spacing w:line="360" w:after="210" w:lineRule="auto"/>
      </w:pPr>
      <w:hyperlink r:id="rId12">
        <w:r>
          <w:rPr>
            <w:rFonts w:eastAsia="inter" w:cs="inter" w:ascii="inter" w:hAnsi="inter"/>
            <w:color w:val="#000"/>
            <w:sz w:val="18"/>
            <w:u w:val="single"/>
          </w:rPr>
          <w:t xml:space="preserve">https://en.wikipedia.org/wiki/Cantonese_grammar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7" w:name="fn8"/>
    <w:bookmarkEnd w:id="77"/>
    <w:p>
      <w:pPr>
        <w:numPr>
          <w:ilvl w:val="0"/>
          <w:numId w:val="30"/>
        </w:numPr>
        <w:spacing w:line="360" w:after="210" w:lineRule="auto"/>
      </w:pPr>
      <w:hyperlink r:id="rId13">
        <w:r>
          <w:rPr>
            <w:rFonts w:eastAsia="inter" w:cs="inter" w:ascii="inter" w:hAnsi="inter"/>
            <w:color w:val="#000"/>
            <w:sz w:val="18"/>
            <w:u w:val="single"/>
          </w:rPr>
          <w:t xml:space="preserve">https://wacclearinghouse.org/docs/jbw/v1n1/lay.pdf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9"/>
    <w:bookmarkEnd w:id="78"/>
    <w:p>
      <w:pPr>
        <w:numPr>
          <w:ilvl w:val="0"/>
          <w:numId w:val="30"/>
        </w:numPr>
        <w:spacing w:line="360" w:after="210" w:lineRule="auto"/>
      </w:pPr>
      <w:hyperlink r:id="rId14">
        <w:r>
          <w:rPr>
            <w:rFonts w:eastAsia="inter" w:cs="inter" w:ascii="inter" w:hAnsi="inter"/>
            <w:color w:val="#000"/>
            <w:sz w:val="18"/>
            <w:u w:val="single"/>
          </w:rPr>
          <w:t xml:space="preserve">https://hongkongtesol.com/blog/top-10-grammar-mistakes-hong-kong-part-2</w:t>
        </w:r>
      </w:hyperlink>
      <w:r>
        <w:rPr>
          <w:rFonts w:eastAsia="inter" w:cs="inter" w:ascii="inter" w:hAnsi="inter"/>
          <w:color w:val="000000"/>
          <w:sz w:val="18"/>
        </w:rPr>
        <w:t xml:space="preserve"> </w:t>
      </w:r>
    </w:p>
    <w:bookmarkStart w:id="79" w:name="fn10"/>
    <w:bookmarkEnd w:id="79"/>
    <w:p>
      <w:pPr>
        <w:numPr>
          <w:ilvl w:val="0"/>
          <w:numId w:val="30"/>
        </w:numPr>
        <w:spacing w:line="360" w:after="210" w:lineRule="auto"/>
      </w:pPr>
      <w:hyperlink r:id="rId15">
        <w:r>
          <w:rPr>
            <w:rFonts w:eastAsia="inter" w:cs="inter" w:ascii="inter" w:hAnsi="inter"/>
            <w:color w:val="#000"/>
            <w:sz w:val="18"/>
            <w:u w:val="single"/>
          </w:rPr>
          <w:t xml:space="preserve">https://www.cantoneseclass101.com/blog/2020/12/11/common-cantonese-mistakes/</w:t>
        </w:r>
      </w:hyperlink>
      <w:r>
        <w:rPr>
          <w:rFonts w:eastAsia="inter" w:cs="inter" w:ascii="inter" w:hAnsi="inter"/>
          <w:color w:val="000000"/>
          <w:sz w:val="18"/>
        </w:rPr>
        <w:t xml:space="preserve"> </w:t>
      </w:r>
    </w:p>
    <w:bookmarkStart w:id="80" w:name="fn11"/>
    <w:bookmarkEnd w:id="80"/>
    <w:p>
      <w:pPr>
        <w:numPr>
          <w:ilvl w:val="0"/>
          <w:numId w:val="30"/>
        </w:numPr>
        <w:spacing w:line="360" w:after="210" w:lineRule="auto"/>
      </w:pPr>
      <w:hyperlink r:id="rId16">
        <w:r>
          <w:rPr>
            <w:rFonts w:eastAsia="inter" w:cs="inter" w:ascii="inter" w:hAnsi="inter"/>
            <w:color w:val="#000"/>
            <w:sz w:val="18"/>
            <w:u w:val="single"/>
          </w:rPr>
          <w:t xml:space="preserve">https://scholars.cityu.edu.hk/en/publications/the-acquisition-of-english-grammar-and-phonology-by-cantonese-esl</w:t>
        </w:r>
      </w:hyperlink>
      <w:r>
        <w:rPr>
          <w:rFonts w:eastAsia="inter" w:cs="inter" w:ascii="inter" w:hAnsi="inter"/>
          <w:color w:val="000000"/>
          <w:sz w:val="18"/>
        </w:rPr>
        <w:t xml:space="preserve"> </w:t>
      </w:r>
    </w:p>
    <w:bookmarkStart w:id="81" w:name="fn12"/>
    <w:bookmarkEnd w:id="81"/>
    <w:p>
      <w:pPr>
        <w:numPr>
          <w:ilvl w:val="0"/>
          <w:numId w:val="30"/>
        </w:numPr>
        <w:spacing w:line="360" w:after="210" w:lineRule="auto"/>
      </w:pPr>
      <w:hyperlink r:id="rId17">
        <w:r>
          <w:rPr>
            <w:rFonts w:eastAsia="inter" w:cs="inter" w:ascii="inter" w:hAnsi="inter"/>
            <w:color w:val="#000"/>
            <w:sz w:val="18"/>
            <w:u w:val="single"/>
          </w:rPr>
          <w:t xml:space="preserve">https://eccantonese123.rako.co/en/blog/Common_Mistakes_English_Speakers_Make_When_Learning_Cantonese</w:t>
        </w:r>
      </w:hyperlink>
      <w:r>
        <w:rPr>
          <w:rFonts w:eastAsia="inter" w:cs="inter" w:ascii="inter" w:hAnsi="inter"/>
          <w:color w:val="000000"/>
          <w:sz w:val="18"/>
        </w:rPr>
        <w:t xml:space="preserve"> </w:t>
      </w:r>
    </w:p>
    <w:bookmarkStart w:id="82" w:name="fn13"/>
    <w:bookmarkEnd w:id="82"/>
    <w:p>
      <w:pPr>
        <w:numPr>
          <w:ilvl w:val="0"/>
          <w:numId w:val="30"/>
        </w:numPr>
        <w:spacing w:line="360" w:after="210" w:lineRule="auto"/>
      </w:pPr>
      <w:hyperlink r:id="rId18">
        <w:r>
          <w:rPr>
            <w:rFonts w:eastAsia="inter" w:cs="inter" w:ascii="inter" w:hAnsi="inter"/>
            <w:color w:val="#000"/>
            <w:sz w:val="18"/>
            <w:u w:val="single"/>
          </w:rPr>
          <w:t xml:space="preserve">https://mirror1.dsedj.gov.mo/tplan/2020/plan/C102.pdf</w:t>
        </w:r>
      </w:hyperlink>
      <w:r>
        <w:rPr>
          <w:rFonts w:eastAsia="inter" w:cs="inter" w:ascii="inter" w:hAnsi="inter"/>
          <w:color w:val="000000"/>
          <w:sz w:val="18"/>
        </w:rPr>
        <w:t xml:space="preserve"> </w:t>
      </w:r>
    </w:p>
    <w:bookmarkStart w:id="83" w:name="fn14"/>
    <w:bookmarkEnd w:id="83"/>
    <w:p>
      <w:pPr>
        <w:numPr>
          <w:ilvl w:val="0"/>
          <w:numId w:val="30"/>
        </w:numPr>
        <w:spacing w:line="360" w:after="210" w:lineRule="auto"/>
      </w:pPr>
      <w:hyperlink r:id="rId19">
        <w:r>
          <w:rPr>
            <w:rFonts w:eastAsia="inter" w:cs="inter" w:ascii="inter" w:hAnsi="inter"/>
            <w:color w:val="#000"/>
            <w:sz w:val="18"/>
            <w:u w:val="single"/>
          </w:rPr>
          <w:t xml:space="preserve">https://scholars.cityu.edu.hk/en/publications/the-acquisition-of-english-grammar-and-phonology-by-cantonese-esl/</w:t>
        </w:r>
      </w:hyperlink>
      <w:r>
        <w:rPr>
          <w:rFonts w:eastAsia="inter" w:cs="inter" w:ascii="inter" w:hAnsi="inter"/>
          <w:color w:val="000000"/>
          <w:sz w:val="18"/>
        </w:rPr>
        <w:t xml:space="preserve"> </w:t>
      </w:r>
    </w:p>
    <w:bookmarkStart w:id="84" w:name="fn15"/>
    <w:bookmarkEnd w:id="84"/>
    <w:p>
      <w:pPr>
        <w:numPr>
          <w:ilvl w:val="0"/>
          <w:numId w:val="30"/>
        </w:numPr>
        <w:spacing w:line="360" w:after="210" w:lineRule="auto"/>
      </w:pPr>
      <w:hyperlink r:id="rId20">
        <w:r>
          <w:rPr>
            <w:rFonts w:eastAsia="inter" w:cs="inter" w:ascii="inter" w:hAnsi="inter"/>
            <w:color w:val="#000"/>
            <w:sz w:val="18"/>
            <w:u w:val="single"/>
          </w:rPr>
          <w:t xml:space="preserve">https://kctang.com.hk/web/common-errors-use-english</w:t>
        </w:r>
      </w:hyperlink>
      <w:r>
        <w:rPr>
          <w:rFonts w:eastAsia="inter" w:cs="inter" w:ascii="inter" w:hAnsi="inter"/>
          <w:color w:val="000000"/>
          <w:sz w:val="18"/>
        </w:rPr>
        <w:t xml:space="preserve"> </w:t>
      </w:r>
    </w:p>
    <w:bookmarkStart w:id="85" w:name="fn16"/>
    <w:bookmarkEnd w:id="85"/>
    <w:p>
      <w:pPr>
        <w:numPr>
          <w:ilvl w:val="0"/>
          <w:numId w:val="30"/>
        </w:numPr>
        <w:spacing w:line="360" w:after="210" w:lineRule="auto"/>
      </w:pPr>
      <w:hyperlink r:id="rId21">
        <w:r>
          <w:rPr>
            <w:rFonts w:eastAsia="inter" w:cs="inter" w:ascii="inter" w:hAnsi="inter"/>
            <w:color w:val="#000"/>
            <w:sz w:val="18"/>
            <w:u w:val="single"/>
          </w:rPr>
          <w:t xml:space="preserve">https://www.britishaccentacademy.com/most-common-english-pronunciation-errors-made-by-cantonese-speakers/</w:t>
        </w:r>
      </w:hyperlink>
      <w:r>
        <w:rPr>
          <w:rFonts w:eastAsia="inter" w:cs="inter" w:ascii="inter" w:hAnsi="inter"/>
          <w:color w:val="000000"/>
          <w:sz w:val="18"/>
        </w:rPr>
        <w:t xml:space="preserve"> </w:t>
      </w:r>
    </w:p>
    <w:bookmarkStart w:id="86" w:name="fn17"/>
    <w:bookmarkEnd w:id="86"/>
    <w:p>
      <w:pPr>
        <w:numPr>
          <w:ilvl w:val="0"/>
          <w:numId w:val="30"/>
        </w:numPr>
        <w:spacing w:line="360" w:after="210" w:lineRule="auto"/>
      </w:pPr>
      <w:hyperlink r:id="rId22">
        <w:r>
          <w:rPr>
            <w:rFonts w:eastAsia="inter" w:cs="inter" w:ascii="inter" w:hAnsi="inter"/>
            <w:color w:val="#000"/>
            <w:sz w:val="18"/>
            <w:u w:val="single"/>
          </w:rPr>
          <w:t xml:space="preserve">https://iccomipe.org/9-common-grammar-mistakes-in-english-and-how-to-avoid-them/</w:t>
        </w:r>
      </w:hyperlink>
      <w:r>
        <w:rPr>
          <w:rFonts w:eastAsia="inter" w:cs="inter" w:ascii="inter" w:hAnsi="inter"/>
          <w:color w:val="000000"/>
          <w:sz w:val="18"/>
        </w:rPr>
        <w:t xml:space="preserve"> </w:t>
      </w:r>
    </w:p>
    <w:bookmarkStart w:id="87" w:name="fn18"/>
    <w:bookmarkEnd w:id="87"/>
    <w:p>
      <w:pPr>
        <w:numPr>
          <w:ilvl w:val="0"/>
          <w:numId w:val="30"/>
        </w:numPr>
        <w:spacing w:line="360" w:after="210" w:lineRule="auto"/>
      </w:pPr>
      <w:hyperlink r:id="rId23">
        <w:r>
          <w:rPr>
            <w:rFonts w:eastAsia="inter" w:cs="inter" w:ascii="inter" w:hAnsi="inter"/>
            <w:color w:val="#000"/>
            <w:sz w:val="18"/>
            <w:u w:val="single"/>
          </w:rPr>
          <w:t xml:space="preserve">https://www.taylorfrancis.com/books/mono/10.4324/9781003252498/acquisition-english-grammar-phonology-cantonese-esl-learners-alice-yin-wa-chan</w:t>
        </w:r>
      </w:hyperlink>
      <w:r>
        <w:rPr>
          <w:rFonts w:eastAsia="inter" w:cs="inter" w:ascii="inter" w:hAnsi="inter"/>
          <w:color w:val="000000"/>
          <w:sz w:val="18"/>
        </w:rPr>
        <w:t xml:space="preserve"> </w:t>
      </w:r>
    </w:p>
    <w:bookmarkStart w:id="88" w:name="fn19"/>
    <w:bookmarkEnd w:id="88"/>
    <w:p>
      <w:pPr>
        <w:numPr>
          <w:ilvl w:val="0"/>
          <w:numId w:val="30"/>
        </w:numPr>
        <w:spacing w:line="360" w:after="210" w:lineRule="auto"/>
      </w:pPr>
      <w:hyperlink r:id="rId24">
        <w:r>
          <w:rPr>
            <w:rFonts w:eastAsia="inter" w:cs="inter" w:ascii="inter" w:hAnsi="inter"/>
            <w:color w:val="#000"/>
            <w:sz w:val="18"/>
            <w:u w:val="single"/>
          </w:rPr>
          <w:t xml:space="preserve">https://www.sciencedirect.com/science/article/pii/S0022096524000237</w:t>
        </w:r>
      </w:hyperlink>
      <w:r>
        <w:rPr>
          <w:rFonts w:eastAsia="inter" w:cs="inter" w:ascii="inter" w:hAnsi="inter"/>
          <w:color w:val="000000"/>
          <w:sz w:val="18"/>
        </w:rPr>
        <w:t xml:space="preserve"> </w:t>
      </w:r>
    </w:p>
    <w:bookmarkStart w:id="89" w:name="fn20"/>
    <w:bookmarkEnd w:id="89"/>
    <w:p>
      <w:pPr>
        <w:numPr>
          <w:ilvl w:val="0"/>
          <w:numId w:val="30"/>
        </w:numPr>
        <w:spacing w:line="360" w:after="210" w:lineRule="auto"/>
      </w:pPr>
      <w:hyperlink r:id="rId25">
        <w:r>
          <w:rPr>
            <w:rFonts w:eastAsia="inter" w:cs="inter" w:ascii="inter" w:hAnsi="inter"/>
            <w:color w:val="#000"/>
            <w:sz w:val="18"/>
            <w:u w:val="single"/>
          </w:rPr>
          <w:t xml:space="preserve">https://www.studocu.com/hk/document/the-university-of-hong-kong/business-communication/session-5-handout-common-grammar-errors-in-business-communication/85118656</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abstractNum>
  <w:abstractNum w:abstractNumId="3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1ba0bfdfaee32a33511707fda20d0e55628aa4c.png" TargetMode="Internal"/><Relationship Id="rId6" Type="http://schemas.openxmlformats.org/officeDocument/2006/relationships/hyperlink" Target="https://hongkongtesol.com/blog/top-10-grammar-mistakes-hong-kong-part-1" TargetMode="External"/><Relationship Id="rId7" Type="http://schemas.openxmlformats.org/officeDocument/2006/relationships/hyperlink" Target="https://simplyenglish.com.hk/common-errors-hk-students/" TargetMode="External"/><Relationship Id="rId8" Type="http://schemas.openxmlformats.org/officeDocument/2006/relationships/hyperlink" Target="https://caes.hku.hk/ajal/index.php/ajal/article/download/432/467/1649" TargetMode="External"/><Relationship Id="rId9" Type="http://schemas.openxmlformats.org/officeDocument/2006/relationships/hyperlink" Target="https://www.cambridge.org/core/journals/english-today/article/syntactic-variation-in-hong-kong-english/9E527EA694A33CFE6D3A16CCE9FCDC43" TargetMode="External"/><Relationship Id="rId10" Type="http://schemas.openxmlformats.org/officeDocument/2006/relationships/hyperlink" Target="https://www.lc.cityu.edu.hk/ELSS/Resource/cce1/index.htm" TargetMode="External"/><Relationship Id="rId11" Type="http://schemas.openxmlformats.org/officeDocument/2006/relationships/hyperlink" Target="https://elc.polyu.edu.hk/cill/eap/2004/u1/nouncorrection.aspx" TargetMode="External"/><Relationship Id="rId12" Type="http://schemas.openxmlformats.org/officeDocument/2006/relationships/hyperlink" Target="https://en.wikipedia.org/wiki/Cantonese_grammar" TargetMode="External"/><Relationship Id="rId13" Type="http://schemas.openxmlformats.org/officeDocument/2006/relationships/hyperlink" Target="https://wacclearinghouse.org/docs/jbw/v1n1/lay.pdf" TargetMode="External"/><Relationship Id="rId14" Type="http://schemas.openxmlformats.org/officeDocument/2006/relationships/hyperlink" Target="https://hongkongtesol.com/blog/top-10-grammar-mistakes-hong-kong-part-2" TargetMode="External"/><Relationship Id="rId15" Type="http://schemas.openxmlformats.org/officeDocument/2006/relationships/hyperlink" Target="https://www.cantoneseclass101.com/blog/2020/12/11/common-cantonese-mistakes/" TargetMode="External"/><Relationship Id="rId16" Type="http://schemas.openxmlformats.org/officeDocument/2006/relationships/hyperlink" Target="https://scholars.cityu.edu.hk/en/publications/the-acquisition-of-english-grammar-and-phonology-by-cantonese-esl" TargetMode="External"/><Relationship Id="rId17" Type="http://schemas.openxmlformats.org/officeDocument/2006/relationships/hyperlink" Target="https://eccantonese123.rako.co/en/blog/Common_Mistakes_English_Speakers_Make_When_Learning_Cantonese" TargetMode="External"/><Relationship Id="rId18" Type="http://schemas.openxmlformats.org/officeDocument/2006/relationships/hyperlink" Target="https://mirror1.dsedj.gov.mo/tplan/2020/plan/C102.pdf" TargetMode="External"/><Relationship Id="rId19" Type="http://schemas.openxmlformats.org/officeDocument/2006/relationships/hyperlink" Target="https://scholars.cityu.edu.hk/en/publications/the-acquisition-of-english-grammar-and-phonology-by-cantonese-esl/" TargetMode="External"/><Relationship Id="rId20" Type="http://schemas.openxmlformats.org/officeDocument/2006/relationships/hyperlink" Target="https://kctang.com.hk/web/common-errors-use-english" TargetMode="External"/><Relationship Id="rId21" Type="http://schemas.openxmlformats.org/officeDocument/2006/relationships/hyperlink" Target="https://www.britishaccentacademy.com/most-common-english-pronunciation-errors-made-by-cantonese-speakers/" TargetMode="External"/><Relationship Id="rId22" Type="http://schemas.openxmlformats.org/officeDocument/2006/relationships/hyperlink" Target="https://iccomipe.org/9-common-grammar-mistakes-in-english-and-how-to-avoid-them/" TargetMode="External"/><Relationship Id="rId23" Type="http://schemas.openxmlformats.org/officeDocument/2006/relationships/hyperlink" Target="https://www.taylorfrancis.com/books/mono/10.4324/9781003252498/acquisition-english-grammar-phonology-cantonese-esl-learners-alice-yin-wa-chan" TargetMode="External"/><Relationship Id="rId24" Type="http://schemas.openxmlformats.org/officeDocument/2006/relationships/hyperlink" Target="https://www.sciencedirect.com/science/article/pii/S0022096524000237" TargetMode="External"/><Relationship Id="rId25" Type="http://schemas.openxmlformats.org/officeDocument/2006/relationships/hyperlink" Target="https://www.studocu.com/hk/document/the-university-of-hong-kong/business-communication/session-5-handout-common-grammar-errors-in-business-communication/85118656"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2025-12-11T14:47:56.072Z</dcterms:created>
  <dcterms:modified xsi:type="dcterms:W3CDTF">2025-12-11T14:47:56.072Z</dcterms:modified>
</cp:coreProperties>
</file>