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MEPERS:</w:t>
      </w:r>
      <w:r>
        <w:t xml:space="preserve"> </w:t>
      </w:r>
      <w:r>
        <w:t xml:space="preserve">Preliminary</w:t>
      </w:r>
      <w:r>
        <w:t xml:space="preserve"> </w:t>
      </w:r>
      <w:r>
        <w:t xml:space="preserve">results</w:t>
      </w:r>
      <w:r>
        <w:t xml:space="preserve"> </w:t>
      </w:r>
      <w:r>
        <w:t xml:space="preserve">for</w:t>
      </w:r>
      <w:r>
        <w:t xml:space="preserve"> </w:t>
      </w:r>
      <w:r>
        <w:t xml:space="preserve">discussion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of-key-risk-sharing-features"/>
      <w:r>
        <w:rPr>
          <w:b/>
        </w:rPr>
        <w:t xml:space="preserve">Overview of key risk-sharing features</w:t>
      </w:r>
      <w:bookmarkEnd w:id="20"/>
    </w:p>
    <w:p>
      <w:pPr>
        <w:pStyle w:val="FirstParagraph"/>
      </w:pPr>
      <w:r>
        <w:t xml:space="preserve">Key policy features:</w:t>
      </w:r>
    </w:p>
    <w:p>
      <w:pPr>
        <w:numPr>
          <w:ilvl w:val="0"/>
          <w:numId w:val="1001"/>
        </w:numPr>
      </w:pPr>
      <w:r>
        <w:rPr>
          <w:b/>
        </w:rPr>
        <w:t xml:space="preserve">ADC shared between employer and employees</w:t>
      </w:r>
      <w:r>
        <w:t xml:space="preserve">. Normal costs and amortization costs for UAAL created after 7/1/2018 shall be paid through employer and employee contributions allocated</w:t>
      </w:r>
      <w:r>
        <w:t xml:space="preserve"> </w:t>
      </w:r>
      <w:r>
        <w:rPr>
          <w:b/>
        </w:rPr>
        <w:t xml:space="preserve">58% to the employer and 42% to the employee</w:t>
      </w:r>
      <w:r>
        <w:t xml:space="preserve">.</w:t>
      </w:r>
    </w:p>
    <w:p>
      <w:pPr>
        <w:numPr>
          <w:ilvl w:val="0"/>
          <w:numId w:val="1001"/>
        </w:numPr>
      </w:pPr>
      <w:r>
        <w:rPr>
          <w:b/>
        </w:rPr>
        <w:t xml:space="preserve">Contribution caps</w:t>
      </w:r>
      <w:r>
        <w:t xml:space="preserve">. The employer and employee contribution rates are capped at 12.5% and 9%, respectively.</w:t>
      </w:r>
    </w:p>
    <w:p>
      <w:pPr>
        <w:numPr>
          <w:ilvl w:val="0"/>
          <w:numId w:val="1001"/>
        </w:numPr>
      </w:pPr>
      <w:r>
        <w:rPr>
          <w:b/>
        </w:rPr>
        <w:t xml:space="preserve">Variable COLA</w:t>
      </w:r>
      <w:r>
        <w:t xml:space="preserve">. If the ADC rates exceeds the caps (ADC rate &gt;= 21.5%), COLA will be reduced to maintain</w:t>
      </w:r>
      <w:r>
        <w:t xml:space="preserve"> </w:t>
      </w:r>
      <w:r>
        <w:t xml:space="preserve">“</w:t>
      </w:r>
      <w:r>
        <w:t xml:space="preserve">cost-neutrality</w:t>
      </w:r>
      <w:r>
        <w:t xml:space="preserve">”</w:t>
      </w:r>
      <w:r>
        <w:t xml:space="preserve">, but not below zero. If the reduction otherwise would have been below zero, then zero COLA will be applied and capped contributions will be paid in following years until</w:t>
      </w:r>
      <w:r>
        <w:t xml:space="preserve"> </w:t>
      </w:r>
      <w:r>
        <w:t xml:space="preserve">“</w:t>
      </w:r>
      <w:r>
        <w:t xml:space="preserve">cost neutrality</w:t>
      </w:r>
      <w:r>
        <w:t xml:space="preserve">”</w:t>
      </w:r>
      <w:r>
        <w:t xml:space="preserve"> </w:t>
      </w:r>
      <w:r>
        <w:t xml:space="preserve">is achieved.</w:t>
      </w:r>
    </w:p>
    <w:p>
      <w:pPr>
        <w:pStyle w:val="FirstParagraph"/>
      </w:pPr>
      <w:r>
        <w:rPr>
          <w:b/>
        </w:rPr>
        <w:t xml:space="preserve">Note</w:t>
      </w:r>
      <w:r>
        <w:t xml:space="preserve">:</w:t>
      </w:r>
      <w:r>
        <w:t xml:space="preserve"> </w:t>
      </w:r>
      <w:r>
        <w:t xml:space="preserve">“</w:t>
      </w:r>
      <w:r>
        <w:t xml:space="preserve">Cost neutrality</w:t>
      </w:r>
      <w:r>
        <w:t xml:space="preserve">”</w:t>
      </w:r>
      <w:r>
        <w:t xml:space="preserve"> </w:t>
      </w:r>
      <w:r>
        <w:t xml:space="preserve">is the concept used in the official plan rules. For modeling purposes, our undertading is that cost neutrality is achieved when the ADC rate is equal to the actual total contribution rate. (caps not binding.)</w:t>
      </w:r>
    </w:p>
    <w:p>
      <w:pPr>
        <w:pStyle w:val="Heading1"/>
      </w:pPr>
      <w:bookmarkStart w:id="21" w:name="summary-of-modeling-approach"/>
      <w:r>
        <w:rPr>
          <w:b/>
        </w:rPr>
        <w:t xml:space="preserve">Summary of modeling approach</w:t>
      </w:r>
      <w:bookmarkEnd w:id="21"/>
    </w:p>
    <w:p>
      <w:pPr>
        <w:pStyle w:val="Heading2"/>
      </w:pPr>
      <w:bookmarkStart w:id="22" w:name="policy-scenarios"/>
      <w:r>
        <w:t xml:space="preserve">Policy scenarios</w:t>
      </w:r>
      <w:bookmarkEnd w:id="22"/>
    </w:p>
    <w:p>
      <w:pPr>
        <w:pStyle w:val="FirstParagraph"/>
      </w:pPr>
      <w:r>
        <w:t xml:space="preserve">To examine the impact of the MEPERS risk-sharing features on plan costs, funded status, and member benefit, we run the simulation under the following three policy scenarios.</w:t>
      </w:r>
    </w:p>
    <w:p>
      <w:pPr>
        <w:numPr>
          <w:ilvl w:val="0"/>
          <w:numId w:val="1002"/>
        </w:numPr>
      </w:pPr>
      <w:r>
        <w:rPr>
          <w:b/>
        </w:rPr>
        <w:t xml:space="preserve">Shared-ADC and variable COLA</w:t>
      </w:r>
      <w:r>
        <w:t xml:space="preserve"> </w:t>
      </w:r>
      <w:r>
        <w:t xml:space="preserve">(MEPERS policy)</w:t>
      </w:r>
    </w:p>
    <w:p>
      <w:pPr>
        <w:numPr>
          <w:ilvl w:val="1"/>
          <w:numId w:val="1003"/>
        </w:numPr>
      </w:pPr>
      <w:r>
        <w:t xml:space="preserve">EEC = 48% * ADC, capped at 9% of payroll</w:t>
      </w:r>
    </w:p>
    <w:p>
      <w:pPr>
        <w:numPr>
          <w:ilvl w:val="1"/>
          <w:numId w:val="1003"/>
        </w:numPr>
      </w:pPr>
      <w:r>
        <w:t xml:space="preserve">ERC = 52% * ADC, capped at 12.5% of payroll</w:t>
      </w:r>
    </w:p>
    <w:p>
      <w:pPr>
        <w:numPr>
          <w:ilvl w:val="1"/>
          <w:numId w:val="1003"/>
        </w:numPr>
      </w:pPr>
      <w:r>
        <w:t xml:space="preserve">COLA: 0~2.5% (cola assumption valuation: 1.91%)</w:t>
      </w:r>
    </w:p>
    <w:p>
      <w:pPr>
        <w:numPr>
          <w:ilvl w:val="0"/>
          <w:numId w:val="1002"/>
        </w:numPr>
      </w:pPr>
      <w:r>
        <w:rPr>
          <w:b/>
        </w:rPr>
        <w:t xml:space="preserve">Shared ADC and fixed COLA</w:t>
      </w:r>
    </w:p>
    <w:p>
      <w:pPr>
        <w:numPr>
          <w:ilvl w:val="1"/>
          <w:numId w:val="1004"/>
        </w:numPr>
      </w:pPr>
      <w:r>
        <w:t xml:space="preserve">The shared-ADC policy is the same as 1.</w:t>
      </w:r>
    </w:p>
    <w:p>
      <w:pPr>
        <w:numPr>
          <w:ilvl w:val="1"/>
          <w:numId w:val="1004"/>
        </w:numPr>
      </w:pPr>
      <w:r>
        <w:t xml:space="preserve">COLA rate is fiexed at 1.91%.</w:t>
      </w:r>
    </w:p>
    <w:p>
      <w:pPr>
        <w:numPr>
          <w:ilvl w:val="0"/>
          <w:numId w:val="1002"/>
        </w:numPr>
      </w:pPr>
      <w:r>
        <w:rPr>
          <w:b/>
        </w:rPr>
        <w:t xml:space="preserve">EEC as a fixed percentage of normal cost</w:t>
      </w:r>
    </w:p>
    <w:p>
      <w:pPr>
        <w:numPr>
          <w:ilvl w:val="1"/>
          <w:numId w:val="1005"/>
        </w:numPr>
        <w:pStyle w:val="Compact"/>
      </w:pPr>
      <w:r>
        <w:t xml:space="preserve">Only normal cost is shared. EEC = 48% of normal cost (about 6~7% of payroll). Amortization costs are not shared with employees.</w:t>
      </w:r>
    </w:p>
    <w:p>
      <w:pPr>
        <w:numPr>
          <w:ilvl w:val="1"/>
          <w:numId w:val="1005"/>
        </w:numPr>
        <w:pStyle w:val="Compact"/>
      </w:pPr>
      <w:r>
        <w:t xml:space="preserve">COLA rate is fiexed at 1.91%.</w:t>
      </w:r>
    </w:p>
    <w:p>
      <w:pPr>
        <w:pStyle w:val="FirstParagraph"/>
      </w:pPr>
      <w:r>
        <w:rPr>
          <w:b/>
        </w:rPr>
        <w:t xml:space="preserve">Note</w:t>
      </w:r>
      <w:r>
        <w:t xml:space="preserve">: In 1 and 2, EEC rate can fall to as low as 0%. To make 3 comparable to 1 and 2, EEC are allowed to fall below 48% of NC if the total ADC rate is lower than 48% of NC due to negative amortization cost; EEC rate is still floored at 0%.</w:t>
      </w:r>
    </w:p>
    <w:p>
      <w:pPr>
        <w:pStyle w:val="BodyText"/>
      </w:pPr>
      <w:r>
        <w:t xml:space="preserve">Additional variants will be examined in future analysis.</w:t>
      </w:r>
    </w:p>
    <w:p>
      <w:pPr>
        <w:pStyle w:val="Heading2"/>
      </w:pPr>
      <w:bookmarkStart w:id="23" w:name="investment-return-scenarios"/>
      <w:r>
        <w:t xml:space="preserve">Investment return scenarios</w:t>
      </w:r>
      <w:bookmarkEnd w:id="23"/>
    </w:p>
    <w:p>
      <w:pPr>
        <w:numPr>
          <w:ilvl w:val="0"/>
          <w:numId w:val="1006"/>
        </w:numPr>
        <w:pStyle w:val="Compact"/>
      </w:pPr>
      <w:r>
        <w:t xml:space="preserve">Stochastic: 7% expected mean return, 12% standard deviation. (to be replaced by scearnios and capital market assumptions provided by Pew)</w:t>
      </w:r>
    </w:p>
    <w:p>
      <w:pPr>
        <w:pStyle w:val="Heading2"/>
      </w:pPr>
      <w:bookmarkStart w:id="24" w:name="model-assumptions-and-simplifications"/>
      <w:r>
        <w:t xml:space="preserve">Model assumptions and Simplifications</w:t>
      </w:r>
      <w:bookmarkEnd w:id="24"/>
    </w:p>
    <w:p>
      <w:pPr>
        <w:numPr>
          <w:ilvl w:val="0"/>
          <w:numId w:val="1007"/>
        </w:numPr>
      </w:pPr>
      <w:r>
        <w:t xml:space="preserve">Benefit rules for Tier 1 Regular members are applied to all members. We will model three tiers in later versions: Tier 1 Regular (pre-2014 members), Tier 2 Regular (post-2014 members), and Speical. For</w:t>
      </w:r>
    </w:p>
    <w:p>
      <w:pPr>
        <w:numPr>
          <w:ilvl w:val="0"/>
          <w:numId w:val="1007"/>
        </w:numPr>
      </w:pPr>
      <w:r>
        <w:t xml:space="preserve">Benefit rules for Tier 1 Regular members:</w:t>
      </w:r>
    </w:p>
    <w:p>
      <w:pPr>
        <w:numPr>
          <w:ilvl w:val="1"/>
          <w:numId w:val="1008"/>
        </w:numPr>
      </w:pPr>
      <w:r>
        <w:t xml:space="preserve">Normal retirement age: 60</w:t>
      </w:r>
    </w:p>
    <w:p>
      <w:pPr>
        <w:numPr>
          <w:ilvl w:val="1"/>
          <w:numId w:val="1008"/>
        </w:numPr>
      </w:pPr>
      <w:r>
        <w:t xml:space="preserve">benefit factor: 2% per year of service</w:t>
      </w:r>
    </w:p>
    <w:p>
      <w:pPr>
        <w:numPr>
          <w:ilvl w:val="0"/>
          <w:numId w:val="1007"/>
        </w:numPr>
      </w:pPr>
      <w:r>
        <w:t xml:space="preserve">Key valuation methods and assumptions:</w:t>
      </w:r>
    </w:p>
    <w:p>
      <w:pPr>
        <w:numPr>
          <w:ilvl w:val="1"/>
          <w:numId w:val="1009"/>
        </w:numPr>
      </w:pPr>
      <w:r>
        <w:t xml:space="preserve">Discount rate: 6.75%</w:t>
      </w:r>
    </w:p>
    <w:p>
      <w:pPr>
        <w:numPr>
          <w:ilvl w:val="1"/>
          <w:numId w:val="1009"/>
        </w:numPr>
      </w:pPr>
      <w:r>
        <w:t xml:space="preserve">Cost method: EAN</w:t>
      </w:r>
    </w:p>
    <w:p>
      <w:pPr>
        <w:numPr>
          <w:ilvl w:val="1"/>
          <w:numId w:val="1009"/>
        </w:numPr>
      </w:pPr>
      <w:r>
        <w:t xml:space="preserve">Asset smoothing: 3 years</w:t>
      </w:r>
    </w:p>
    <w:p>
      <w:pPr>
        <w:numPr>
          <w:ilvl w:val="1"/>
          <w:numId w:val="1009"/>
        </w:numPr>
      </w:pPr>
      <w:r>
        <w:t xml:space="preserve">Amortization of UAAL: 20-year level-percent closed amortization</w:t>
      </w:r>
    </w:p>
    <w:p>
      <w:pPr>
        <w:pStyle w:val="Heading2"/>
      </w:pPr>
      <w:bookmarkStart w:id="25" w:name="Xd7640d0cf1ceb4959dc7c303ac5d6f0063fce8b"/>
      <w:r>
        <w:t xml:space="preserve">Questions about valuation with variable COLA</w:t>
      </w:r>
      <w:bookmarkEnd w:id="25"/>
    </w:p>
    <w:p>
      <w:pPr>
        <w:pStyle w:val="FirstParagraph"/>
      </w:pPr>
      <w:r>
        <w:t xml:space="preserve">We need to better understand how the adjustable COLA is reflected in actuarial valuation calculations of liability in MEPERS. We are not sure what assumption they use about future COLAs when calculating the COLA reduction needed to bring the contribution rates under the caps. There are at least two possibilities:</w:t>
      </w:r>
    </w:p>
    <w:p>
      <w:pPr>
        <w:numPr>
          <w:ilvl w:val="0"/>
          <w:numId w:val="1010"/>
        </w:numPr>
      </w:pPr>
      <w:r>
        <w:t xml:space="preserve">Assume that the reduced COLA will be applied only in the next year, and then use the regular COLA assumptions (1.91%) for following years.</w:t>
      </w:r>
    </w:p>
    <w:p>
      <w:pPr>
        <w:numPr>
          <w:ilvl w:val="0"/>
          <w:numId w:val="1010"/>
        </w:numPr>
      </w:pPr>
      <w:r>
        <w:t xml:space="preserve">Assume that the reduced COLA will be applied for all following years (this is like what SDRS does).</w:t>
      </w:r>
    </w:p>
    <w:p>
      <w:pPr>
        <w:pStyle w:val="FirstParagraph"/>
      </w:pPr>
      <w:r>
        <w:t xml:space="preserve">Also, we assume that the COLA reduction and suspension are only applied in the valuation of retiree liabilities, but not the active member liabilities.</w:t>
      </w:r>
    </w:p>
    <w:p>
      <w:pPr>
        <w:pStyle w:val="Heading1"/>
      </w:pPr>
      <w:bookmarkStart w:id="26" w:name="simulation-results"/>
      <w:r>
        <w:rPr>
          <w:b/>
        </w:rPr>
        <w:t xml:space="preserve">Simulation results</w:t>
      </w:r>
      <w:bookmarkEnd w:id="26"/>
    </w:p>
    <w:p>
      <w:pPr>
        <w:pStyle w:val="Heading2"/>
      </w:pPr>
      <w:bookmarkStart w:id="27" w:name="analysis-of-contributions"/>
      <w:r>
        <w:t xml:space="preserve">Analysis of contributions</w:t>
      </w:r>
      <w:bookmarkEnd w:id="27"/>
    </w:p>
    <w:p>
      <w:pPr>
        <w:pStyle w:val="Heading3"/>
      </w:pPr>
      <w:bookmarkStart w:id="28" w:name="distribution-of-long-term-costs"/>
      <w:r>
        <w:t xml:space="preserve">Distribution of long-term costs</w:t>
      </w:r>
      <w:bookmarkEnd w:id="28"/>
    </w:p>
    <w:p>
      <w:pPr>
        <w:pStyle w:val="FirstParagraph"/>
      </w:pPr>
      <w:r>
        <w:t xml:space="preserve">(Click tabs below to show tables)</w:t>
      </w:r>
    </w:p>
    <w:p>
      <w:pPr>
        <w:pStyle w:val="Heading4"/>
      </w:pPr>
      <w:bookmarkStart w:id="29" w:name="X729fe5102cf22c7fa4e3e7d3f23c31bd41123f2"/>
      <w:r>
        <w:t xml:space="preserve">PV of total contribution with terminal UAAL</w:t>
      </w:r>
      <w:bookmarkEnd w:id="29"/>
    </w:p>
    <w:bookmarkStart w:id="30" w:name="bdrayauhic"/>
    <w:p>
      <w:pPr>
        <w:pStyle w:val="FirstParagraph"/>
      </w:pPr>
      <w:r>
        <w:t xml:space="preserve">Distribution of 30-year present value of total contribution plus terminal UAAL</w:t>
      </w:r>
    </w:p>
    <w:p>
      <w:pPr>
        <w:pStyle w:val="BodyText"/>
      </w:pPr>
      <w:r>
        <w:t xml:space="preserve">Policy</w:t>
      </w:r>
    </w:p>
    <w:p>
      <w:pPr>
        <w:pStyle w:val="BodyText"/>
      </w:pPr>
      <w:r>
        <w:t xml:space="preserve">90th</w:t>
      </w:r>
    </w:p>
    <w:p>
      <w:pPr>
        <w:pStyle w:val="BodyText"/>
      </w:pPr>
      <w:r>
        <w:t xml:space="preserve">75th</w:t>
      </w:r>
    </w:p>
    <w:p>
      <w:pPr>
        <w:pStyle w:val="BodyText"/>
      </w:pPr>
      <w:r>
        <w:t xml:space="preserve">50th</w:t>
      </w:r>
    </w:p>
    <w:p>
      <w:pPr>
        <w:pStyle w:val="BodyText"/>
      </w:pPr>
      <w:r>
        <w:t xml:space="preserve">25th</w:t>
      </w:r>
    </w:p>
    <w:p>
      <w:pPr>
        <w:pStyle w:val="BodyText"/>
      </w:pPr>
      <w:r>
        <w:t xml:space="preserve">10th</w:t>
      </w:r>
    </w:p>
    <w:p>
      <w:pPr>
        <w:pStyle w:val="BodyText"/>
      </w:pPr>
      <w:r>
        <w:t xml:space="preserve">Shared ADC; caps;</w:t>
      </w:r>
      <w:r>
        <w:t xml:space="preserve"> </w:t>
      </w:r>
      <w:r>
        <w:t xml:space="preserve">Variable COLA (MEPERS)</w:t>
      </w:r>
    </w:p>
    <w:p>
      <w:pPr>
        <w:pStyle w:val="BodyText"/>
      </w:pPr>
      <w:r>
        <w:t xml:space="preserve">139.4</w:t>
      </w:r>
    </w:p>
    <w:p>
      <w:pPr>
        <w:pStyle w:val="BodyText"/>
      </w:pPr>
      <w:r>
        <w:t xml:space="preserve">126.0</w:t>
      </w:r>
    </w:p>
    <w:p>
      <w:pPr>
        <w:pStyle w:val="BodyText"/>
      </w:pPr>
      <w:r>
        <w:t xml:space="preserve">100.0</w:t>
      </w:r>
    </w:p>
    <w:p>
      <w:pPr>
        <w:pStyle w:val="BodyText"/>
      </w:pPr>
      <w:r>
        <w:t xml:space="preserve">68.8</w:t>
      </w:r>
    </w:p>
    <w:p>
      <w:pPr>
        <w:pStyle w:val="BodyText"/>
      </w:pPr>
      <w:r>
        <w:t xml:space="preserve">45.6</w:t>
      </w:r>
    </w:p>
    <w:p>
      <w:pPr>
        <w:pStyle w:val="BodyText"/>
      </w:pPr>
      <w:r>
        <w:t xml:space="preserve">Shared ADC; caps;</w:t>
      </w:r>
      <w:r>
        <w:t xml:space="preserve"> </w:t>
      </w:r>
      <w:r>
        <w:t xml:space="preserve">Fixed COLA</w:t>
      </w:r>
    </w:p>
    <w:p>
      <w:pPr>
        <w:pStyle w:val="BodyText"/>
      </w:pPr>
      <w:r>
        <w:t xml:space="preserve">141.3</w:t>
      </w:r>
    </w:p>
    <w:p>
      <w:pPr>
        <w:pStyle w:val="BodyText"/>
      </w:pPr>
      <w:r>
        <w:t xml:space="preserve">129.4</w:t>
      </w:r>
    </w:p>
    <w:p>
      <w:pPr>
        <w:pStyle w:val="BodyText"/>
      </w:pPr>
      <w:r>
        <w:t xml:space="preserve">97.5</w:t>
      </w:r>
    </w:p>
    <w:p>
      <w:pPr>
        <w:pStyle w:val="BodyText"/>
      </w:pPr>
      <w:r>
        <w:t xml:space="preserve">63.7</w:t>
      </w:r>
    </w:p>
    <w:p>
      <w:pPr>
        <w:pStyle w:val="BodyText"/>
      </w:pPr>
      <w:r>
        <w:t xml:space="preserve">43.0</w:t>
      </w:r>
    </w:p>
    <w:p>
      <w:pPr>
        <w:pStyle w:val="BodyText"/>
      </w:pPr>
      <w:r>
        <w:t xml:space="preserve">Shared NC; no caps;</w:t>
      </w:r>
      <w:r>
        <w:t xml:space="preserve"> </w:t>
      </w:r>
      <w:r>
        <w:t xml:space="preserve">Fixed COLA</w:t>
      </w:r>
    </w:p>
    <w:p>
      <w:pPr>
        <w:pStyle w:val="BodyText"/>
      </w:pPr>
      <w:r>
        <w:t xml:space="preserve">172.6</w:t>
      </w:r>
    </w:p>
    <w:p>
      <w:pPr>
        <w:pStyle w:val="BodyText"/>
      </w:pPr>
      <w:r>
        <w:t xml:space="preserve">139.6</w:t>
      </w:r>
    </w:p>
    <w:p>
      <w:pPr>
        <w:pStyle w:val="BodyText"/>
      </w:pPr>
      <w:r>
        <w:t xml:space="preserve">99.9</w:t>
      </w:r>
    </w:p>
    <w:p>
      <w:pPr>
        <w:pStyle w:val="BodyText"/>
      </w:pPr>
      <w:r>
        <w:t xml:space="preserve">65.6</w:t>
      </w:r>
    </w:p>
    <w:p>
      <w:pPr>
        <w:pStyle w:val="BodyText"/>
      </w:pPr>
      <w:r>
        <w:t xml:space="preserve">44.0</w:t>
      </w:r>
    </w:p>
    <w:bookmarkEnd w:id="30"/>
    <w:p>
      <w:pPr>
        <w:pStyle w:val="Heading4"/>
      </w:pPr>
      <w:bookmarkStart w:id="31" w:name="pv-of-employer-contribution"/>
      <w:r>
        <w:t xml:space="preserve">PV of employer contribution</w:t>
      </w:r>
      <w:bookmarkEnd w:id="31"/>
    </w:p>
    <w:bookmarkStart w:id="32" w:name="emektbbzlh"/>
    <w:p>
      <w:pPr>
        <w:pStyle w:val="FirstParagraph"/>
      </w:pPr>
      <w:r>
        <w:t xml:space="preserve">Distribution of 30-year present value of ERC</w:t>
      </w:r>
    </w:p>
    <w:p>
      <w:pPr>
        <w:pStyle w:val="BodyText"/>
      </w:pPr>
      <w:r>
        <w:t xml:space="preserve">Policy</w:t>
      </w:r>
    </w:p>
    <w:p>
      <w:pPr>
        <w:pStyle w:val="BodyText"/>
      </w:pPr>
      <w:r>
        <w:t xml:space="preserve">90th</w:t>
      </w:r>
    </w:p>
    <w:p>
      <w:pPr>
        <w:pStyle w:val="BodyText"/>
      </w:pPr>
      <w:r>
        <w:t xml:space="preserve">75th</w:t>
      </w:r>
    </w:p>
    <w:p>
      <w:pPr>
        <w:pStyle w:val="BodyText"/>
      </w:pPr>
      <w:r>
        <w:t xml:space="preserve">50th</w:t>
      </w:r>
    </w:p>
    <w:p>
      <w:pPr>
        <w:pStyle w:val="BodyText"/>
      </w:pPr>
      <w:r>
        <w:t xml:space="preserve">25th</w:t>
      </w:r>
    </w:p>
    <w:p>
      <w:pPr>
        <w:pStyle w:val="BodyText"/>
      </w:pPr>
      <w:r>
        <w:t xml:space="preserve">10th</w:t>
      </w:r>
    </w:p>
    <w:p>
      <w:pPr>
        <w:pStyle w:val="BodyText"/>
      </w:pPr>
      <w:r>
        <w:t xml:space="preserve">Shared ADC; caps;</w:t>
      </w:r>
      <w:r>
        <w:t xml:space="preserve"> </w:t>
      </w:r>
      <w:r>
        <w:t xml:space="preserve">Variable COLA (MEPERS)</w:t>
      </w:r>
    </w:p>
    <w:p>
      <w:pPr>
        <w:pStyle w:val="BodyText"/>
      </w:pPr>
      <w:r>
        <w:t xml:space="preserve">139.4</w:t>
      </w:r>
    </w:p>
    <w:p>
      <w:pPr>
        <w:pStyle w:val="BodyText"/>
      </w:pPr>
      <w:r>
        <w:t xml:space="preserve">126.0</w:t>
      </w:r>
    </w:p>
    <w:p>
      <w:pPr>
        <w:pStyle w:val="BodyText"/>
      </w:pPr>
      <w:r>
        <w:t xml:space="preserve">100.0</w:t>
      </w:r>
    </w:p>
    <w:p>
      <w:pPr>
        <w:pStyle w:val="BodyText"/>
      </w:pPr>
      <w:r>
        <w:t xml:space="preserve">68.8</w:t>
      </w:r>
    </w:p>
    <w:p>
      <w:pPr>
        <w:pStyle w:val="BodyText"/>
      </w:pPr>
      <w:r>
        <w:t xml:space="preserve">45.6</w:t>
      </w:r>
    </w:p>
    <w:p>
      <w:pPr>
        <w:pStyle w:val="BodyText"/>
      </w:pPr>
      <w:r>
        <w:t xml:space="preserve">Shared ADC; caps;</w:t>
      </w:r>
      <w:r>
        <w:t xml:space="preserve"> </w:t>
      </w:r>
      <w:r>
        <w:t xml:space="preserve">Fixed COLA</w:t>
      </w:r>
    </w:p>
    <w:p>
      <w:pPr>
        <w:pStyle w:val="BodyText"/>
      </w:pPr>
      <w:r>
        <w:t xml:space="preserve">141.3</w:t>
      </w:r>
    </w:p>
    <w:p>
      <w:pPr>
        <w:pStyle w:val="BodyText"/>
      </w:pPr>
      <w:r>
        <w:t xml:space="preserve">129.4</w:t>
      </w:r>
    </w:p>
    <w:p>
      <w:pPr>
        <w:pStyle w:val="BodyText"/>
      </w:pPr>
      <w:r>
        <w:t xml:space="preserve">97.5</w:t>
      </w:r>
    </w:p>
    <w:p>
      <w:pPr>
        <w:pStyle w:val="BodyText"/>
      </w:pPr>
      <w:r>
        <w:t xml:space="preserve">63.7</w:t>
      </w:r>
    </w:p>
    <w:p>
      <w:pPr>
        <w:pStyle w:val="BodyText"/>
      </w:pPr>
      <w:r>
        <w:t xml:space="preserve">43.0</w:t>
      </w:r>
    </w:p>
    <w:p>
      <w:pPr>
        <w:pStyle w:val="BodyText"/>
      </w:pPr>
      <w:r>
        <w:t xml:space="preserve">Shared NC; no caps;</w:t>
      </w:r>
      <w:r>
        <w:t xml:space="preserve"> </w:t>
      </w:r>
      <w:r>
        <w:t xml:space="preserve">Fixed COLA</w:t>
      </w:r>
    </w:p>
    <w:p>
      <w:pPr>
        <w:pStyle w:val="BodyText"/>
      </w:pPr>
      <w:r>
        <w:t xml:space="preserve">242.4</w:t>
      </w:r>
    </w:p>
    <w:p>
      <w:pPr>
        <w:pStyle w:val="BodyText"/>
      </w:pPr>
      <w:r>
        <w:t xml:space="preserve">187.4</w:t>
      </w:r>
    </w:p>
    <w:p>
      <w:pPr>
        <w:pStyle w:val="BodyText"/>
      </w:pPr>
      <w:r>
        <w:t xml:space="preserve">124.2</w:t>
      </w:r>
    </w:p>
    <w:p>
      <w:pPr>
        <w:pStyle w:val="BodyText"/>
      </w:pPr>
      <w:r>
        <w:t xml:space="preserve">75.8</w:t>
      </w:r>
    </w:p>
    <w:p>
      <w:pPr>
        <w:pStyle w:val="BodyText"/>
      </w:pPr>
      <w:r>
        <w:t xml:space="preserve">47.1</w:t>
      </w:r>
    </w:p>
    <w:bookmarkEnd w:id="32"/>
    <w:p>
      <w:pPr>
        <w:pStyle w:val="Heading4"/>
      </w:pPr>
      <w:bookmarkStart w:id="33" w:name="pv-of-employee-contribution"/>
      <w:r>
        <w:t xml:space="preserve">PV of employee contribution</w:t>
      </w:r>
      <w:bookmarkEnd w:id="33"/>
    </w:p>
    <w:bookmarkStart w:id="34" w:name="gnmnfbafjx"/>
    <w:p>
      <w:pPr>
        <w:pStyle w:val="FirstParagraph"/>
      </w:pPr>
      <w:r>
        <w:t xml:space="preserve">Distribution of 30-year present value of EEC</w:t>
      </w:r>
    </w:p>
    <w:p>
      <w:pPr>
        <w:pStyle w:val="BodyText"/>
      </w:pPr>
      <w:r>
        <w:t xml:space="preserve">Policy</w:t>
      </w:r>
    </w:p>
    <w:p>
      <w:pPr>
        <w:pStyle w:val="BodyText"/>
      </w:pPr>
      <w:r>
        <w:t xml:space="preserve">90th</w:t>
      </w:r>
    </w:p>
    <w:p>
      <w:pPr>
        <w:pStyle w:val="BodyText"/>
      </w:pPr>
      <w:r>
        <w:t xml:space="preserve">75th</w:t>
      </w:r>
    </w:p>
    <w:p>
      <w:pPr>
        <w:pStyle w:val="BodyText"/>
      </w:pPr>
      <w:r>
        <w:t xml:space="preserve">50th</w:t>
      </w:r>
    </w:p>
    <w:p>
      <w:pPr>
        <w:pStyle w:val="BodyText"/>
      </w:pPr>
      <w:r>
        <w:t xml:space="preserve">25th</w:t>
      </w:r>
    </w:p>
    <w:p>
      <w:pPr>
        <w:pStyle w:val="BodyText"/>
      </w:pPr>
      <w:r>
        <w:t xml:space="preserve">10th</w:t>
      </w:r>
    </w:p>
    <w:p>
      <w:pPr>
        <w:pStyle w:val="BodyText"/>
      </w:pPr>
      <w:r>
        <w:t xml:space="preserve">Shared ADC; caps;</w:t>
      </w:r>
      <w:r>
        <w:t xml:space="preserve"> </w:t>
      </w:r>
      <w:r>
        <w:t xml:space="preserve">Variable COLA (MEPERS)</w:t>
      </w:r>
    </w:p>
    <w:p>
      <w:pPr>
        <w:pStyle w:val="BodyText"/>
      </w:pPr>
      <w:r>
        <w:t xml:space="preserve">139.4</w:t>
      </w:r>
    </w:p>
    <w:p>
      <w:pPr>
        <w:pStyle w:val="BodyText"/>
      </w:pPr>
      <w:r>
        <w:t xml:space="preserve">126.0</w:t>
      </w:r>
    </w:p>
    <w:p>
      <w:pPr>
        <w:pStyle w:val="BodyText"/>
      </w:pPr>
      <w:r>
        <w:t xml:space="preserve">100.0</w:t>
      </w:r>
    </w:p>
    <w:p>
      <w:pPr>
        <w:pStyle w:val="BodyText"/>
      </w:pPr>
      <w:r>
        <w:t xml:space="preserve">68.8</w:t>
      </w:r>
    </w:p>
    <w:p>
      <w:pPr>
        <w:pStyle w:val="BodyText"/>
      </w:pPr>
      <w:r>
        <w:t xml:space="preserve">45.6</w:t>
      </w:r>
    </w:p>
    <w:p>
      <w:pPr>
        <w:pStyle w:val="BodyText"/>
      </w:pPr>
      <w:r>
        <w:t xml:space="preserve">Shared ADC; caps;</w:t>
      </w:r>
      <w:r>
        <w:t xml:space="preserve"> </w:t>
      </w:r>
      <w:r>
        <w:t xml:space="preserve">Fixed COLA</w:t>
      </w:r>
    </w:p>
    <w:p>
      <w:pPr>
        <w:pStyle w:val="BodyText"/>
      </w:pPr>
      <w:r>
        <w:t xml:space="preserve">141.3</w:t>
      </w:r>
    </w:p>
    <w:p>
      <w:pPr>
        <w:pStyle w:val="BodyText"/>
      </w:pPr>
      <w:r>
        <w:t xml:space="preserve">129.4</w:t>
      </w:r>
    </w:p>
    <w:p>
      <w:pPr>
        <w:pStyle w:val="BodyText"/>
      </w:pPr>
      <w:r>
        <w:t xml:space="preserve">97.5</w:t>
      </w:r>
    </w:p>
    <w:p>
      <w:pPr>
        <w:pStyle w:val="BodyText"/>
      </w:pPr>
      <w:r>
        <w:t xml:space="preserve">63.7</w:t>
      </w:r>
    </w:p>
    <w:p>
      <w:pPr>
        <w:pStyle w:val="BodyText"/>
      </w:pPr>
      <w:r>
        <w:t xml:space="preserve">43.0</w:t>
      </w:r>
    </w:p>
    <w:p>
      <w:pPr>
        <w:pStyle w:val="BodyText"/>
      </w:pPr>
      <w:r>
        <w:t xml:space="preserve">Shared NC; no caps;</w:t>
      </w:r>
      <w:r>
        <w:t xml:space="preserve"> </w:t>
      </w:r>
      <w:r>
        <w:t xml:space="preserve">Fixed COLA</w:t>
      </w:r>
    </w:p>
    <w:p>
      <w:pPr>
        <w:pStyle w:val="BodyText"/>
      </w:pPr>
      <w:r>
        <w:t xml:space="preserve">75.8</w:t>
      </w:r>
    </w:p>
    <w:p>
      <w:pPr>
        <w:pStyle w:val="BodyText"/>
      </w:pPr>
      <w:r>
        <w:t xml:space="preserve">75.3</w:t>
      </w:r>
    </w:p>
    <w:p>
      <w:pPr>
        <w:pStyle w:val="BodyText"/>
      </w:pPr>
      <w:r>
        <w:t xml:space="preserve">66.5</w:t>
      </w:r>
    </w:p>
    <w:p>
      <w:pPr>
        <w:pStyle w:val="BodyText"/>
      </w:pPr>
      <w:r>
        <w:t xml:space="preserve">51.7</w:t>
      </w:r>
    </w:p>
    <w:p>
      <w:pPr>
        <w:pStyle w:val="BodyText"/>
      </w:pPr>
      <w:r>
        <w:t xml:space="preserve">37.7</w:t>
      </w:r>
    </w:p>
    <w:bookmarkEnd w:id="34"/>
    <w:p>
      <w:pPr>
        <w:pStyle w:val="Heading4"/>
      </w:pPr>
      <w:bookmarkStart w:id="35" w:name="pv-of-terminal-uaal"/>
      <w:r>
        <w:t xml:space="preserve">PV of terminal UAAL</w:t>
      </w:r>
      <w:bookmarkEnd w:id="35"/>
    </w:p>
    <w:bookmarkStart w:id="36" w:name="lgysdithnk"/>
    <w:p>
      <w:pPr>
        <w:pStyle w:val="FirstParagraph"/>
      </w:pPr>
      <w:r>
        <w:t xml:space="preserve">Distribution of present value of terminal UAAL (year 30)</w:t>
      </w:r>
    </w:p>
    <w:p>
      <w:pPr>
        <w:pStyle w:val="BodyText"/>
      </w:pPr>
      <w:r>
        <w:t xml:space="preserve">$million</w:t>
      </w:r>
    </w:p>
    <w:p>
      <w:pPr>
        <w:pStyle w:val="BodyText"/>
      </w:pPr>
      <w:r>
        <w:t xml:space="preserve">Policy</w:t>
      </w:r>
    </w:p>
    <w:p>
      <w:pPr>
        <w:pStyle w:val="BodyText"/>
      </w:pPr>
      <w:r>
        <w:t xml:space="preserve">90th</w:t>
      </w:r>
    </w:p>
    <w:p>
      <w:pPr>
        <w:pStyle w:val="BodyText"/>
      </w:pPr>
      <w:r>
        <w:t xml:space="preserve">75th</w:t>
      </w:r>
    </w:p>
    <w:p>
      <w:pPr>
        <w:pStyle w:val="BodyText"/>
      </w:pPr>
      <w:r>
        <w:t xml:space="preserve">50th</w:t>
      </w:r>
    </w:p>
    <w:p>
      <w:pPr>
        <w:pStyle w:val="BodyText"/>
      </w:pPr>
      <w:r>
        <w:t xml:space="preserve">25th</w:t>
      </w:r>
    </w:p>
    <w:p>
      <w:pPr>
        <w:pStyle w:val="BodyText"/>
      </w:pPr>
      <w:r>
        <w:t xml:space="preserve">10th</w:t>
      </w:r>
    </w:p>
    <w:p>
      <w:pPr>
        <w:pStyle w:val="BodyText"/>
      </w:pPr>
      <w:r>
        <w:t xml:space="preserve">Shared ADC; caps;</w:t>
      </w:r>
      <w:r>
        <w:t xml:space="preserve"> </w:t>
      </w:r>
      <w:r>
        <w:t xml:space="preserve">Variable COLA (MEPERS)</w:t>
      </w:r>
    </w:p>
    <w:p>
      <w:pPr>
        <w:pStyle w:val="BodyText"/>
      </w:pPr>
      <w:r>
        <w:t xml:space="preserve">402</w:t>
      </w:r>
    </w:p>
    <w:p>
      <w:pPr>
        <w:pStyle w:val="BodyText"/>
      </w:pPr>
      <w:r>
        <w:t xml:space="preserve">223</w:t>
      </w:r>
    </w:p>
    <w:p>
      <w:pPr>
        <w:pStyle w:val="BodyText"/>
      </w:pPr>
      <w:r>
        <w:t xml:space="preserve">−16</w:t>
      </w:r>
    </w:p>
    <w:p>
      <w:pPr>
        <w:pStyle w:val="BodyText"/>
      </w:pPr>
      <w:r>
        <w:t xml:space="preserve">−394</w:t>
      </w:r>
    </w:p>
    <w:p>
      <w:pPr>
        <w:pStyle w:val="BodyText"/>
      </w:pPr>
      <w:r>
        <w:t xml:space="preserve">−1,039</w:t>
      </w:r>
    </w:p>
    <w:p>
      <w:pPr>
        <w:pStyle w:val="BodyText"/>
      </w:pPr>
      <w:r>
        <w:t xml:space="preserve">Shared ADC; caps;</w:t>
      </w:r>
      <w:r>
        <w:t xml:space="preserve"> </w:t>
      </w:r>
      <w:r>
        <w:t xml:space="preserve">Fixed COLA</w:t>
      </w:r>
    </w:p>
    <w:p>
      <w:pPr>
        <w:pStyle w:val="BodyText"/>
      </w:pPr>
      <w:r>
        <w:t xml:space="preserve">556</w:t>
      </w:r>
    </w:p>
    <w:p>
      <w:pPr>
        <w:pStyle w:val="BodyText"/>
      </w:pPr>
      <w:r>
        <w:t xml:space="preserve">339</w:t>
      </w:r>
    </w:p>
    <w:p>
      <w:pPr>
        <w:pStyle w:val="BodyText"/>
      </w:pPr>
      <w:r>
        <w:t xml:space="preserve">−1</w:t>
      </w:r>
    </w:p>
    <w:p>
      <w:pPr>
        <w:pStyle w:val="BodyText"/>
      </w:pPr>
      <w:r>
        <w:t xml:space="preserve">−428</w:t>
      </w:r>
    </w:p>
    <w:p>
      <w:pPr>
        <w:pStyle w:val="BodyText"/>
      </w:pPr>
      <w:r>
        <w:t xml:space="preserve">−1,142</w:t>
      </w:r>
    </w:p>
    <w:p>
      <w:pPr>
        <w:pStyle w:val="BodyText"/>
      </w:pPr>
      <w:r>
        <w:t xml:space="preserve">Shared NC; no caps;</w:t>
      </w:r>
      <w:r>
        <w:t xml:space="preserve"> </w:t>
      </w:r>
      <w:r>
        <w:t xml:space="preserve">Fixed COLA</w:t>
      </w:r>
    </w:p>
    <w:p>
      <w:pPr>
        <w:pStyle w:val="BodyText"/>
      </w:pPr>
      <w:r>
        <w:t xml:space="preserve">265</w:t>
      </w:r>
    </w:p>
    <w:p>
      <w:pPr>
        <w:pStyle w:val="BodyText"/>
      </w:pPr>
      <w:r>
        <w:t xml:space="preserve">119</w:t>
      </w:r>
    </w:p>
    <w:p>
      <w:pPr>
        <w:pStyle w:val="BodyText"/>
      </w:pPr>
      <w:r>
        <w:t xml:space="preserve">−101</w:t>
      </w:r>
    </w:p>
    <w:p>
      <w:pPr>
        <w:pStyle w:val="BodyText"/>
      </w:pPr>
      <w:r>
        <w:t xml:space="preserve">−510</w:t>
      </w:r>
    </w:p>
    <w:p>
      <w:pPr>
        <w:pStyle w:val="BodyText"/>
      </w:pPr>
      <w:r>
        <w:t xml:space="preserve">−1,196</w:t>
      </w:r>
    </w:p>
    <w:p>
      <w:pPr>
        <w:pStyle w:val="BodyText"/>
      </w:pPr>
      <w:r>
        <w:t xml:space="preserve">Note: negative values are surplus</w:t>
      </w:r>
    </w:p>
    <w:bookmarkEnd w:id="36"/>
    <w:p>
      <w:pPr>
        <w:pStyle w:val="Heading3"/>
      </w:pPr>
      <w:bookmarkStart w:id="37" w:name="short-term-volatility-of-costs"/>
      <w:r>
        <w:t xml:space="preserve">Short-term volatility of costs</w:t>
      </w:r>
      <w:bookmarkEnd w:id="37"/>
    </w:p>
    <w:p>
      <w:pPr>
        <w:pStyle w:val="Heading4"/>
      </w:pPr>
      <w:bookmarkStart w:id="38" w:name="risk-of-sharp-erc-increase"/>
      <w:r>
        <w:t xml:space="preserve">Risk of sharp ERC increase</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analysis_v-1-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risk-of-sharp-eec-increase"/>
      <w:r>
        <w:t xml:space="preserve">Risk of sharp EEC increase</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analysis_v-1-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analysis-of-funded-status"/>
      <w:r>
        <w:rPr>
          <w:b/>
        </w:rPr>
        <w:t xml:space="preserve">Analysis of funded status</w:t>
      </w:r>
      <w:bookmarkEnd w:id="42"/>
    </w:p>
    <w:p>
      <w:pPr>
        <w:numPr>
          <w:ilvl w:val="0"/>
          <w:numId w:val="1011"/>
        </w:numPr>
        <w:pStyle w:val="Compact"/>
      </w:pPr>
      <w:r>
        <w:t xml:space="preserve">Chance that funded ratio fall below 90%</w:t>
      </w:r>
    </w:p>
    <w:p>
      <w:pPr>
        <w:numPr>
          <w:ilvl w:val="0"/>
          <w:numId w:val="1011"/>
        </w:numPr>
        <w:pStyle w:val="Compact"/>
      </w:pPr>
      <w:r>
        <w:t xml:space="preserve">Chance that funded ratio fall below 60%</w:t>
      </w:r>
    </w:p>
    <w:p>
      <w:pPr>
        <w:numPr>
          <w:ilvl w:val="0"/>
          <w:numId w:val="1011"/>
        </w:numPr>
        <w:pStyle w:val="Compact"/>
      </w:pPr>
      <w:r>
        <w:t xml:space="preserve">Chance of the plan at least 100% funded in the given year</w:t>
      </w:r>
    </w:p>
    <w:p>
      <w:pPr>
        <w:numPr>
          <w:ilvl w:val="0"/>
          <w:numId w:val="1011"/>
        </w:numPr>
        <w:pStyle w:val="Compact"/>
      </w:pPr>
      <w:r>
        <w:t xml:space="preserve">Chance that the cash flow net of investment income being less than -5%</w:t>
      </w:r>
    </w:p>
    <w:p>
      <w:pPr>
        <w:pStyle w:val="Heading3"/>
      </w:pPr>
      <w:bookmarkStart w:id="43" w:name="risk-of-low-funded-ratio-cumulative"/>
      <w:r>
        <w:t xml:space="preserve">Risk of low funded ratio (cumulative)</w:t>
      </w:r>
      <w:bookmarkEnd w:id="43"/>
    </w:p>
    <w:p>
      <w:pPr>
        <w:pStyle w:val="FirstParagraph"/>
      </w:pPr>
      <w:r>
        <w:drawing>
          <wp:inline>
            <wp:extent cx="5334000" cy="2424545"/>
            <wp:effectExtent b="0" l="0" r="0" t="0"/>
            <wp:docPr descr="" title="" id="1" name="Picture"/>
            <a:graphic>
              <a:graphicData uri="http://schemas.openxmlformats.org/drawingml/2006/picture">
                <pic:pic>
                  <pic:nvPicPr>
                    <pic:cNvPr descr="analysis_v-1-_files/figure-docx/unnamed-chunk-7-1.png" id="0" name="Picture"/>
                    <pic:cNvPicPr>
                      <a:picLocks noChangeArrowheads="1" noChangeAspect="1"/>
                    </pic:cNvPicPr>
                  </pic:nvPicPr>
                  <pic:blipFill>
                    <a:blip r:embed="rId44"/>
                    <a:stretch>
                      <a:fillRect/>
                    </a:stretch>
                  </pic:blipFill>
                  <pic:spPr bwMode="auto">
                    <a:xfrm>
                      <a:off x="0" y="0"/>
                      <a:ext cx="5334000" cy="2424545"/>
                    </a:xfrm>
                    <a:prstGeom prst="rect">
                      <a:avLst/>
                    </a:prstGeom>
                    <a:noFill/>
                    <a:ln w="9525">
                      <a:noFill/>
                      <a:headEnd/>
                      <a:tailEnd/>
                    </a:ln>
                  </pic:spPr>
                </pic:pic>
              </a:graphicData>
            </a:graphic>
          </wp:inline>
        </w:drawing>
      </w:r>
    </w:p>
    <w:p>
      <w:pPr>
        <w:pStyle w:val="Heading3"/>
      </w:pPr>
      <w:bookmarkStart w:id="45" w:name="risk-of-low-funded-ratio-non-cumulative"/>
      <w:r>
        <w:t xml:space="preserve">Risk of low funded ratio (non-cumulative)</w:t>
      </w:r>
      <w:bookmarkEnd w:id="45"/>
    </w:p>
    <w:p>
      <w:pPr>
        <w:pStyle w:val="FirstParagraph"/>
      </w:pPr>
      <w:r>
        <w:drawing>
          <wp:inline>
            <wp:extent cx="5334000" cy="2424545"/>
            <wp:effectExtent b="0" l="0" r="0" t="0"/>
            <wp:docPr descr="" title="" id="1" name="Picture"/>
            <a:graphic>
              <a:graphicData uri="http://schemas.openxmlformats.org/drawingml/2006/picture">
                <pic:pic>
                  <pic:nvPicPr>
                    <pic:cNvPr descr="analysis_v-1-_files/figure-docx/unnamed-chunk-8-1.png" id="0" name="Picture"/>
                    <pic:cNvPicPr>
                      <a:picLocks noChangeArrowheads="1" noChangeAspect="1"/>
                    </pic:cNvPicPr>
                  </pic:nvPicPr>
                  <pic:blipFill>
                    <a:blip r:embed="rId46"/>
                    <a:stretch>
                      <a:fillRect/>
                    </a:stretch>
                  </pic:blipFill>
                  <pic:spPr bwMode="auto">
                    <a:xfrm>
                      <a:off x="0" y="0"/>
                      <a:ext cx="5334000" cy="2424545"/>
                    </a:xfrm>
                    <a:prstGeom prst="rect">
                      <a:avLst/>
                    </a:prstGeom>
                    <a:noFill/>
                    <a:ln w="9525">
                      <a:noFill/>
                      <a:headEnd/>
                      <a:tailEnd/>
                    </a:ln>
                  </pic:spPr>
                </pic:pic>
              </a:graphicData>
            </a:graphic>
          </wp:inline>
        </w:drawing>
      </w:r>
    </w:p>
    <w:p>
      <w:pPr>
        <w:pStyle w:val="Heading3"/>
      </w:pPr>
      <w:bookmarkStart w:id="47" w:name="probability-of-full-funding"/>
      <w:r>
        <w:t xml:space="preserve">Probability of full funding</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analysis_v-1-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analysis-of-member-benefit"/>
      <w:r>
        <w:rPr>
          <w:b/>
        </w:rPr>
        <w:t xml:space="preserve">Analysis of member benefit</w:t>
      </w:r>
      <w:bookmarkEnd w:id="49"/>
    </w:p>
    <w:p>
      <w:pPr>
        <w:pStyle w:val="FirstParagraph"/>
      </w:pPr>
      <w:r>
        <w:t xml:space="preserve">Cohort examined:</w:t>
      </w:r>
    </w:p>
    <w:p>
      <w:pPr>
        <w:numPr>
          <w:ilvl w:val="0"/>
          <w:numId w:val="1012"/>
        </w:numPr>
        <w:pStyle w:val="Compact"/>
      </w:pPr>
      <w:r>
        <w:t xml:space="preserve">Joined the plan at age 25 in 1986</w:t>
      </w:r>
      <w:r>
        <w:br/>
      </w:r>
    </w:p>
    <w:p>
      <w:pPr>
        <w:numPr>
          <w:ilvl w:val="0"/>
          <w:numId w:val="1012"/>
        </w:numPr>
        <w:pStyle w:val="Compact"/>
      </w:pPr>
      <w:r>
        <w:t xml:space="preserve">Start receiving benefit at age 60 in 2021</w:t>
      </w:r>
    </w:p>
    <w:p>
      <w:pPr>
        <w:numPr>
          <w:ilvl w:val="0"/>
          <w:numId w:val="1012"/>
        </w:numPr>
        <w:pStyle w:val="Compact"/>
      </w:pPr>
      <w:r>
        <w:t xml:space="preserve">live to age 90 (30 years in retirement)</w:t>
      </w:r>
    </w:p>
    <w:p>
      <w:pPr>
        <w:pStyle w:val="Heading3"/>
      </w:pPr>
      <w:bookmarkStart w:id="50" w:name="distribution-of-present-value-of-benefit"/>
      <w:r>
        <w:t xml:space="preserve">distribution of present value of benefit</w:t>
      </w:r>
      <w:bookmarkEnd w:id="50"/>
    </w:p>
    <w:bookmarkStart w:id="51" w:name="nejguvwaml"/>
    <w:p>
      <w:pPr>
        <w:pStyle w:val="FirstParagraph"/>
      </w:pPr>
      <w:r>
        <w:t xml:space="preserve">Distribution of 30-year present value of benefit</w:t>
      </w:r>
    </w:p>
    <w:p>
      <w:pPr>
        <w:pStyle w:val="BodyText"/>
      </w:pPr>
      <w:r>
        <w:t xml:space="preserve">For members who retire at age 60 with 35 years of service in 2021</w:t>
      </w:r>
    </w:p>
    <w:p>
      <w:pPr>
        <w:pStyle w:val="BodyText"/>
      </w:pPr>
      <w:r>
        <w:t xml:space="preserve">Policy</w:t>
      </w:r>
    </w:p>
    <w:p>
      <w:pPr>
        <w:pStyle w:val="BodyText"/>
      </w:pPr>
      <w:r>
        <w:t xml:space="preserve">90th</w:t>
      </w:r>
    </w:p>
    <w:p>
      <w:pPr>
        <w:pStyle w:val="BodyText"/>
      </w:pPr>
      <w:r>
        <w:t xml:space="preserve">75th</w:t>
      </w:r>
    </w:p>
    <w:p>
      <w:pPr>
        <w:pStyle w:val="BodyText"/>
      </w:pPr>
      <w:r>
        <w:t xml:space="preserve">50th</w:t>
      </w:r>
    </w:p>
    <w:p>
      <w:pPr>
        <w:pStyle w:val="BodyText"/>
      </w:pPr>
      <w:r>
        <w:t xml:space="preserve">25th</w:t>
      </w:r>
    </w:p>
    <w:p>
      <w:pPr>
        <w:pStyle w:val="BodyText"/>
      </w:pPr>
      <w:r>
        <w:t xml:space="preserve">10th</w:t>
      </w:r>
    </w:p>
    <w:p>
      <w:pPr>
        <w:pStyle w:val="BodyText"/>
      </w:pPr>
      <w:r>
        <w:t xml:space="preserve">Shared ADC; caps;</w:t>
      </w:r>
      <w:r>
        <w:t xml:space="preserve"> </w:t>
      </w:r>
      <w:r>
        <w:t xml:space="preserve">Variable COLA (MEPERS)</w:t>
      </w:r>
    </w:p>
    <w:p>
      <w:pPr>
        <w:pStyle w:val="BodyText"/>
      </w:pPr>
      <w:r>
        <w:t xml:space="preserve">1,769</w:t>
      </w:r>
    </w:p>
    <w:p>
      <w:pPr>
        <w:pStyle w:val="BodyText"/>
      </w:pPr>
      <w:r>
        <w:t xml:space="preserve">1,763</w:t>
      </w:r>
    </w:p>
    <w:p>
      <w:pPr>
        <w:pStyle w:val="BodyText"/>
      </w:pPr>
      <w:r>
        <w:t xml:space="preserve">1,681</w:t>
      </w:r>
    </w:p>
    <w:p>
      <w:pPr>
        <w:pStyle w:val="BodyText"/>
      </w:pPr>
      <w:r>
        <w:t xml:space="preserve">1,558</w:t>
      </w:r>
    </w:p>
    <w:p>
      <w:pPr>
        <w:pStyle w:val="BodyText"/>
      </w:pPr>
      <w:r>
        <w:t xml:space="preserve">1,466</w:t>
      </w:r>
    </w:p>
    <w:p>
      <w:pPr>
        <w:pStyle w:val="BodyText"/>
      </w:pPr>
      <w:r>
        <w:t xml:space="preserve">Shared ADC; caps;</w:t>
      </w:r>
      <w:r>
        <w:t xml:space="preserve"> </w:t>
      </w:r>
      <w:r>
        <w:t xml:space="preserve">Fixed COLA</w:t>
      </w:r>
    </w:p>
    <w:p>
      <w:pPr>
        <w:pStyle w:val="BodyText"/>
      </w:pPr>
      <w:r>
        <w:t xml:space="preserve">1,657</w:t>
      </w:r>
    </w:p>
    <w:p>
      <w:pPr>
        <w:pStyle w:val="BodyText"/>
      </w:pPr>
      <w:r>
        <w:t xml:space="preserve">1,657</w:t>
      </w:r>
    </w:p>
    <w:p>
      <w:pPr>
        <w:pStyle w:val="BodyText"/>
      </w:pPr>
      <w:r>
        <w:t xml:space="preserve">1,657</w:t>
      </w:r>
    </w:p>
    <w:p>
      <w:pPr>
        <w:pStyle w:val="BodyText"/>
      </w:pPr>
      <w:r>
        <w:t xml:space="preserve">1,657</w:t>
      </w:r>
    </w:p>
    <w:p>
      <w:pPr>
        <w:pStyle w:val="BodyText"/>
      </w:pPr>
      <w:r>
        <w:t xml:space="preserve">1,657</w:t>
      </w:r>
    </w:p>
    <w:p>
      <w:pPr>
        <w:pStyle w:val="BodyText"/>
      </w:pPr>
      <w:r>
        <w:t xml:space="preserve">Note: starting benefit is normalized to $100</w:t>
      </w:r>
    </w:p>
    <w:bookmarkEnd w:id="51"/>
    <w:p>
      <w:pPr>
        <w:pStyle w:val="Heading3"/>
      </w:pPr>
      <w:bookmarkStart w:id="52" w:name="X2a38b6cd5787d034115d775c42e89890e0e699e"/>
      <w:r>
        <w:t xml:space="preserve">distribution of replacement rate at age 75</w:t>
      </w:r>
      <w:bookmarkEnd w:id="52"/>
    </w:p>
    <w:bookmarkStart w:id="53" w:name="bljqaeuqmy"/>
    <w:p>
      <w:pPr>
        <w:pStyle w:val="FirstParagraph"/>
      </w:pPr>
      <w:r>
        <w:t xml:space="preserve">Distribution of replacement rate at age 75</w:t>
      </w:r>
    </w:p>
    <w:p>
      <w:pPr>
        <w:pStyle w:val="BodyText"/>
      </w:pPr>
      <w:r>
        <w:t xml:space="preserve">For members who retire at age 60 with 35 years of service in 2021</w:t>
      </w:r>
    </w:p>
    <w:p>
      <w:pPr>
        <w:pStyle w:val="BodyText"/>
      </w:pPr>
      <w:r>
        <w:t xml:space="preserve">Policy</w:t>
      </w:r>
    </w:p>
    <w:p>
      <w:pPr>
        <w:pStyle w:val="BodyText"/>
      </w:pPr>
      <w:r>
        <w:t xml:space="preserve">90th</w:t>
      </w:r>
    </w:p>
    <w:p>
      <w:pPr>
        <w:pStyle w:val="BodyText"/>
      </w:pPr>
      <w:r>
        <w:t xml:space="preserve">75th</w:t>
      </w:r>
    </w:p>
    <w:p>
      <w:pPr>
        <w:pStyle w:val="BodyText"/>
      </w:pPr>
      <w:r>
        <w:t xml:space="preserve">50th</w:t>
      </w:r>
    </w:p>
    <w:p>
      <w:pPr>
        <w:pStyle w:val="BodyText"/>
      </w:pPr>
      <w:r>
        <w:t xml:space="preserve">25th</w:t>
      </w:r>
    </w:p>
    <w:p>
      <w:pPr>
        <w:pStyle w:val="BodyText"/>
      </w:pPr>
      <w:r>
        <w:t xml:space="preserve">10th</w:t>
      </w:r>
    </w:p>
    <w:p>
      <w:pPr>
        <w:pStyle w:val="BodyText"/>
      </w:pPr>
      <w:r>
        <w:t xml:space="preserve">Shared ADC; caps;</w:t>
      </w:r>
      <w:r>
        <w:t xml:space="preserve"> </w:t>
      </w:r>
      <w:r>
        <w:t xml:space="preserve">Variable COLA (MEPERS)</w:t>
      </w:r>
    </w:p>
    <w:p>
      <w:pPr>
        <w:pStyle w:val="BodyText"/>
      </w:pPr>
      <w:r>
        <w:t xml:space="preserve">0.67</w:t>
      </w:r>
    </w:p>
    <w:p>
      <w:pPr>
        <w:pStyle w:val="BodyText"/>
      </w:pPr>
      <w:r>
        <w:t xml:space="preserve">0.67</w:t>
      </w:r>
    </w:p>
    <w:p>
      <w:pPr>
        <w:pStyle w:val="BodyText"/>
      </w:pPr>
      <w:r>
        <w:t xml:space="preserve">0.63</w:t>
      </w:r>
    </w:p>
    <w:p>
      <w:pPr>
        <w:pStyle w:val="BodyText"/>
      </w:pPr>
      <w:r>
        <w:t xml:space="preserve">0.55</w:t>
      </w:r>
    </w:p>
    <w:p>
      <w:pPr>
        <w:pStyle w:val="BodyText"/>
      </w:pPr>
      <w:r>
        <w:t xml:space="preserve">0.50</w:t>
      </w:r>
    </w:p>
    <w:p>
      <w:pPr>
        <w:pStyle w:val="BodyText"/>
      </w:pPr>
      <w:r>
        <w:t xml:space="preserve">Shared ADC; caps;</w:t>
      </w:r>
      <w:r>
        <w:t xml:space="preserve"> </w:t>
      </w:r>
      <w:r>
        <w:t xml:space="preserve">Fixed COLA</w:t>
      </w:r>
    </w:p>
    <w:p>
      <w:pPr>
        <w:pStyle w:val="BodyText"/>
      </w:pPr>
      <w:r>
        <w:t xml:space="preserve">0.62</w:t>
      </w:r>
    </w:p>
    <w:p>
      <w:pPr>
        <w:pStyle w:val="BodyText"/>
      </w:pPr>
      <w:r>
        <w:t xml:space="preserve">0.62</w:t>
      </w:r>
    </w:p>
    <w:p>
      <w:pPr>
        <w:pStyle w:val="BodyText"/>
      </w:pPr>
      <w:r>
        <w:t xml:space="preserve">0.62</w:t>
      </w:r>
    </w:p>
    <w:p>
      <w:pPr>
        <w:pStyle w:val="BodyText"/>
      </w:pPr>
      <w:r>
        <w:t xml:space="preserve">0.62</w:t>
      </w:r>
    </w:p>
    <w:p>
      <w:pPr>
        <w:pStyle w:val="BodyText"/>
      </w:pPr>
      <w:r>
        <w:t xml:space="preserve">0.62</w:t>
      </w:r>
    </w:p>
    <w:p>
      <w:pPr>
        <w:pStyle w:val="BodyText"/>
      </w:pPr>
      <w:r>
        <w:t xml:space="preserve">Note: benefits at age 75 are adjusted for inflation; assumed inflation = 2.75% (MEPERS assumption)</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MEPERS: Preliminary results for discussion</dc:title>
  <dc:creator/>
  <cp:keywords/>
  <dcterms:created xsi:type="dcterms:W3CDTF">2021-03-13T20:35:53Z</dcterms:created>
  <dcterms:modified xsi:type="dcterms:W3CDTF">2021-03-13T20:35:53Z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