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37.8ºC.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RESP. CULT AND MICRO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Low growth of Neisseria spp. and Strep. viridans.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RESP. CULT AND MICRO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Neisseria spp. and Strep viridans &lt;10^4.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**Explanation:** Both organisms are reported below the clinical significance threshold (typically ≥10^4 CFU/mL for BAL cultures), suggesting colonization or contamination rather than definitive infection. The result is not definitively positive (insufficient growth) but acknowledges their presence, warranting clinical correlation.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cautions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Advisory on antibiotic use and clinical context needed.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 – UC – CATHETER SPECIMEN URINE (CSU)CATHETER SITE SWAB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21/08 – RESP. CULT AND MICRO – BRONCHO–ALVEOLAR LAVAGE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– SARS CORONAVIRUS–2 PCR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MS2 control CT 23.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(Reason: The result only reports an internal control (MS2) with a CT value, not pathogen–specific findings.)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– CPE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CPE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 – MRSA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MRSA isolated.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