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8640"/>
            <w:gridSpan w:val="2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INFECTIOUS DISEASES / MICROBIOLOGY REVIEW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Consult reason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Positive blood cultures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*Diagnosis**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E coli bacteraemia, presumed urinary source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Background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Diabetes</w:t>
              <w:br/>
              <w:t>Hypertension</w:t>
              <w:br/>
              <w:t>BPH -- long term catheter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Presentation &amp; Clinical Progress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Admitted 26/2 with lower abdo pain and fever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Antibiotic history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→ co-amox iv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rules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New fever in the last 24 hours, 38.6掳C.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heart rate record</w:t>
            </w:r>
          </w:p>
          <w:p>
            <w:r>
              <w:rPr>
                <w:rFonts w:ascii="Times New Roman" w:hAnsi="Times New Roman"/>
                <w:color w:val="0000FF"/>
                <w:sz w:val="20"/>
              </w:rPr>
              <w:t>No systolic blood pressure record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Vital signs ds</w:t>
            </w:r>
          </w:p>
        </w:tc>
        <w:tc>
          <w:tcPr>
            <w:tcW w:type="dxa" w:w="4320"/>
          </w:tcPr>
          <w:p>
            <w:r/>
          </w:p>
          <w:p>
            <w:r>
              <w:rPr>
                <w:rFonts w:ascii="Times New Roman" w:hAnsi="Times New Roman"/>
                <w:color w:val="0000FF"/>
                <w:sz w:val="20"/>
              </w:rPr>
              <w:t>"Febrile, last fever 38.3°C, 8 hours ago. No Heart Rate Record. No Blood Pressure Record."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Physical exam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Abdo soft and non tender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Micro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26/2 -- BC -- E coli, sens pending</w:t>
              <w:br/>
              <w:t>26/2 -- CSU -- no growth (sent after starting antibiotics)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Blood results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28/2 WCC 14 (falling, from 20 on 26/2); CRP 150 (from 300 on 26/2)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Imaging</w:t>
            </w:r>
          </w:p>
        </w:tc>
        <w:tc>
          <w:tcPr>
            <w:tcW w:type="dxa" w:w="4320"/>
          </w:tcPr>
          <w:p>
            <w:r/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572000" cy="22860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oup_1_record_4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286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Discussion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With team F1, David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**Advice**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Continue current antibiotics</w:t>
              <w:br/>
              <w:t>Consider changing catheter while on antibiotics</w:t>
              <w:br/>
              <w:t>If remains febrile consider ultrasound of urinary tract</w:t>
              <w:br/>
              <w:t>We will review with final microbiology results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Signed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Eyre, Consultant in Infection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/>
                <w:sz w:val="20"/>
              </w:rPr>
              <w:t>Responsible consultant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b w:val="0"/>
                <w:sz w:val="20"/>
              </w:rPr>
              <w:t>David Eyre</w:t>
            </w:r>
          </w:p>
        </w:tc>
      </w:tr>
    </w:tbl>
    <w:p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