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37.8°C.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21/04 – SARS CORONAVIRUS–2 PCR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21/04 – SARS–CoV–2 RNA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19/04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19/04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recommendations without pathogen details.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19/04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17/01 – VZV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17/01 – EBNA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17/01 – CMV IgG – Positive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