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45 hours, last spike 38.4掳C, right now.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38.4°C, 0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26/08 – RESP. CULT AND MICRO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Low levels of commensal flora (CoNS, Viridans Strep).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26/08 – RESP. CULT AND MICRO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Low coagulase–negative Staph and Strep viridans (&lt;10^4).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usage advice without pathogen detection.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(The ResultFull provides prescribing guidance but does not report microbiological findings like organism presence, growth, or resistance patterns.)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26/08 – UC – CATHETER SPECIMEN URINE (CSU)PERIPHERAL–LEFT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26/08 – C difficile(GDH)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26/08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RESP. CULT AND MICRO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Neisseria spp., Strep viridans below threshold.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**Reasoning:**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Both organisms are reported at &lt;10⁴ CFU/mL, a common threshold for clinical significance in BAL cultures.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Below this threshold, they are typically considered non–pathogenic (e.g., colonization or contamination).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No definitive pathogens or growth above the cutoff are identified.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The result does not meet criteria for definitive positivity or negativity.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RESP. CULT AND MICRO – **No clear Result** +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Low growth of commensal organisms.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recommendations without pathogen details.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UC – CATHETER SPECIMEN URINE (CSU)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22/08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usage advice without microbiological findings.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22/08 – UC – CATHETER SPECIMEN URINE (CSU)CATHETER SITE SWAB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21/08 – RESP. CULT AND MICRO – BRONCHO–ALVEOLAR LAVAGE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21/08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 – SARS CORONAVIRUS–2 PCR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Internal control (MS2) detected; no pathogen data.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 – CPE SCREEN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CPE pathogens isolated.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 – SARS–CoV–2 RNA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 – MRSA SCREEN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MRSA isolated.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