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23/06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23/06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organisms seen on Gram stain.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advice, no pathogen detection noted.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HIV Ab/Ag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SARS CORONAVIRUS–2 PCR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CT 24; no pathogen specified.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*Rationale*: The result "MS2_24" likely refers to an internal control (MS2) with a cycle threshold (CT) value of 24, but no pathogen–specific CT values or findings are reported. Without explicit mention of a pathogen (e.g., SARS–CoV–2, influenza), the result is unclear for clinical interpretation.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results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 STRONGYLOIDES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Result missing.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