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D8B4B5">
      <w:pPr>
        <w:pStyle w:val="2"/>
        <w:keepNext w:val="0"/>
        <w:keepLines w:val="0"/>
        <w:widowControl/>
        <w:suppressLineNumbers w:val="0"/>
        <w:spacing w:before="340" w:beforeAutospacing="0" w:after="330" w:afterAutospacing="0" w:line="48" w:lineRule="atLeast"/>
        <w:ind w:left="0" w:right="0"/>
        <w:jc w:val="center"/>
        <w:rPr>
          <w:rFonts w:hint="default" w:ascii="Times New Roman Bold" w:hAnsi="Times New Roman Bold" w:eastAsia="times" w:cs="Times New Roman Bold"/>
          <w:b/>
          <w:bCs w:val="0"/>
          <w:i w:val="0"/>
          <w:iCs w:val="0"/>
          <w:sz w:val="21"/>
          <w:szCs w:val="21"/>
        </w:rPr>
      </w:pPr>
      <w:r>
        <w:rPr>
          <w:rFonts w:hint="default" w:ascii="Times New Roman Bold" w:hAnsi="Times New Roman Bold" w:eastAsia="times" w:cs="Times New Roman Bold"/>
          <w:b/>
          <w:bCs w:val="0"/>
          <w:i w:val="0"/>
          <w:iCs w:val="0"/>
          <w:caps w:val="0"/>
          <w:color w:val="000000"/>
          <w:spacing w:val="0"/>
          <w:sz w:val="21"/>
          <w:szCs w:val="21"/>
          <w:vertAlign w:val="baseline"/>
        </w:rPr>
        <w:t xml:space="preserve">Method </w:t>
      </w:r>
      <w:r>
        <w:rPr>
          <w:rFonts w:hint="eastAsia" w:ascii="Times New Roman Bold" w:hAnsi="Times New Roman Bold" w:eastAsia="times" w:cs="Times New Roman Bold"/>
          <w:b/>
          <w:bCs w:val="0"/>
          <w:i w:val="0"/>
          <w:iCs w:val="0"/>
          <w:caps w:val="0"/>
          <w:color w:val="000000"/>
          <w:spacing w:val="0"/>
          <w:sz w:val="21"/>
          <w:szCs w:val="21"/>
          <w:vertAlign w:val="baseline"/>
          <w:lang w:val="en-US" w:eastAsia="zh-CN"/>
        </w:rPr>
        <w:t>of</w:t>
      </w:r>
      <w:r>
        <w:rPr>
          <w:rFonts w:hint="default" w:ascii="Times New Roman Bold" w:hAnsi="Times New Roman Bold" w:eastAsia="times" w:cs="Times New Roman Bold"/>
          <w:b/>
          <w:bCs w:val="0"/>
          <w:i w:val="0"/>
          <w:iCs w:val="0"/>
          <w:caps w:val="0"/>
          <w:color w:val="000000"/>
          <w:spacing w:val="0"/>
          <w:sz w:val="21"/>
          <w:szCs w:val="21"/>
          <w:vertAlign w:val="baseline"/>
        </w:rPr>
        <w:t xml:space="preserve"> Coding Reliability Tests of the Large Language Model</w:t>
      </w:r>
    </w:p>
    <w:p w14:paraId="2C74D009">
      <w:pPr>
        <w:pStyle w:val="3"/>
        <w:keepNext w:val="0"/>
        <w:keepLines w:val="0"/>
        <w:widowControl/>
        <w:suppressLineNumbers w:val="0"/>
        <w:spacing w:before="0" w:beforeAutospacing="0" w:after="0" w:afterAutospacing="0"/>
        <w:ind w:left="0" w:right="0"/>
        <w:jc w:val="both"/>
        <w:rPr>
          <w:rFonts w:hint="default" w:ascii="Times New Roman Bold" w:hAnsi="Times New Roman Bold" w:eastAsia="times" w:cs="Times New Roman Bold"/>
          <w:b/>
          <w:bCs/>
          <w:i w:val="0"/>
          <w:iCs w:val="0"/>
          <w:caps w:val="0"/>
          <w:color w:val="000000"/>
          <w:spacing w:val="0"/>
          <w:sz w:val="21"/>
          <w:szCs w:val="21"/>
          <w:vertAlign w:val="baseline"/>
        </w:rPr>
      </w:pPr>
      <w:r>
        <w:rPr>
          <w:rFonts w:hint="default" w:ascii="Times New Roman Bold" w:hAnsi="Times New Roman Bold" w:eastAsia="times" w:cs="Times New Roman Bold"/>
          <w:b/>
          <w:bCs/>
          <w:i w:val="0"/>
          <w:iCs w:val="0"/>
          <w:caps w:val="0"/>
          <w:color w:val="000000"/>
          <w:spacing w:val="0"/>
          <w:sz w:val="21"/>
          <w:szCs w:val="21"/>
        </w:rPr>
        <w:t xml:space="preserve">1.  </w:t>
      </w:r>
      <w:r>
        <w:rPr>
          <w:rFonts w:hint="default" w:ascii="Times New Roman Bold" w:hAnsi="Times New Roman Bold" w:eastAsia="times" w:cs="Times New Roman Bold"/>
          <w:b/>
          <w:bCs/>
          <w:i w:val="0"/>
          <w:iCs w:val="0"/>
          <w:caps w:val="0"/>
          <w:color w:val="000000"/>
          <w:spacing w:val="0"/>
          <w:sz w:val="21"/>
          <w:szCs w:val="21"/>
          <w:vertAlign w:val="baseline"/>
        </w:rPr>
        <w:t>Sampling and Grouping of Events:</w:t>
      </w:r>
    </w:p>
    <w:p w14:paraId="71047AA7">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p>
    <w:p w14:paraId="08219D42">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From the event description file, there are 1713 events. Each event may involve multiple modes, so the modes are not fully categorized at the start.</w:t>
      </w:r>
    </w:p>
    <w:p w14:paraId="2DCF3829">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p>
    <w:p w14:paraId="0C8985AA">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 xml:space="preserve">For each mode, events are selected step </w:t>
      </w:r>
      <w:bookmarkStart w:id="0" w:name="_GoBack"/>
      <w:bookmarkEnd w:id="0"/>
      <w:r>
        <w:rPr>
          <w:rFonts w:hint="default" w:ascii="Times New Roman" w:hAnsi="Times New Roman" w:eastAsia="times" w:cs="Times New Roman"/>
          <w:b w:val="0"/>
          <w:bCs w:val="0"/>
          <w:i w:val="0"/>
          <w:iCs w:val="0"/>
          <w:caps w:val="0"/>
          <w:color w:val="000000"/>
          <w:spacing w:val="0"/>
          <w:sz w:val="21"/>
          <w:szCs w:val="21"/>
          <w:vertAlign w:val="baseline"/>
        </w:rPr>
        <w:t>by step:</w:t>
      </w:r>
    </w:p>
    <w:p w14:paraId="57ECA7DD">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Mode 1: Select three events related to this mode.</w:t>
      </w:r>
    </w:p>
    <w:p w14:paraId="7419D899">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Mode 2: Select three events related to this mode.</w:t>
      </w:r>
    </w:p>
    <w:p w14:paraId="5F734212">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Mode 3: Select three events related to this mode.</w:t>
      </w:r>
    </w:p>
    <w:p w14:paraId="7EE5AD63">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And so on for all modes.</w:t>
      </w:r>
    </w:p>
    <w:p w14:paraId="5060329C">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p>
    <w:p w14:paraId="2351F63D">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After selecting three events for each mode, these events are combined to create a total of 18 events in the questionnaire. The 18 events are then presented in random order to the participants.</w:t>
      </w:r>
    </w:p>
    <w:p w14:paraId="60846AB6">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p>
    <w:p w14:paraId="1B43B0FD">
      <w:pPr>
        <w:pStyle w:val="3"/>
        <w:keepNext w:val="0"/>
        <w:keepLines w:val="0"/>
        <w:widowControl/>
        <w:suppressLineNumbers w:val="0"/>
        <w:spacing w:before="0" w:beforeAutospacing="0" w:after="0" w:afterAutospacing="0"/>
        <w:ind w:left="0" w:right="0"/>
        <w:jc w:val="both"/>
        <w:rPr>
          <w:rFonts w:hint="default" w:ascii="Times New Roman Bold" w:hAnsi="Times New Roman Bold" w:eastAsia="times" w:cs="Times New Roman Bold"/>
          <w:b/>
          <w:bCs/>
          <w:i w:val="0"/>
          <w:iCs w:val="0"/>
          <w:caps w:val="0"/>
          <w:color w:val="000000"/>
          <w:spacing w:val="0"/>
          <w:sz w:val="21"/>
          <w:szCs w:val="21"/>
          <w:vertAlign w:val="baseline"/>
        </w:rPr>
      </w:pPr>
      <w:r>
        <w:rPr>
          <w:rFonts w:hint="default" w:ascii="Times New Roman Bold" w:hAnsi="Times New Roman Bold" w:eastAsia="times" w:cs="Times New Roman Bold"/>
          <w:b/>
          <w:bCs/>
          <w:i w:val="0"/>
          <w:iCs w:val="0"/>
          <w:caps w:val="0"/>
          <w:color w:val="000000"/>
          <w:spacing w:val="0"/>
          <w:sz w:val="21"/>
          <w:szCs w:val="21"/>
        </w:rPr>
        <w:t xml:space="preserve">2.  </w:t>
      </w:r>
      <w:r>
        <w:rPr>
          <w:rFonts w:hint="default" w:ascii="Times New Roman Bold" w:hAnsi="Times New Roman Bold" w:eastAsia="times" w:cs="Times New Roman Bold"/>
          <w:b/>
          <w:bCs/>
          <w:i w:val="0"/>
          <w:iCs w:val="0"/>
          <w:caps w:val="0"/>
          <w:color w:val="000000"/>
          <w:spacing w:val="0"/>
          <w:sz w:val="21"/>
          <w:szCs w:val="21"/>
          <w:vertAlign w:val="baseline"/>
        </w:rPr>
        <w:t>Questionnaire Design:</w:t>
      </w:r>
    </w:p>
    <w:p w14:paraId="6B9243EB">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p>
    <w:p w14:paraId="17DB43AA">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Each coding task in the questionnaire consists of two options for each event:</w:t>
      </w:r>
    </w:p>
    <w:p w14:paraId="55EBB2D8">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Option 1: The mode that the large language model believes is relevant to the event.</w:t>
      </w:r>
    </w:p>
    <w:p w14:paraId="08966244">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Option 2: A mode that the large language model did not identify as relevant to the event.</w:t>
      </w:r>
    </w:p>
    <w:p w14:paraId="3B079F63">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p>
    <w:p w14:paraId="2B956991">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The participant’s task is to choose the most appropriate mode for the event from these two options.</w:t>
      </w:r>
    </w:p>
    <w:p w14:paraId="27E81DE3">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p>
    <w:p w14:paraId="0852A59C">
      <w:pPr>
        <w:pStyle w:val="3"/>
        <w:keepNext w:val="0"/>
        <w:keepLines w:val="0"/>
        <w:widowControl/>
        <w:suppressLineNumbers w:val="0"/>
        <w:spacing w:before="0" w:beforeAutospacing="0" w:after="0" w:afterAutospacing="0"/>
        <w:ind w:left="0" w:right="0"/>
        <w:jc w:val="both"/>
        <w:rPr>
          <w:rFonts w:hint="default" w:ascii="Times New Roman Bold" w:hAnsi="Times New Roman Bold" w:eastAsia="times" w:cs="Times New Roman Bold"/>
          <w:b/>
          <w:bCs/>
          <w:i w:val="0"/>
          <w:iCs w:val="0"/>
          <w:caps w:val="0"/>
          <w:color w:val="000000"/>
          <w:spacing w:val="0"/>
          <w:sz w:val="21"/>
          <w:szCs w:val="21"/>
          <w:vertAlign w:val="baseline"/>
        </w:rPr>
      </w:pPr>
      <w:r>
        <w:rPr>
          <w:rFonts w:hint="default" w:ascii="Times New Roman Bold" w:hAnsi="Times New Roman Bold" w:eastAsia="times" w:cs="Times New Roman Bold"/>
          <w:b/>
          <w:bCs/>
          <w:i w:val="0"/>
          <w:iCs w:val="0"/>
          <w:caps w:val="0"/>
          <w:color w:val="000000"/>
          <w:spacing w:val="0"/>
          <w:sz w:val="21"/>
          <w:szCs w:val="21"/>
        </w:rPr>
        <w:t xml:space="preserve">3.  </w:t>
      </w:r>
      <w:r>
        <w:rPr>
          <w:rFonts w:hint="default" w:ascii="Times New Roman Bold" w:hAnsi="Times New Roman Bold" w:eastAsia="times" w:cs="Times New Roman Bold"/>
          <w:b/>
          <w:bCs/>
          <w:i w:val="0"/>
          <w:iCs w:val="0"/>
          <w:caps w:val="0"/>
          <w:color w:val="000000"/>
          <w:spacing w:val="0"/>
          <w:sz w:val="21"/>
          <w:szCs w:val="21"/>
          <w:vertAlign w:val="baseline"/>
        </w:rPr>
        <w:t>Data Collection:</w:t>
      </w:r>
    </w:p>
    <w:p w14:paraId="0FDCBBA6">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Each participant is assigned a set of 18 events to code, with the events randomly ordered.</w:t>
      </w:r>
    </w:p>
    <w:p w14:paraId="1AEA1F3C">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The participants manually code each event by selecting one of the two options provided.The participants manually code each event by selecting one of the two options provided.</w:t>
      </w:r>
    </w:p>
    <w:p w14:paraId="3871C65D">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p>
    <w:p w14:paraId="2C9F3E18">
      <w:pPr>
        <w:pStyle w:val="3"/>
        <w:keepNext w:val="0"/>
        <w:keepLines w:val="0"/>
        <w:widowControl/>
        <w:suppressLineNumbers w:val="0"/>
        <w:spacing w:before="0" w:beforeAutospacing="0" w:after="0" w:afterAutospacing="0"/>
        <w:ind w:left="0" w:right="0"/>
        <w:jc w:val="both"/>
        <w:rPr>
          <w:rFonts w:hint="default" w:ascii="Times New Roman Bold" w:hAnsi="Times New Roman Bold" w:eastAsia="times" w:cs="Times New Roman Bold"/>
          <w:b/>
          <w:bCs/>
          <w:i w:val="0"/>
          <w:iCs w:val="0"/>
          <w:sz w:val="21"/>
          <w:szCs w:val="21"/>
        </w:rPr>
      </w:pPr>
      <w:r>
        <w:rPr>
          <w:rFonts w:hint="default" w:ascii="Times New Roman Bold" w:hAnsi="Times New Roman Bold" w:eastAsia="times" w:cs="Times New Roman Bold"/>
          <w:b/>
          <w:bCs/>
          <w:i w:val="0"/>
          <w:iCs w:val="0"/>
          <w:caps w:val="0"/>
          <w:color w:val="000000"/>
          <w:spacing w:val="0"/>
          <w:sz w:val="21"/>
          <w:szCs w:val="21"/>
          <w:lang w:val="en-US" w:eastAsia="zh-CN"/>
        </w:rPr>
        <w:t>4</w:t>
      </w:r>
      <w:r>
        <w:rPr>
          <w:rFonts w:hint="default" w:ascii="Times New Roman Bold" w:hAnsi="Times New Roman Bold" w:eastAsia="times" w:cs="Times New Roman Bold"/>
          <w:b/>
          <w:bCs/>
          <w:i w:val="0"/>
          <w:iCs w:val="0"/>
          <w:caps w:val="0"/>
          <w:color w:val="000000"/>
          <w:spacing w:val="0"/>
          <w:sz w:val="21"/>
          <w:szCs w:val="21"/>
        </w:rPr>
        <w:t xml:space="preserve">.  </w:t>
      </w:r>
      <w:r>
        <w:rPr>
          <w:rFonts w:hint="default" w:ascii="Times New Roman Bold" w:hAnsi="Times New Roman Bold" w:eastAsia="times" w:cs="Times New Roman Bold"/>
          <w:b/>
          <w:bCs/>
          <w:i w:val="0"/>
          <w:iCs w:val="0"/>
          <w:caps w:val="0"/>
          <w:color w:val="000000"/>
          <w:spacing w:val="0"/>
          <w:sz w:val="21"/>
          <w:szCs w:val="21"/>
          <w:vertAlign w:val="baseline"/>
        </w:rPr>
        <w:t>Data analysis:</w:t>
      </w:r>
    </w:p>
    <w:p w14:paraId="25ABAD76">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 When conducting a consistency study, we define the large language model's coding as consistent with the manual coding if the coding of an item by both the large language model and the manual coder match. Specifically:</w:t>
      </w:r>
    </w:p>
    <w:p w14:paraId="3199569A">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lang w:val="en-US" w:eastAsia="zh-CN"/>
        </w:rPr>
        <w:t xml:space="preserve">· </w:t>
      </w:r>
      <w:r>
        <w:rPr>
          <w:rFonts w:hint="default" w:ascii="Times New Roman" w:hAnsi="Times New Roman" w:eastAsia="times" w:cs="Times New Roman"/>
          <w:b w:val="0"/>
          <w:bCs w:val="0"/>
          <w:i w:val="0"/>
          <w:iCs w:val="0"/>
          <w:caps w:val="0"/>
          <w:color w:val="000000"/>
          <w:spacing w:val="0"/>
          <w:sz w:val="21"/>
          <w:szCs w:val="21"/>
          <w:vertAlign w:val="baseline"/>
        </w:rPr>
        <w:t>If the manual coding of an event is 1, and the large language model also codes the event as 1, the coding is considered consistent and is marked as 1.</w:t>
      </w:r>
    </w:p>
    <w:p w14:paraId="2E9E113B">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lang w:val="en-US" w:eastAsia="zh-CN"/>
        </w:rPr>
      </w:pPr>
      <w:r>
        <w:rPr>
          <w:rFonts w:hint="default" w:ascii="Times New Roman" w:hAnsi="Times New Roman" w:eastAsia="times" w:cs="Times New Roman"/>
          <w:b w:val="0"/>
          <w:bCs w:val="0"/>
          <w:i w:val="0"/>
          <w:iCs w:val="0"/>
          <w:caps w:val="0"/>
          <w:color w:val="000000"/>
          <w:spacing w:val="0"/>
          <w:sz w:val="21"/>
          <w:szCs w:val="21"/>
          <w:vertAlign w:val="baseline"/>
          <w:lang w:val="en-US" w:eastAsia="zh-CN"/>
        </w:rPr>
        <w:t>· If the manual coding is 0, but the large language model codes the event as 1, the coding is considered inconsistent and is marked as 0.</w:t>
      </w:r>
    </w:p>
    <w:p w14:paraId="5B53D7B4">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lang w:val="en-US" w:eastAsia="zh-CN"/>
        </w:rPr>
      </w:pPr>
    </w:p>
    <w:p w14:paraId="0767721C">
      <w:pPr>
        <w:pStyle w:val="3"/>
        <w:keepNext w:val="0"/>
        <w:keepLines w:val="0"/>
        <w:widowControl/>
        <w:numPr>
          <w:ilvl w:val="0"/>
          <w:numId w:val="1"/>
        </w:numPr>
        <w:suppressLineNumbers w:val="0"/>
        <w:spacing w:before="0" w:beforeAutospacing="0" w:after="0" w:afterAutospacing="0"/>
        <w:ind w:left="0" w:right="0"/>
        <w:jc w:val="both"/>
        <w:rPr>
          <w:rFonts w:hint="default" w:ascii="Times New Roman Bold" w:hAnsi="Times New Roman Bold" w:eastAsia="times" w:cs="Times New Roman Bold"/>
          <w:b/>
          <w:bCs/>
          <w:i w:val="0"/>
          <w:iCs w:val="0"/>
          <w:caps w:val="0"/>
          <w:color w:val="000000"/>
          <w:spacing w:val="0"/>
          <w:sz w:val="21"/>
          <w:szCs w:val="21"/>
          <w:lang w:val="en-US" w:eastAsia="zh-CN"/>
        </w:rPr>
      </w:pPr>
      <w:r>
        <w:rPr>
          <w:rFonts w:hint="default" w:ascii="Times New Roman Bold" w:hAnsi="Times New Roman Bold" w:eastAsia="times" w:cs="Times New Roman Bold"/>
          <w:b/>
          <w:bCs/>
          <w:i w:val="0"/>
          <w:iCs w:val="0"/>
          <w:caps w:val="0"/>
          <w:color w:val="000000"/>
          <w:spacing w:val="0"/>
          <w:sz w:val="21"/>
          <w:szCs w:val="21"/>
          <w:lang w:val="en-US" w:eastAsia="zh-CN"/>
        </w:rPr>
        <w:t>Kappa Coefficients Calculation:</w:t>
      </w:r>
    </w:p>
    <w:p w14:paraId="36673DDB">
      <w:pPr>
        <w:pStyle w:val="3"/>
        <w:keepNext w:val="0"/>
        <w:keepLines w:val="0"/>
        <w:widowControl/>
        <w:suppressLineNumbers w:val="0"/>
        <w:spacing w:before="0" w:beforeAutospacing="0" w:after="0" w:afterAutospacing="0"/>
        <w:ind w:left="0" w:right="0"/>
        <w:jc w:val="both"/>
        <w:rPr>
          <w:rFonts w:hint="eastAsia" w:ascii="Times New Roman" w:hAnsi="Times New Roman" w:eastAsia="times" w:cs="Times New Roman"/>
          <w:b w:val="0"/>
          <w:bCs w:val="0"/>
          <w:i w:val="0"/>
          <w:iCs w:val="0"/>
          <w:caps w:val="0"/>
          <w:color w:val="000000"/>
          <w:spacing w:val="0"/>
          <w:sz w:val="21"/>
          <w:szCs w:val="21"/>
          <w:vertAlign w:val="baseline"/>
          <w:lang w:val="en-US" w:eastAsia="zh-CN"/>
        </w:rPr>
      </w:pPr>
      <w:r>
        <w:rPr>
          <w:rFonts w:hint="eastAsia" w:ascii="Times New Roman" w:hAnsi="Times New Roman" w:eastAsia="times" w:cs="Times New Roman"/>
          <w:b w:val="0"/>
          <w:bCs w:val="0"/>
          <w:i w:val="0"/>
          <w:iCs w:val="0"/>
          <w:caps w:val="0"/>
          <w:color w:val="000000"/>
          <w:spacing w:val="0"/>
          <w:sz w:val="21"/>
          <w:szCs w:val="21"/>
          <w:vertAlign w:val="baseline"/>
          <w:lang w:val="en-US" w:eastAsia="zh-CN"/>
        </w:rPr>
        <w:t>- For each set of data, kappa coefficients are calculated to assess the consistency between the coding of different participants and the large language model's coding.</w:t>
      </w:r>
    </w:p>
    <w:p w14:paraId="5F803B3F">
      <w:pPr>
        <w:pStyle w:val="3"/>
        <w:keepNext w:val="0"/>
        <w:keepLines w:val="0"/>
        <w:widowControl/>
        <w:suppressLineNumbers w:val="0"/>
        <w:spacing w:before="0" w:beforeAutospacing="0" w:after="0" w:afterAutospacing="0"/>
        <w:ind w:left="0" w:right="0"/>
        <w:jc w:val="both"/>
        <w:rPr>
          <w:rFonts w:hint="eastAsia" w:ascii="Times New Roman" w:hAnsi="Times New Roman" w:eastAsia="times" w:cs="Times New Roman"/>
          <w:b w:val="0"/>
          <w:bCs w:val="0"/>
          <w:i w:val="0"/>
          <w:iCs w:val="0"/>
          <w:caps w:val="0"/>
          <w:color w:val="000000"/>
          <w:spacing w:val="0"/>
          <w:sz w:val="21"/>
          <w:szCs w:val="21"/>
          <w:vertAlign w:val="baseline"/>
          <w:lang w:val="en-US" w:eastAsia="zh-CN"/>
        </w:rPr>
      </w:pPr>
      <w:r>
        <w:rPr>
          <w:rFonts w:hint="eastAsia" w:ascii="Times New Roman" w:hAnsi="Times New Roman" w:eastAsia="times" w:cs="Times New Roman"/>
          <w:b w:val="0"/>
          <w:bCs w:val="0"/>
          <w:i w:val="0"/>
          <w:iCs w:val="0"/>
          <w:caps w:val="0"/>
          <w:color w:val="000000"/>
          <w:spacing w:val="0"/>
          <w:sz w:val="21"/>
          <w:szCs w:val="21"/>
          <w:vertAlign w:val="baseline"/>
          <w:lang w:val="en-US" w:eastAsia="zh-CN"/>
        </w:rPr>
        <w:t>- The Fleiss' Kappa is used for testing multiple coders, which helps evaluate how well the different participants’ codings align with the large language model's coding.</w:t>
      </w:r>
    </w:p>
    <w:p w14:paraId="6F4091C6">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lang w:val="en-US" w:eastAsia="zh-CN"/>
        </w:rPr>
      </w:pPr>
    </w:p>
    <w:p w14:paraId="21E4C863">
      <w:pPr>
        <w:pStyle w:val="3"/>
        <w:keepNext w:val="0"/>
        <w:keepLines w:val="0"/>
        <w:widowControl/>
        <w:suppressLineNumbers w:val="0"/>
        <w:spacing w:before="0" w:beforeAutospacing="0" w:after="0" w:afterAutospacing="0"/>
        <w:ind w:left="0" w:right="0"/>
        <w:jc w:val="both"/>
        <w:rPr>
          <w:rFonts w:hint="default" w:ascii="Times New Roman Bold" w:hAnsi="Times New Roman Bold" w:eastAsia="times" w:cs="Times New Roman Bold"/>
          <w:b/>
          <w:bCs/>
          <w:i w:val="0"/>
          <w:iCs w:val="0"/>
          <w:sz w:val="21"/>
          <w:szCs w:val="21"/>
        </w:rPr>
      </w:pPr>
      <w:r>
        <w:rPr>
          <w:rFonts w:hint="eastAsia" w:ascii="Times New Roman Bold" w:hAnsi="Times New Roman Bold" w:eastAsia="times" w:cs="Times New Roman Bold"/>
          <w:b/>
          <w:bCs/>
          <w:i w:val="0"/>
          <w:iCs w:val="0"/>
          <w:caps w:val="0"/>
          <w:color w:val="000000"/>
          <w:spacing w:val="0"/>
          <w:sz w:val="21"/>
          <w:szCs w:val="21"/>
          <w:lang w:val="en-US" w:eastAsia="zh-CN"/>
        </w:rPr>
        <w:t>6</w:t>
      </w:r>
      <w:r>
        <w:rPr>
          <w:rFonts w:hint="default" w:ascii="Times New Roman Bold" w:hAnsi="Times New Roman Bold" w:eastAsia="times" w:cs="Times New Roman Bold"/>
          <w:b/>
          <w:bCs/>
          <w:i w:val="0"/>
          <w:iCs w:val="0"/>
          <w:caps w:val="0"/>
          <w:color w:val="000000"/>
          <w:spacing w:val="0"/>
          <w:sz w:val="21"/>
          <w:szCs w:val="21"/>
          <w:lang w:val="en-US" w:eastAsia="zh-CN"/>
        </w:rPr>
        <w:t xml:space="preserve">. </w:t>
      </w:r>
      <w:r>
        <w:rPr>
          <w:rFonts w:hint="default" w:ascii="Times New Roman Bold" w:hAnsi="Times New Roman Bold" w:eastAsia="times" w:cs="Times New Roman Bold"/>
          <w:b/>
          <w:bCs/>
          <w:i w:val="0"/>
          <w:iCs w:val="0"/>
          <w:caps w:val="0"/>
          <w:color w:val="000000"/>
          <w:spacing w:val="0"/>
          <w:sz w:val="21"/>
          <w:szCs w:val="21"/>
          <w:vertAlign w:val="baseline"/>
        </w:rPr>
        <w:t>Analysis of the results of the experiment:</w:t>
      </w:r>
    </w:p>
    <w:p w14:paraId="256C7429">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 If the inter-participant coding has a high consistency with the coding of the large language model, it means that the model has a good coding reliability and validity.</w:t>
      </w:r>
    </w:p>
    <w:p w14:paraId="757C8921">
      <w:pPr>
        <w:pStyle w:val="3"/>
        <w:keepNext w:val="0"/>
        <w:keepLines w:val="0"/>
        <w:widowControl/>
        <w:suppressLineNumbers w:val="0"/>
        <w:spacing w:before="0" w:beforeAutospacing="0" w:after="0" w:afterAutospacing="0"/>
        <w:ind w:left="0" w:right="0"/>
        <w:jc w:val="both"/>
        <w:rPr>
          <w:rFonts w:hint="default" w:ascii="Times New Roman" w:hAnsi="Times New Roman" w:eastAsia="times" w:cs="Times New Roman"/>
          <w:b w:val="0"/>
          <w:bCs w:val="0"/>
          <w:i w:val="0"/>
          <w:iCs w:val="0"/>
          <w:caps w:val="0"/>
          <w:color w:val="000000"/>
          <w:spacing w:val="0"/>
          <w:sz w:val="21"/>
          <w:szCs w:val="21"/>
          <w:vertAlign w:val="baseline"/>
        </w:rPr>
      </w:pPr>
    </w:p>
    <w:p w14:paraId="2381DF7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times" w:cs="Times New Roman"/>
          <w:b w:val="0"/>
          <w:i w:val="0"/>
          <w:iCs w:val="0"/>
          <w:sz w:val="21"/>
          <w:szCs w:val="21"/>
        </w:rPr>
      </w:pPr>
      <w:r>
        <w:rPr>
          <w:rFonts w:hint="default" w:ascii="Times New Roman" w:hAnsi="Times New Roman" w:eastAsia="times" w:cs="Times New Roman"/>
          <w:b w:val="0"/>
          <w:bCs w:val="0"/>
          <w:i w:val="0"/>
          <w:iCs w:val="0"/>
          <w:caps w:val="0"/>
          <w:color w:val="000000"/>
          <w:spacing w:val="0"/>
          <w:sz w:val="21"/>
          <w:szCs w:val="21"/>
          <w:vertAlign w:val="baseline"/>
        </w:rPr>
        <w:t>The Kappa coefficient is denoted as κ and the range of values: [-1,1]</w:t>
      </w:r>
    </w:p>
    <w:p w14:paraId="3106A2F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times" w:cs="Times New Roman"/>
          <w:b w:val="0"/>
          <w:i w:val="0"/>
          <w:iCs w:val="0"/>
          <w:sz w:val="21"/>
          <w:szCs w:val="21"/>
        </w:rPr>
      </w:pPr>
      <w:r>
        <w:rPr>
          <w:rFonts w:hint="default" w:ascii="Times New Roman" w:hAnsi="Times New Roman" w:eastAsia="times" w:cs="Times New Roman"/>
          <w:b w:val="0"/>
          <w:bCs w:val="0"/>
          <w:i w:val="0"/>
          <w:iCs w:val="0"/>
          <w:caps w:val="0"/>
          <w:color w:val="000000"/>
          <w:spacing w:val="0"/>
          <w:sz w:val="21"/>
          <w:szCs w:val="21"/>
          <w:vertAlign w:val="baseline"/>
        </w:rPr>
        <w:t>κ = -1: completely inconsistent</w:t>
      </w:r>
    </w:p>
    <w:p w14:paraId="627BF41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times" w:cs="Times New Roman"/>
          <w:b w:val="0"/>
          <w:i w:val="0"/>
          <w:iCs w:val="0"/>
          <w:sz w:val="21"/>
          <w:szCs w:val="21"/>
        </w:rPr>
      </w:pPr>
      <w:r>
        <w:rPr>
          <w:rFonts w:hint="default" w:ascii="Times New Roman" w:hAnsi="Times New Roman" w:eastAsia="times" w:cs="Times New Roman"/>
          <w:b w:val="0"/>
          <w:bCs w:val="0"/>
          <w:i w:val="0"/>
          <w:iCs w:val="0"/>
          <w:caps w:val="0"/>
          <w:color w:val="000000"/>
          <w:spacing w:val="0"/>
          <w:sz w:val="21"/>
          <w:szCs w:val="21"/>
          <w:vertAlign w:val="baseline"/>
        </w:rPr>
        <w:t>-1 &lt; κ &lt; 0: Observational consistency is less than opportunistic consistency, meaningless-</w:t>
      </w:r>
    </w:p>
    <w:p w14:paraId="28F3082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times" w:cs="Times New Roman"/>
          <w:b w:val="0"/>
          <w:i w:val="0"/>
          <w:iCs w:val="0"/>
          <w:sz w:val="21"/>
          <w:szCs w:val="21"/>
        </w:rPr>
      </w:pPr>
      <w:r>
        <w:rPr>
          <w:rFonts w:hint="default" w:ascii="Times New Roman" w:hAnsi="Times New Roman" w:eastAsia="times" w:cs="Times New Roman"/>
          <w:b w:val="0"/>
          <w:bCs w:val="0"/>
          <w:i w:val="0"/>
          <w:iCs w:val="0"/>
          <w:caps w:val="0"/>
          <w:color w:val="000000"/>
          <w:spacing w:val="0"/>
          <w:sz w:val="21"/>
          <w:szCs w:val="21"/>
          <w:vertAlign w:val="baseline"/>
        </w:rPr>
        <w:t>κ = 0: Consistency is entirely due to chance</w:t>
      </w:r>
    </w:p>
    <w:p w14:paraId="30111D2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times" w:cs="Times New Roman"/>
          <w:b w:val="0"/>
          <w:i w:val="0"/>
          <w:iCs w:val="0"/>
          <w:sz w:val="21"/>
          <w:szCs w:val="21"/>
        </w:rPr>
      </w:pPr>
      <w:r>
        <w:rPr>
          <w:rFonts w:hint="default" w:ascii="Times New Roman" w:hAnsi="Times New Roman" w:eastAsia="times" w:cs="Times New Roman"/>
          <w:b w:val="0"/>
          <w:bCs w:val="0"/>
          <w:i w:val="0"/>
          <w:iCs w:val="0"/>
          <w:caps w:val="0"/>
          <w:color w:val="000000"/>
          <w:spacing w:val="0"/>
          <w:sz w:val="21"/>
          <w:szCs w:val="21"/>
          <w:vertAlign w:val="baseline"/>
        </w:rPr>
        <w:t>κ = 1: perfect agreement</w:t>
      </w:r>
    </w:p>
    <w:p w14:paraId="4493A61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times" w:cs="Times New Roman"/>
          <w:b w:val="0"/>
          <w:i w:val="0"/>
          <w:iCs w:val="0"/>
          <w:sz w:val="21"/>
          <w:szCs w:val="21"/>
        </w:rPr>
      </w:pPr>
      <w:r>
        <w:rPr>
          <w:rFonts w:hint="default" w:ascii="Times New Roman" w:hAnsi="Times New Roman" w:eastAsia="times" w:cs="Times New Roman"/>
          <w:b w:val="0"/>
          <w:bCs w:val="0"/>
          <w:i w:val="0"/>
          <w:iCs w:val="0"/>
          <w:caps w:val="0"/>
          <w:color w:val="000000"/>
          <w:spacing w:val="0"/>
          <w:sz w:val="21"/>
          <w:szCs w:val="21"/>
          <w:vertAlign w:val="baseline"/>
        </w:rPr>
        <w:t>Generally speaking:</w:t>
      </w:r>
    </w:p>
    <w:p w14:paraId="0932FED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times" w:cs="Times New Roman"/>
          <w:b w:val="0"/>
          <w:i w:val="0"/>
          <w:iCs w:val="0"/>
          <w:sz w:val="21"/>
          <w:szCs w:val="21"/>
        </w:rPr>
      </w:pPr>
      <w:r>
        <w:rPr>
          <w:rFonts w:hint="default" w:ascii="Times New Roman" w:hAnsi="Times New Roman" w:eastAsia="times" w:cs="Times New Roman"/>
          <w:b w:val="0"/>
          <w:bCs w:val="0"/>
          <w:i w:val="0"/>
          <w:iCs w:val="0"/>
          <w:caps w:val="0"/>
          <w:color w:val="000000"/>
          <w:spacing w:val="0"/>
          <w:sz w:val="21"/>
          <w:szCs w:val="21"/>
          <w:vertAlign w:val="baseline"/>
        </w:rPr>
        <w:t>κ ≤ 0.40: poor consistency</w:t>
      </w:r>
    </w:p>
    <w:p w14:paraId="780ECD8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times" w:cs="Times New Roman"/>
          <w:b w:val="0"/>
          <w:i w:val="0"/>
          <w:iCs w:val="0"/>
          <w:sz w:val="21"/>
          <w:szCs w:val="21"/>
        </w:rPr>
      </w:pPr>
      <w:r>
        <w:rPr>
          <w:rFonts w:hint="default" w:ascii="Times New Roman" w:hAnsi="Times New Roman" w:eastAsia="times" w:cs="Times New Roman"/>
          <w:b w:val="0"/>
          <w:bCs w:val="0"/>
          <w:i w:val="0"/>
          <w:iCs w:val="0"/>
          <w:caps w:val="0"/>
          <w:color w:val="000000"/>
          <w:spacing w:val="0"/>
          <w:sz w:val="21"/>
          <w:szCs w:val="21"/>
          <w:vertAlign w:val="baseline"/>
        </w:rPr>
        <w:t>0.40 &lt; κ ≤ 0.60: moderate agreement</w:t>
      </w:r>
    </w:p>
    <w:p w14:paraId="3742A65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times" w:cs="Times New Roman"/>
          <w:b w:val="0"/>
          <w:i w:val="0"/>
          <w:iCs w:val="0"/>
          <w:sz w:val="21"/>
          <w:szCs w:val="21"/>
        </w:rPr>
      </w:pPr>
      <w:r>
        <w:rPr>
          <w:rFonts w:hint="default" w:ascii="Times New Roman" w:hAnsi="Times New Roman" w:eastAsia="times" w:cs="Times New Roman"/>
          <w:b w:val="0"/>
          <w:bCs w:val="0"/>
          <w:i w:val="0"/>
          <w:iCs w:val="0"/>
          <w:caps w:val="0"/>
          <w:color w:val="000000"/>
          <w:spacing w:val="0"/>
          <w:sz w:val="21"/>
          <w:szCs w:val="21"/>
          <w:vertAlign w:val="baseline"/>
        </w:rPr>
        <w:t>0.60 &lt; κ ≤ 0.80: higher consistency</w:t>
      </w:r>
    </w:p>
    <w:p w14:paraId="29A3EB7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times" w:cs="Times New Roman"/>
          <w:b w:val="0"/>
          <w:bCs w:val="0"/>
          <w:i w:val="0"/>
          <w:iCs w:val="0"/>
          <w:caps w:val="0"/>
          <w:color w:val="000000"/>
          <w:spacing w:val="0"/>
          <w:sz w:val="21"/>
          <w:szCs w:val="21"/>
          <w:vertAlign w:val="baseline"/>
        </w:rPr>
      </w:pPr>
      <w:r>
        <w:rPr>
          <w:rFonts w:hint="default" w:ascii="Times New Roman" w:hAnsi="Times New Roman" w:eastAsia="times" w:cs="Times New Roman"/>
          <w:b w:val="0"/>
          <w:bCs w:val="0"/>
          <w:i w:val="0"/>
          <w:iCs w:val="0"/>
          <w:caps w:val="0"/>
          <w:color w:val="000000"/>
          <w:spacing w:val="0"/>
          <w:sz w:val="21"/>
          <w:szCs w:val="21"/>
          <w:vertAlign w:val="baseline"/>
        </w:rPr>
        <w:t>κ &gt; 0.80: excellent agreement</w:t>
      </w:r>
    </w:p>
    <w:p w14:paraId="03A3978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times" w:cs="Times New Roman"/>
          <w:b w:val="0"/>
          <w:bCs w:val="0"/>
          <w:i w:val="0"/>
          <w:iCs w:val="0"/>
          <w:caps w:val="0"/>
          <w:color w:val="000000"/>
          <w:spacing w:val="0"/>
          <w:sz w:val="21"/>
          <w:szCs w:val="21"/>
          <w:vertAlign w:val="baseline"/>
        </w:rPr>
      </w:pPr>
    </w:p>
    <w:p w14:paraId="29C4842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times" w:cs="Times New Roman"/>
          <w:b w:val="0"/>
          <w:bCs w:val="0"/>
          <w:i w:val="0"/>
          <w:iCs w:val="0"/>
          <w:caps w:val="0"/>
          <w:color w:val="000000"/>
          <w:spacing w:val="0"/>
          <w:sz w:val="21"/>
          <w:szCs w:val="21"/>
          <w:vertAlign w:val="baseline"/>
        </w:rPr>
      </w:pPr>
    </w:p>
    <w:p w14:paraId="3AC419C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times" w:cs="Times New Roman"/>
          <w:b w:val="0"/>
          <w:bCs w:val="0"/>
          <w:i w:val="0"/>
          <w:iCs w:val="0"/>
          <w:caps w:val="0"/>
          <w:color w:val="000000"/>
          <w:spacing w:val="0"/>
          <w:sz w:val="21"/>
          <w:szCs w:val="21"/>
          <w:vertAlign w:val="baseline"/>
        </w:rPr>
      </w:pPr>
    </w:p>
    <w:p w14:paraId="554D9A8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times" w:cs="Times New Roman"/>
          <w:b w:val="0"/>
          <w:bCs w:val="0"/>
          <w:i w:val="0"/>
          <w:iCs w:val="0"/>
          <w:caps w:val="0"/>
          <w:color w:val="000000"/>
          <w:spacing w:val="0"/>
          <w:sz w:val="21"/>
          <w:szCs w:val="21"/>
          <w:vertAlign w:val="baseline"/>
        </w:rPr>
      </w:pPr>
    </w:p>
    <w:p w14:paraId="31C9334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w:hAnsi="Times New Roman" w:eastAsia="times" w:cs="Times New Roman"/>
          <w:b w:val="0"/>
          <w:bCs w:val="0"/>
          <w:i w:val="0"/>
          <w:iCs w:val="0"/>
          <w:caps w:val="0"/>
          <w:color w:val="000000"/>
          <w:spacing w:val="0"/>
          <w:sz w:val="21"/>
          <w:szCs w:val="21"/>
          <w:vertAlign w:val="baseline"/>
        </w:rPr>
      </w:pPr>
    </w:p>
    <w:p w14:paraId="78DF659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default" w:ascii="Times New Roman Bold" w:hAnsi="Times New Roman Bold" w:eastAsia="times" w:cs="Times New Roman Bold"/>
          <w:b/>
          <w:bCs/>
          <w:i w:val="0"/>
          <w:iCs w:val="0"/>
          <w:caps w:val="0"/>
          <w:color w:val="000000"/>
          <w:spacing w:val="0"/>
          <w:sz w:val="21"/>
          <w:szCs w:val="21"/>
          <w:vertAlign w:val="baseline"/>
          <w:lang w:val="en-US" w:eastAsia="zh-CN"/>
        </w:rPr>
      </w:pPr>
      <w:r>
        <w:rPr>
          <w:rFonts w:hint="default" w:ascii="Times New Roman Bold" w:hAnsi="Times New Roman Bold" w:eastAsia="times" w:cs="Times New Roman Bold"/>
          <w:b/>
          <w:bCs/>
          <w:i w:val="0"/>
          <w:iCs w:val="0"/>
          <w:caps w:val="0"/>
          <w:color w:val="000000"/>
          <w:spacing w:val="0"/>
          <w:sz w:val="21"/>
          <w:szCs w:val="21"/>
          <w:vertAlign w:val="baseline"/>
          <w:lang w:val="en-US" w:eastAsia="zh-CN"/>
        </w:rPr>
        <w:t>This is the questionnaire for this reliability test.</w:t>
      </w:r>
    </w:p>
    <w:p w14:paraId="6B417C3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0"/>
        <w:jc w:val="both"/>
        <w:textAlignment w:val="auto"/>
        <w:rPr>
          <w:rFonts w:hint="eastAsia" w:ascii="Times New Roman" w:hAnsi="Times New Roman" w:eastAsia="times" w:cs="Times New Roman"/>
          <w:b w:val="0"/>
          <w:bCs w:val="0"/>
          <w:i w:val="0"/>
          <w:iCs w:val="0"/>
          <w:caps w:val="0"/>
          <w:color w:val="000000"/>
          <w:spacing w:val="0"/>
          <w:sz w:val="21"/>
          <w:szCs w:val="21"/>
          <w:vertAlign w:val="baseline"/>
          <w:lang w:val="en-US" w:eastAsia="zh-CN"/>
        </w:rPr>
      </w:pPr>
    </w:p>
    <w:p w14:paraId="30E53BCB">
      <w:pPr>
        <w:rPr>
          <w:rFonts w:hint="default" w:ascii="Times New Roman Bold" w:hAnsi="Times New Roman Bold" w:eastAsia="times" w:cs="Times New Roman Bold"/>
          <w:b/>
          <w:bCs/>
          <w:i w:val="0"/>
          <w:iCs w:val="0"/>
          <w:sz w:val="21"/>
          <w:szCs w:val="21"/>
        </w:rPr>
      </w:pPr>
      <w:r>
        <w:rPr>
          <w:rFonts w:hint="default" w:ascii="Times New Roman Bold" w:hAnsi="Times New Roman Bold" w:eastAsia="times" w:cs="Times New Roman Bold"/>
          <w:b/>
          <w:bCs/>
          <w:i w:val="0"/>
          <w:iCs w:val="0"/>
          <w:sz w:val="21"/>
          <w:szCs w:val="21"/>
        </w:rPr>
        <w:t>Reliability Test Questionnaire of Modes of Water-related Cooperation</w:t>
      </w:r>
    </w:p>
    <w:p w14:paraId="682A2331">
      <w:pPr>
        <w:rPr>
          <w:rFonts w:hint="default" w:ascii="Times New Roman" w:hAnsi="Times New Roman" w:eastAsia="times" w:cs="Times New Roman"/>
          <w:b w:val="0"/>
          <w:i w:val="0"/>
          <w:iCs w:val="0"/>
          <w:sz w:val="21"/>
          <w:szCs w:val="21"/>
        </w:rPr>
      </w:pPr>
    </w:p>
    <w:p w14:paraId="55C6C387">
      <w:pPr>
        <w:rPr>
          <w:rFonts w:hint="default" w:ascii="Times New Roman" w:hAnsi="Times New Roman" w:eastAsia="times" w:cs="Times New Roman"/>
          <w:b w:val="0"/>
          <w:i w:val="0"/>
          <w:iCs w:val="0"/>
          <w:sz w:val="21"/>
          <w:szCs w:val="21"/>
        </w:rPr>
      </w:pPr>
      <w:r>
        <w:rPr>
          <w:rFonts w:hint="default" w:ascii="Times New Roman" w:hAnsi="Times New Roman" w:eastAsia="times" w:cs="Times New Roman"/>
          <w:b w:val="0"/>
          <w:i w:val="0"/>
          <w:iCs w:val="0"/>
          <w:sz w:val="21"/>
          <w:szCs w:val="21"/>
          <w:lang w:val="en-US" w:eastAsia="zh-CN"/>
        </w:rPr>
        <w:t xml:space="preserve">Thank you for participating in the manual coding work of our research project! This questionnaire can take from 20 minutes to 1 hour, depending on your approach. </w:t>
      </w:r>
      <w:r>
        <w:rPr>
          <w:rFonts w:hint="default" w:ascii="Times New Roman" w:hAnsi="Times New Roman" w:eastAsia="times" w:cs="Times New Roman"/>
          <w:b w:val="0"/>
          <w:i w:val="0"/>
          <w:iCs w:val="0"/>
          <w:sz w:val="21"/>
          <w:szCs w:val="21"/>
          <w:lang w:val="en-US" w:eastAsia="zh-CN"/>
        </w:rPr>
        <w:br w:type="textWrapping"/>
      </w:r>
      <w:r>
        <w:rPr>
          <w:rFonts w:hint="default" w:ascii="Times New Roman" w:hAnsi="Times New Roman" w:eastAsia="times" w:cs="Times New Roman"/>
          <w:b w:val="0"/>
          <w:i w:val="0"/>
          <w:iCs w:val="0"/>
          <w:sz w:val="21"/>
          <w:szCs w:val="21"/>
          <w:lang w:val="en-US" w:eastAsia="zh-CN"/>
        </w:rPr>
        <w:br w:type="textWrapping"/>
      </w:r>
      <w:r>
        <w:rPr>
          <w:rFonts w:hint="default" w:ascii="Times New Roman" w:hAnsi="Times New Roman" w:eastAsia="times" w:cs="Times New Roman"/>
          <w:b w:val="0"/>
          <w:i w:val="0"/>
          <w:iCs w:val="0"/>
          <w:sz w:val="21"/>
          <w:szCs w:val="21"/>
          <w:lang w:val="en-US" w:eastAsia="zh-CN"/>
        </w:rPr>
        <w:t>Our project focuses on identifying patterns that can reduce water-related conflicts worldwide and predicting the extent to which these patterns can mitigate such conflicts in the future thereby bringing benefits to the world. We have utilized Large Language Models(LLM) in our project, and your coding results will be used to verify the reliability of the LLM clustering outcomes. </w:t>
      </w:r>
    </w:p>
    <w:p w14:paraId="6F782F70">
      <w:pPr>
        <w:rPr>
          <w:rFonts w:hint="default" w:ascii="Times New Roman" w:hAnsi="Times New Roman" w:eastAsia="times" w:cs="Times New Roman"/>
          <w:b w:val="0"/>
          <w:i w:val="0"/>
          <w:iCs w:val="0"/>
          <w:sz w:val="21"/>
          <w:szCs w:val="21"/>
        </w:rPr>
      </w:pPr>
    </w:p>
    <w:p w14:paraId="7386E27D">
      <w:pPr>
        <w:rPr>
          <w:rFonts w:hint="default" w:ascii="Times New Roman" w:hAnsi="Times New Roman" w:eastAsia="times" w:cs="Times New Roman"/>
          <w:b w:val="0"/>
          <w:i w:val="0"/>
          <w:iCs w:val="0"/>
          <w:sz w:val="21"/>
          <w:szCs w:val="21"/>
        </w:rPr>
      </w:pPr>
      <w:r>
        <w:rPr>
          <w:rFonts w:hint="default" w:ascii="Times New Roman" w:hAnsi="Times New Roman" w:eastAsia="times" w:cs="Times New Roman"/>
          <w:b w:val="0"/>
          <w:i w:val="0"/>
          <w:iCs w:val="0"/>
          <w:sz w:val="21"/>
          <w:szCs w:val="21"/>
          <w:lang w:val="en-US" w:eastAsia="zh-CN"/>
        </w:rPr>
        <w:t>Here, "coding" means categorizing news texts based on Modes of Water-related Cooperation to verify the reliability of LLM clustering results.</w:t>
      </w:r>
    </w:p>
    <w:p w14:paraId="54D98114">
      <w:pPr>
        <w:rPr>
          <w:rFonts w:hint="default" w:ascii="Times New Roman" w:hAnsi="Times New Roman" w:eastAsia="times" w:cs="Times New Roman"/>
          <w:b w:val="0"/>
          <w:i w:val="0"/>
          <w:iCs w:val="0"/>
          <w:sz w:val="21"/>
          <w:szCs w:val="21"/>
        </w:rPr>
      </w:pPr>
    </w:p>
    <w:p w14:paraId="75E2E831">
      <w:pPr>
        <w:rPr>
          <w:rFonts w:hint="default" w:ascii="Times New Roman" w:hAnsi="Times New Roman" w:eastAsia="times" w:cs="Times New Roman"/>
          <w:b w:val="0"/>
          <w:i w:val="0"/>
          <w:iCs w:val="0"/>
          <w:sz w:val="21"/>
          <w:szCs w:val="21"/>
        </w:rPr>
      </w:pPr>
      <w:r>
        <w:rPr>
          <w:rFonts w:hint="default" w:ascii="Times New Roman" w:hAnsi="Times New Roman" w:eastAsia="times" w:cs="Times New Roman"/>
          <w:b w:val="0"/>
          <w:i w:val="0"/>
          <w:iCs w:val="0"/>
          <w:sz w:val="21"/>
          <w:szCs w:val="21"/>
        </w:rPr>
        <w:t>Next, you'll read an explanation of the six collaboration modes to give you some idea of each option before coding.</w:t>
      </w:r>
    </w:p>
    <w:p w14:paraId="3A02FABD">
      <w:pPr>
        <w:rPr>
          <w:rFonts w:hint="default" w:ascii="Times New Roman" w:hAnsi="Times New Roman" w:eastAsia="times" w:cs="Times New Roman"/>
          <w:b w:val="0"/>
          <w:i w:val="0"/>
          <w:iCs w:val="0"/>
          <w:sz w:val="21"/>
          <w:szCs w:val="21"/>
        </w:rPr>
      </w:pPr>
    </w:p>
    <w:p w14:paraId="65445DCB">
      <w:pPr>
        <w:rPr>
          <w:rFonts w:hint="default" w:ascii="Times New Roman" w:hAnsi="Times New Roman" w:eastAsia="times" w:cs="Times New Roman"/>
          <w:b w:val="0"/>
          <w:i w:val="0"/>
          <w:iCs w:val="0"/>
          <w:sz w:val="21"/>
          <w:szCs w:val="21"/>
        </w:rPr>
      </w:pPr>
      <w:r>
        <w:rPr>
          <w:rFonts w:hint="default" w:ascii="Times New Roman" w:hAnsi="Times New Roman" w:eastAsia="times" w:cs="Times New Roman"/>
          <w:b w:val="0"/>
          <w:i w:val="0"/>
          <w:iCs w:val="0"/>
          <w:sz w:val="21"/>
          <w:szCs w:val="21"/>
        </w:rPr>
        <w:t>Mode1: Joint Data-Sharing Systems</w:t>
      </w:r>
    </w:p>
    <w:p w14:paraId="2B5C2D42">
      <w:pPr>
        <w:rPr>
          <w:rFonts w:hint="default" w:ascii="Times New Roman" w:hAnsi="Times New Roman" w:eastAsia="times" w:cs="Times New Roman"/>
          <w:b w:val="0"/>
          <w:i w:val="0"/>
          <w:iCs w:val="0"/>
          <w:sz w:val="21"/>
          <w:szCs w:val="21"/>
        </w:rPr>
      </w:pPr>
      <w:r>
        <w:rPr>
          <w:rFonts w:hint="default" w:ascii="Times New Roman" w:hAnsi="Times New Roman" w:eastAsia="times" w:cs="Times New Roman"/>
          <w:b w:val="0"/>
          <w:i w:val="0"/>
          <w:iCs w:val="0"/>
          <w:sz w:val="21"/>
          <w:szCs w:val="21"/>
        </w:rPr>
        <w:t>A Joint Data-Sharing System refers to a collaborative framework established between two or more countries or regions that share a transboundary water body, such as a river, lake, or aquifer. This system involves the systematic collection, exchange, and analysis of hydrological, meteorological, and environmental data to support informed decision-making, sustainable water management, and conflict prevention. The sharing of data enhances transparency, builds trust among stakeholders, and facilitates coordinated responses to water-related challenges such as droughts, floods, and pollution.</w:t>
      </w:r>
    </w:p>
    <w:p w14:paraId="7D0FD106">
      <w:pPr>
        <w:rPr>
          <w:rFonts w:hint="default" w:ascii="Times New Roman" w:hAnsi="Times New Roman" w:eastAsia="times" w:cs="Times New Roman"/>
          <w:b w:val="0"/>
          <w:i w:val="0"/>
          <w:iCs w:val="0"/>
          <w:sz w:val="21"/>
          <w:szCs w:val="21"/>
        </w:rPr>
      </w:pPr>
      <w:r>
        <w:rPr>
          <w:rFonts w:hint="default" w:ascii="Times New Roman" w:hAnsi="Times New Roman" w:eastAsia="times" w:cs="Times New Roman"/>
          <w:b w:val="0"/>
          <w:i w:val="0"/>
          <w:iCs w:val="0"/>
          <w:sz w:val="21"/>
          <w:szCs w:val="21"/>
        </w:rPr>
        <w:t>One of the key initiatives of the Mekong River Commission (MRC) is the development of a joint data sharing system for hydrological and environmental data. Does it belong to the Joint Data Sharing Systems?</w:t>
      </w:r>
    </w:p>
    <w:p w14:paraId="4F63E7E4">
      <w:pPr>
        <w:rPr>
          <w:rFonts w:hint="default" w:ascii="Times New Roman" w:hAnsi="Times New Roman" w:eastAsia="times" w:cs="Times New Roman"/>
          <w:b w:val="0"/>
          <w:i w:val="0"/>
          <w:iCs w:val="0"/>
          <w:sz w:val="21"/>
          <w:szCs w:val="21"/>
          <w:lang w:val="en-US" w:eastAsia="zh-CN"/>
        </w:rPr>
      </w:pPr>
      <w:r>
        <w:rPr>
          <w:rFonts w:hint="eastAsia" w:ascii="Times New Roman" w:hAnsi="Times New Roman" w:eastAsia="times" w:cs="Times New Roman"/>
          <w:b w:val="0"/>
          <w:i w:val="0"/>
          <w:iCs w:val="0"/>
          <w:sz w:val="21"/>
          <w:szCs w:val="21"/>
          <w:lang w:val="en-US" w:eastAsia="zh-CN"/>
        </w:rPr>
        <w:t>-Yes</w:t>
      </w:r>
      <w:r>
        <w:rPr>
          <w:rFonts w:hint="default" w:ascii="Times New Roman" w:hAnsi="Times New Roman" w:eastAsia="times" w:cs="Times New Roman"/>
          <w:b w:val="0"/>
          <w:i w:val="0"/>
          <w:iCs w:val="0"/>
          <w:sz w:val="21"/>
          <w:szCs w:val="21"/>
          <w:lang w:val="en-US" w:eastAsia="zh-CN"/>
        </w:rPr>
        <w:t>.</w:t>
      </w:r>
    </w:p>
    <w:p w14:paraId="470DA1AC">
      <w:pPr>
        <w:rPr>
          <w:rFonts w:hint="default" w:ascii="Times New Roman" w:hAnsi="Times New Roman" w:eastAsia="times" w:cs="Times New Roman"/>
          <w:b w:val="0"/>
          <w:i w:val="0"/>
          <w:iCs w:val="0"/>
          <w:sz w:val="21"/>
          <w:szCs w:val="21"/>
          <w:lang w:val="en-US" w:eastAsia="zh-CN"/>
        </w:rPr>
      </w:pPr>
    </w:p>
    <w:p w14:paraId="747B66FC">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Mode2: Cross-Border Basin Agreements</w:t>
      </w:r>
    </w:p>
    <w:p w14:paraId="4788F9D0">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Cross-border basin agreements refer to formal arrangements between two or more countries that share a river basin, aiming to manage and utilize the shared water resources cooperatively and sustainably. These agreements typically involve coordinated efforts in water allocation, conservation, flood control, pollution reduction, and ecosystem preservation. They are designed to promote mutual benefits, prevent conflicts, and ensure that the needs of all riparian states are met equitably.</w:t>
      </w:r>
    </w:p>
    <w:p w14:paraId="038B07D1">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2010, these countries signed the Guarani Aquifer Agreement to establish a legal and institutional framework for the sustainable management and conservation of the aquifer. Is it one of the cross-border river basin agreements?</w:t>
      </w:r>
    </w:p>
    <w:p w14:paraId="39F99A7D">
      <w:pPr>
        <w:rPr>
          <w:rFonts w:hint="default" w:ascii="Times New Roman" w:hAnsi="Times New Roman" w:eastAsia="times" w:cs="Times New Roman"/>
          <w:b w:val="0"/>
          <w:i w:val="0"/>
          <w:iCs w:val="0"/>
          <w:sz w:val="21"/>
          <w:szCs w:val="21"/>
          <w:lang w:val="en-US" w:eastAsia="zh-CN"/>
        </w:rPr>
      </w:pPr>
      <w:r>
        <w:rPr>
          <w:rFonts w:hint="eastAsia" w:ascii="Times New Roman" w:hAnsi="Times New Roman" w:eastAsia="times" w:cs="Times New Roman"/>
          <w:b w:val="0"/>
          <w:i w:val="0"/>
          <w:iCs w:val="0"/>
          <w:sz w:val="21"/>
          <w:szCs w:val="21"/>
          <w:lang w:val="en-US" w:eastAsia="zh-CN"/>
        </w:rPr>
        <w:t>-Yes</w:t>
      </w:r>
      <w:r>
        <w:rPr>
          <w:rFonts w:hint="default" w:ascii="Times New Roman" w:hAnsi="Times New Roman" w:eastAsia="times" w:cs="Times New Roman"/>
          <w:b w:val="0"/>
          <w:i w:val="0"/>
          <w:iCs w:val="0"/>
          <w:sz w:val="21"/>
          <w:szCs w:val="21"/>
          <w:lang w:val="en-US" w:eastAsia="zh-CN"/>
        </w:rPr>
        <w:t>.</w:t>
      </w:r>
    </w:p>
    <w:p w14:paraId="46376C3E">
      <w:pPr>
        <w:rPr>
          <w:rFonts w:hint="default" w:ascii="Times New Roman" w:hAnsi="Times New Roman" w:eastAsia="times" w:cs="Times New Roman"/>
          <w:b w:val="0"/>
          <w:i w:val="0"/>
          <w:iCs w:val="0"/>
          <w:sz w:val="21"/>
          <w:szCs w:val="21"/>
          <w:lang w:val="en-US" w:eastAsia="zh-CN"/>
        </w:rPr>
      </w:pPr>
    </w:p>
    <w:p w14:paraId="327E9814">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Mode3: Transboundary Water Quality Standards</w:t>
      </w:r>
    </w:p>
    <w:p w14:paraId="063C5E29">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Transboundary water quality standards refer to the agreed-upon criteria and regulations established by countries sharing a water body, such as a river, lake, or aquifer, to maintain or improve the quality of water. These standards are crucial for preventing pollution, protecting ecosystems, and ensuring the availability of clean water for all riparian nations. Cooperative transboundary water management involves collaborative efforts, often facilitated by international agreements or organizations, to monitor, maintain, and enhance water quality across borders. Effective implementation of these standards typically requires joint monitoring programs and coordinated policies to address sources of pollution and mitigate their impacts.</w:t>
      </w:r>
    </w:p>
    <w:p w14:paraId="1BE408AE">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The Great Lakes Water Quality Agreement (GLWQA) is a bilateral agreement between the United States and Canada that focuses on restoring and maintaining the chemical, physical and biological integrity of the Great Lakes Basin ecosystem. The agreement includes specific water quality goals and standards, as well as cooperative monitoring and reporting mechanisms. Is it one of the transboundary water quality standards?</w:t>
      </w:r>
    </w:p>
    <w:p w14:paraId="199B8747">
      <w:pPr>
        <w:rPr>
          <w:rFonts w:hint="default" w:ascii="Times New Roman" w:hAnsi="Times New Roman" w:eastAsia="times" w:cs="Times New Roman"/>
          <w:b w:val="0"/>
          <w:i w:val="0"/>
          <w:iCs w:val="0"/>
          <w:sz w:val="21"/>
          <w:szCs w:val="21"/>
          <w:lang w:val="en-US" w:eastAsia="zh-CN"/>
        </w:rPr>
      </w:pPr>
      <w:r>
        <w:rPr>
          <w:rFonts w:hint="eastAsia" w:ascii="Times New Roman" w:hAnsi="Times New Roman" w:eastAsia="times" w:cs="Times New Roman"/>
          <w:b w:val="0"/>
          <w:i w:val="0"/>
          <w:iCs w:val="0"/>
          <w:sz w:val="21"/>
          <w:szCs w:val="21"/>
          <w:lang w:val="en-US" w:eastAsia="zh-CN"/>
        </w:rPr>
        <w:t>-Yes</w:t>
      </w:r>
      <w:r>
        <w:rPr>
          <w:rFonts w:hint="default" w:ascii="Times New Roman" w:hAnsi="Times New Roman" w:eastAsia="times" w:cs="Times New Roman"/>
          <w:b w:val="0"/>
          <w:i w:val="0"/>
          <w:iCs w:val="0"/>
          <w:sz w:val="21"/>
          <w:szCs w:val="21"/>
          <w:lang w:val="en-US" w:eastAsia="zh-CN"/>
        </w:rPr>
        <w:t>.</w:t>
      </w:r>
    </w:p>
    <w:p w14:paraId="757295B9">
      <w:pPr>
        <w:rPr>
          <w:rFonts w:hint="default" w:ascii="Times New Roman" w:hAnsi="Times New Roman" w:eastAsia="times" w:cs="Times New Roman"/>
          <w:b w:val="0"/>
          <w:i w:val="0"/>
          <w:iCs w:val="0"/>
          <w:sz w:val="21"/>
          <w:szCs w:val="21"/>
          <w:lang w:val="en-US" w:eastAsia="zh-CN"/>
        </w:rPr>
      </w:pPr>
    </w:p>
    <w:p w14:paraId="51D531D7">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Mode4: Coordinated Hydropower Operations</w:t>
      </w:r>
    </w:p>
    <w:p w14:paraId="6B74CA1E">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The label "Coordinated Hydropower Operations" refers to the collaborative management and operation of hydropower facilities by two or more countries sharing a transboundary watercourse. This coordination aims to optimize the production of electricity, ensure equitable water distribution, manage flood risks, and support environmental sustainability. Such cooperation often involves synchronized dam releases, shared data on water flows and meteorological conditions, and joint decision-making frameworks to balance various needs, including energy production, agricultural irrigation, and ecosystem preservation.</w:t>
      </w:r>
    </w:p>
    <w:p w14:paraId="193EE2F0">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The Zambezi River Authority (ZRA) manages the Kariba Dam, which straddles the border between Zambia and Zimbabwe. ZRA ensures the coordinated operation of the dam to maximise hydropower generation while taking into account seasonal variations in water flow. Is it part of coordinated hydropower operations?</w:t>
      </w:r>
    </w:p>
    <w:p w14:paraId="2E5B2EC1">
      <w:pPr>
        <w:rPr>
          <w:rFonts w:hint="default" w:ascii="Times New Roman" w:hAnsi="Times New Roman" w:eastAsia="times" w:cs="Times New Roman"/>
          <w:b w:val="0"/>
          <w:i w:val="0"/>
          <w:iCs w:val="0"/>
          <w:sz w:val="21"/>
          <w:szCs w:val="21"/>
          <w:lang w:val="en-US" w:eastAsia="zh-CN"/>
        </w:rPr>
      </w:pPr>
      <w:r>
        <w:rPr>
          <w:rFonts w:hint="eastAsia" w:ascii="Times New Roman" w:hAnsi="Times New Roman" w:eastAsia="times" w:cs="Times New Roman"/>
          <w:b w:val="0"/>
          <w:i w:val="0"/>
          <w:iCs w:val="0"/>
          <w:sz w:val="21"/>
          <w:szCs w:val="21"/>
          <w:lang w:val="en-US" w:eastAsia="zh-CN"/>
        </w:rPr>
        <w:t>-Yes</w:t>
      </w:r>
      <w:r>
        <w:rPr>
          <w:rFonts w:hint="default" w:ascii="Times New Roman" w:hAnsi="Times New Roman" w:eastAsia="times" w:cs="Times New Roman"/>
          <w:b w:val="0"/>
          <w:i w:val="0"/>
          <w:iCs w:val="0"/>
          <w:sz w:val="21"/>
          <w:szCs w:val="21"/>
          <w:lang w:val="en-US" w:eastAsia="zh-CN"/>
        </w:rPr>
        <w:t>.</w:t>
      </w:r>
    </w:p>
    <w:p w14:paraId="155973DD">
      <w:pPr>
        <w:rPr>
          <w:rFonts w:hint="default" w:ascii="Times New Roman" w:hAnsi="Times New Roman" w:eastAsia="times" w:cs="Times New Roman"/>
          <w:b w:val="0"/>
          <w:i w:val="0"/>
          <w:iCs w:val="0"/>
          <w:sz w:val="21"/>
          <w:szCs w:val="21"/>
          <w:lang w:val="en-US" w:eastAsia="zh-CN"/>
        </w:rPr>
      </w:pPr>
    </w:p>
    <w:p w14:paraId="45BD2FE9">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Mode5: Joint Water Allocation Models</w:t>
      </w:r>
    </w:p>
    <w:p w14:paraId="700534FF">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Joint water allocation models refer to collaborative frameworks and mathematical models developed and implemented by multiple countries or regions sharing a transboundary water source. These models are designed to equitably allocate water resources among the stakeholders based on agreed criteria, which can include factors such as water availability, demand, environmental sustainability, and socio-economic considerations. The goal is to optimize the use of shared water resources in a manner that minimizes conflicts, promotes cooperation, and ensures sustainable management.</w:t>
      </w:r>
    </w:p>
    <w:p w14:paraId="3F0D287F">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The integrated water resources management strategy of the Zambezi River Commission (ZAMCOM):</w:t>
      </w:r>
    </w:p>
    <w:p w14:paraId="08C1551A">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ZAMCOM, which comprises eight riparian countries (Angola, Botswana, Malawi, Mozambique, Namibia, Tanzania, Zambia and Zimbabwe), has developed an Integrated Water Resources Management (IWRM) strategy that includes a Joint Water Allocation Model. Is it one of the Joint Water Allocation Models?</w:t>
      </w:r>
    </w:p>
    <w:p w14:paraId="2786A454">
      <w:pPr>
        <w:rPr>
          <w:rFonts w:hint="default" w:ascii="Times New Roman" w:hAnsi="Times New Roman" w:eastAsia="times" w:cs="Times New Roman"/>
          <w:b w:val="0"/>
          <w:i w:val="0"/>
          <w:iCs w:val="0"/>
          <w:sz w:val="21"/>
          <w:szCs w:val="21"/>
          <w:lang w:val="en-US" w:eastAsia="zh-CN"/>
        </w:rPr>
      </w:pPr>
      <w:r>
        <w:rPr>
          <w:rFonts w:hint="eastAsia" w:ascii="Times New Roman" w:hAnsi="Times New Roman" w:eastAsia="times" w:cs="Times New Roman"/>
          <w:b w:val="0"/>
          <w:i w:val="0"/>
          <w:iCs w:val="0"/>
          <w:sz w:val="21"/>
          <w:szCs w:val="21"/>
          <w:lang w:val="en-US" w:eastAsia="zh-CN"/>
        </w:rPr>
        <w:t>-Yes</w:t>
      </w:r>
      <w:r>
        <w:rPr>
          <w:rFonts w:hint="default" w:ascii="Times New Roman" w:hAnsi="Times New Roman" w:eastAsia="times" w:cs="Times New Roman"/>
          <w:b w:val="0"/>
          <w:i w:val="0"/>
          <w:iCs w:val="0"/>
          <w:sz w:val="21"/>
          <w:szCs w:val="21"/>
          <w:lang w:val="en-US" w:eastAsia="zh-CN"/>
        </w:rPr>
        <w:t>.</w:t>
      </w:r>
    </w:p>
    <w:p w14:paraId="6F2B827C">
      <w:pPr>
        <w:rPr>
          <w:rFonts w:hint="default" w:ascii="Times New Roman" w:hAnsi="Times New Roman" w:eastAsia="times" w:cs="Times New Roman"/>
          <w:b w:val="0"/>
          <w:i w:val="0"/>
          <w:iCs w:val="0"/>
          <w:sz w:val="21"/>
          <w:szCs w:val="21"/>
          <w:lang w:val="en-US" w:eastAsia="zh-CN"/>
        </w:rPr>
      </w:pPr>
    </w:p>
    <w:p w14:paraId="19446C14">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Mode6: Collaborative Planning and Adaptation Strategies</w:t>
      </w:r>
    </w:p>
    <w:p w14:paraId="35F69ADD">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Collaborative Planning and Adaptation Strategies refers to the process where multiple stakeholders, often from different political or administrative regions, work together to manage and utilize a shared river basin sustainably, and to address the impacts of climate change on shared water resources. This cooperative approach involves joint decision-making, integrated water resource management, conflict resolution, mitigate risks, and enhance resilience to climate-related challenges, and the harmonization of policies. Collaborative planning typically includes joint monitoring, the establishment of shared governance structures, water conservation, infrastructure improvements, capacity building, and the implementation of coordinated action plans to address common challenges such as water scarcity, pollution, and ecosystem degradation.</w:t>
      </w:r>
    </w:p>
    <w:p w14:paraId="346AE604">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The Meuse River Basin is shared by Belgium and the Netherlands, and both countries have implemented an adaptive flood management strategy through the Maaswerken project. Does it belong to Collaborative Planning and Adaptation Strategies?</w:t>
      </w:r>
    </w:p>
    <w:p w14:paraId="2719875C">
      <w:pPr>
        <w:rPr>
          <w:rFonts w:hint="default" w:ascii="Times New Roman" w:hAnsi="Times New Roman" w:eastAsia="times" w:cs="Times New Roman"/>
          <w:b w:val="0"/>
          <w:i w:val="0"/>
          <w:iCs w:val="0"/>
          <w:sz w:val="21"/>
          <w:szCs w:val="21"/>
          <w:lang w:val="en-US" w:eastAsia="zh-CN"/>
        </w:rPr>
      </w:pPr>
      <w:r>
        <w:rPr>
          <w:rFonts w:hint="eastAsia" w:ascii="Times New Roman" w:hAnsi="Times New Roman" w:eastAsia="times" w:cs="Times New Roman"/>
          <w:b w:val="0"/>
          <w:i w:val="0"/>
          <w:iCs w:val="0"/>
          <w:sz w:val="21"/>
          <w:szCs w:val="21"/>
          <w:lang w:val="en-US" w:eastAsia="zh-CN"/>
        </w:rPr>
        <w:t>-Yes</w:t>
      </w:r>
      <w:r>
        <w:rPr>
          <w:rFonts w:hint="default" w:ascii="Times New Roman" w:hAnsi="Times New Roman" w:eastAsia="times" w:cs="Times New Roman"/>
          <w:b w:val="0"/>
          <w:i w:val="0"/>
          <w:iCs w:val="0"/>
          <w:sz w:val="21"/>
          <w:szCs w:val="21"/>
          <w:lang w:val="en-US" w:eastAsia="zh-CN"/>
        </w:rPr>
        <w:t>.</w:t>
      </w:r>
    </w:p>
    <w:p w14:paraId="78692FAB">
      <w:pPr>
        <w:rPr>
          <w:rFonts w:hint="default" w:ascii="Times New Roman" w:hAnsi="Times New Roman" w:eastAsia="times" w:cs="Times New Roman"/>
          <w:b w:val="0"/>
          <w:i w:val="0"/>
          <w:iCs w:val="0"/>
          <w:sz w:val="21"/>
          <w:szCs w:val="21"/>
          <w:lang w:val="en-US" w:eastAsia="zh-CN"/>
        </w:rPr>
      </w:pPr>
    </w:p>
    <w:p w14:paraId="6EB59578">
      <w:pPr>
        <w:rPr>
          <w:rFonts w:hint="default" w:ascii="Times New Roman Bold" w:hAnsi="Times New Roman Bold" w:eastAsia="times" w:cs="Times New Roman Bold"/>
          <w:b/>
          <w:bCs/>
          <w:i w:val="0"/>
          <w:iCs w:val="0"/>
          <w:sz w:val="21"/>
          <w:szCs w:val="21"/>
          <w:lang w:val="en-US" w:eastAsia="zh-CN"/>
        </w:rPr>
      </w:pPr>
      <w:r>
        <w:rPr>
          <w:rFonts w:hint="default" w:ascii="Times New Roman Bold" w:hAnsi="Times New Roman Bold" w:eastAsia="times" w:cs="Times New Roman Bold"/>
          <w:b/>
          <w:bCs/>
          <w:i w:val="0"/>
          <w:iCs w:val="0"/>
          <w:sz w:val="21"/>
          <w:szCs w:val="21"/>
          <w:lang w:val="en-US" w:eastAsia="zh-CN"/>
        </w:rPr>
        <w:t>Next, there will be 18 events for you to code.</w:t>
      </w:r>
    </w:p>
    <w:p w14:paraId="29ECBAE8">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Guidelines</w:t>
      </w:r>
    </w:p>
    <w:p w14:paraId="571A8883">
      <w:pPr>
        <w:rPr>
          <w:rFonts w:hint="default" w:ascii="Times New Roman" w:hAnsi="Times New Roman" w:eastAsia="times" w:cs="Times New Roman"/>
          <w:b w:val="0"/>
          <w:i w:val="0"/>
          <w:iCs w:val="0"/>
          <w:sz w:val="21"/>
          <w:szCs w:val="21"/>
          <w:lang w:val="en-US" w:eastAsia="zh-CN"/>
        </w:rPr>
      </w:pPr>
    </w:p>
    <w:p w14:paraId="45C836B3">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Mode 1: Joint Data-Sharing Systems – Countries collaborate to collect, exchange, and analyze water-related data.</w:t>
      </w:r>
    </w:p>
    <w:p w14:paraId="42374584">
      <w:pPr>
        <w:rPr>
          <w:rFonts w:hint="default" w:ascii="Times New Roman" w:hAnsi="Times New Roman" w:eastAsia="times" w:cs="Times New Roman"/>
          <w:b w:val="0"/>
          <w:i w:val="0"/>
          <w:iCs w:val="0"/>
          <w:sz w:val="21"/>
          <w:szCs w:val="21"/>
          <w:lang w:val="en-US" w:eastAsia="zh-CN"/>
        </w:rPr>
      </w:pPr>
    </w:p>
    <w:p w14:paraId="0F11B36E">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Mode 2: Cross-Border Basin Agreements – Formal agreements between countries to cooperatively manage shared river basins, ensuring sustainable water use, conflict prevention, and mutual benefits.</w:t>
      </w:r>
    </w:p>
    <w:p w14:paraId="6DC5C90F">
      <w:pPr>
        <w:rPr>
          <w:rFonts w:hint="default" w:ascii="Times New Roman" w:hAnsi="Times New Roman" w:eastAsia="times" w:cs="Times New Roman"/>
          <w:b w:val="0"/>
          <w:i w:val="0"/>
          <w:iCs w:val="0"/>
          <w:sz w:val="21"/>
          <w:szCs w:val="21"/>
          <w:lang w:val="en-US" w:eastAsia="zh-CN"/>
        </w:rPr>
      </w:pPr>
    </w:p>
    <w:p w14:paraId="21CC7BD3">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Mode 3: Transboundary Water Quality Standards – Countries set joint regulations to maintain water quality, prevent pollution, and protect ecosystems through monitoring and coordinated policies.</w:t>
      </w:r>
    </w:p>
    <w:p w14:paraId="7FBB7F7B">
      <w:pPr>
        <w:rPr>
          <w:rFonts w:hint="default" w:ascii="Times New Roman" w:hAnsi="Times New Roman" w:eastAsia="times" w:cs="Times New Roman"/>
          <w:b w:val="0"/>
          <w:i w:val="0"/>
          <w:iCs w:val="0"/>
          <w:sz w:val="21"/>
          <w:szCs w:val="21"/>
          <w:lang w:val="en-US" w:eastAsia="zh-CN"/>
        </w:rPr>
      </w:pPr>
    </w:p>
    <w:p w14:paraId="5E9C09CB">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Mode 4: Coordinated Hydropower Operations – Countries jointly manage hydropower facilities to optimize energy production, regulate water distribution, and mitigate flood risks.</w:t>
      </w:r>
    </w:p>
    <w:p w14:paraId="0275552A">
      <w:pPr>
        <w:rPr>
          <w:rFonts w:hint="default" w:ascii="Times New Roman" w:hAnsi="Times New Roman" w:eastAsia="times" w:cs="Times New Roman"/>
          <w:b w:val="0"/>
          <w:i w:val="0"/>
          <w:iCs w:val="0"/>
          <w:sz w:val="21"/>
          <w:szCs w:val="21"/>
          <w:lang w:val="en-US" w:eastAsia="zh-CN"/>
        </w:rPr>
      </w:pPr>
    </w:p>
    <w:p w14:paraId="55E62061">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Mode 5: Joint Water Allocation Models – Shared frameworks and models allocate water equitably based on availability, demand, and sustainability, minimizing conflicts and promoting cooperation.</w:t>
      </w:r>
    </w:p>
    <w:p w14:paraId="6D71719F">
      <w:pPr>
        <w:rPr>
          <w:rFonts w:hint="default" w:ascii="Times New Roman" w:hAnsi="Times New Roman" w:eastAsia="times" w:cs="Times New Roman"/>
          <w:b w:val="0"/>
          <w:i w:val="0"/>
          <w:iCs w:val="0"/>
          <w:sz w:val="21"/>
          <w:szCs w:val="21"/>
          <w:lang w:val="en-US" w:eastAsia="zh-CN"/>
        </w:rPr>
      </w:pPr>
    </w:p>
    <w:p w14:paraId="6E4C2EE8">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Mode 6: Collaborative Planning and Adaptation Strategies – Stakeholders work together on sustainable water management, climate adaptation, risk mitigation, and policy harmonization.</w:t>
      </w:r>
    </w:p>
    <w:p w14:paraId="62671184">
      <w:pPr>
        <w:rPr>
          <w:rFonts w:hint="default" w:ascii="Times New Roman" w:hAnsi="Times New Roman" w:eastAsia="times" w:cs="Times New Roman"/>
          <w:b w:val="0"/>
          <w:i w:val="0"/>
          <w:iCs w:val="0"/>
          <w:sz w:val="21"/>
          <w:szCs w:val="21"/>
          <w:lang w:val="en-US" w:eastAsia="zh-CN"/>
        </w:rPr>
      </w:pPr>
    </w:p>
    <w:p w14:paraId="705409A3">
      <w:pPr>
        <w:rPr>
          <w:rFonts w:hint="default" w:ascii="Times New Roman" w:hAnsi="Times New Roman" w:eastAsia="times" w:cs="Times New Roman"/>
          <w:b w:val="0"/>
          <w:i w:val="0"/>
          <w:iCs w:val="0"/>
          <w:sz w:val="21"/>
          <w:szCs w:val="21"/>
          <w:lang w:val="en-US" w:eastAsia="zh-CN"/>
        </w:rPr>
      </w:pPr>
    </w:p>
    <w:p w14:paraId="6F82E796">
      <w:pPr>
        <w:rPr>
          <w:rFonts w:hint="default" w:ascii="Times New Roman" w:hAnsi="Times New Roman" w:eastAsia="times" w:cs="Times New Roman"/>
          <w:b w:val="0"/>
          <w:i w:val="0"/>
          <w:iCs w:val="0"/>
          <w:sz w:val="21"/>
          <w:szCs w:val="21"/>
          <w:lang w:val="en-US" w:eastAsia="zh-CN"/>
        </w:rPr>
      </w:pPr>
    </w:p>
    <w:p w14:paraId="1FF93198">
      <w:pPr>
        <w:rPr>
          <w:rFonts w:hint="default" w:ascii="Times New Roman" w:hAnsi="Times New Roman" w:eastAsia="times" w:cs="Times New Roman"/>
          <w:b w:val="0"/>
          <w:i w:val="0"/>
          <w:iCs w:val="0"/>
          <w:sz w:val="21"/>
          <w:szCs w:val="21"/>
          <w:lang w:val="en-US" w:eastAsia="zh-CN"/>
        </w:rPr>
      </w:pPr>
    </w:p>
    <w:p w14:paraId="3DF50220">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Event1:</w:t>
      </w:r>
    </w:p>
    <w:p w14:paraId="40A51544">
      <w:pPr>
        <w:rPr>
          <w:rFonts w:hint="default" w:ascii="Times New Roman" w:hAnsi="Times New Roman" w:eastAsia="times" w:cs="Times New Roman"/>
          <w:b w:val="0"/>
          <w:i w:val="0"/>
          <w:iCs w:val="0"/>
          <w:sz w:val="21"/>
          <w:szCs w:val="21"/>
          <w:lang w:val="en-US" w:eastAsia="zh-CN"/>
        </w:rPr>
      </w:pPr>
    </w:p>
    <w:p w14:paraId="4E56D273">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1990, France provided Ghana with $45 million to improve water supply, electricity access, and expand rubber plantations, supporting infrastructure and economic development.</w:t>
      </w:r>
    </w:p>
    <w:p w14:paraId="34103C30">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13B85713">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Joint Data-Sharing Systems</w:t>
      </w:r>
    </w:p>
    <w:p w14:paraId="593D26B7">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Joint Water Allocation Models</w:t>
      </w:r>
    </w:p>
    <w:p w14:paraId="2A2D089C">
      <w:pPr>
        <w:rPr>
          <w:rFonts w:hint="default" w:ascii="Times New Roman" w:hAnsi="Times New Roman" w:eastAsia="times" w:cs="Times New Roman"/>
          <w:b w:val="0"/>
          <w:i w:val="0"/>
          <w:iCs w:val="0"/>
          <w:sz w:val="21"/>
          <w:szCs w:val="21"/>
          <w:lang w:val="en-US" w:eastAsia="zh-CN"/>
        </w:rPr>
      </w:pPr>
    </w:p>
    <w:p w14:paraId="33AF002F">
      <w:pPr>
        <w:rPr>
          <w:rFonts w:hint="default" w:ascii="Times New Roman" w:hAnsi="Times New Roman" w:eastAsia="times" w:cs="Times New Roman"/>
          <w:b w:val="0"/>
          <w:i w:val="0"/>
          <w:iCs w:val="0"/>
          <w:sz w:val="21"/>
          <w:szCs w:val="21"/>
          <w:lang w:val="en-US" w:eastAsia="zh-CN"/>
        </w:rPr>
      </w:pPr>
    </w:p>
    <w:p w14:paraId="3DBAA886">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Event2:</w:t>
      </w:r>
    </w:p>
    <w:p w14:paraId="3E12B48C">
      <w:pPr>
        <w:rPr>
          <w:rFonts w:hint="default" w:ascii="Times New Roman" w:hAnsi="Times New Roman" w:eastAsia="times" w:cs="Times New Roman"/>
          <w:b w:val="0"/>
          <w:i w:val="0"/>
          <w:iCs w:val="0"/>
          <w:sz w:val="21"/>
          <w:szCs w:val="21"/>
          <w:lang w:val="en-US" w:eastAsia="zh-CN"/>
        </w:rPr>
      </w:pPr>
    </w:p>
    <w:p w14:paraId="143B1399">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1970, Japan loaned Turkey $30 million to build roads, bridges, and dams, strengthening bilateral ties and supporting infrastructure development. The dams were key for flood control, irrigation, and hydropower, exemplifying Japan's commitment to technical assistance and sustainable development.</w:t>
      </w:r>
    </w:p>
    <w:p w14:paraId="7139724C">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30C745C5">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Joint Data-Sharing Systems</w:t>
      </w:r>
    </w:p>
    <w:p w14:paraId="5E856AAF">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Coordinated Hydropower Operations</w:t>
      </w:r>
    </w:p>
    <w:p w14:paraId="72CE64AA">
      <w:pPr>
        <w:rPr>
          <w:rFonts w:hint="default" w:ascii="Times New Roman" w:hAnsi="Times New Roman" w:eastAsia="times" w:cs="Times New Roman"/>
          <w:b w:val="0"/>
          <w:i w:val="0"/>
          <w:iCs w:val="0"/>
          <w:sz w:val="21"/>
          <w:szCs w:val="21"/>
          <w:lang w:val="en-US" w:eastAsia="zh-CN"/>
        </w:rPr>
      </w:pPr>
    </w:p>
    <w:p w14:paraId="2F89F20C">
      <w:pPr>
        <w:rPr>
          <w:rFonts w:hint="default" w:ascii="Times New Roman" w:hAnsi="Times New Roman" w:eastAsia="times" w:cs="Times New Roman"/>
          <w:b w:val="0"/>
          <w:i w:val="0"/>
          <w:iCs w:val="0"/>
          <w:sz w:val="21"/>
          <w:szCs w:val="21"/>
          <w:lang w:val="en-US" w:eastAsia="zh-CN"/>
        </w:rPr>
      </w:pPr>
    </w:p>
    <w:p w14:paraId="7ED7F2CF">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Event3:</w:t>
      </w:r>
    </w:p>
    <w:p w14:paraId="67B86164">
      <w:pPr>
        <w:rPr>
          <w:rFonts w:hint="default" w:ascii="Times New Roman" w:hAnsi="Times New Roman" w:eastAsia="times" w:cs="Times New Roman"/>
          <w:b w:val="0"/>
          <w:i w:val="0"/>
          <w:iCs w:val="0"/>
          <w:sz w:val="21"/>
          <w:szCs w:val="21"/>
          <w:lang w:val="en-US" w:eastAsia="zh-CN"/>
        </w:rPr>
      </w:pPr>
    </w:p>
    <w:p w14:paraId="008805A3">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1992, Peru offered Ecuador access to the Amazon River for navigation and economic integration, aiming to resolve a 50-year border dispute, as announced by Peruvian Foreign Minister Augusto Blacker Miller during presidential talks in Ecuador.</w:t>
      </w:r>
    </w:p>
    <w:p w14:paraId="35DAFAF2">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45B21CCA">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Transboundary Water Quality Standards</w:t>
      </w:r>
    </w:p>
    <w:p w14:paraId="7FCFF8DF">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Collaborative Planning and Adaptation Strategies</w:t>
      </w:r>
    </w:p>
    <w:p w14:paraId="4A59CFE0">
      <w:pPr>
        <w:rPr>
          <w:rFonts w:hint="default" w:ascii="Times New Roman" w:hAnsi="Times New Roman" w:eastAsia="times" w:cs="Times New Roman"/>
          <w:b w:val="0"/>
          <w:i w:val="0"/>
          <w:iCs w:val="0"/>
          <w:sz w:val="21"/>
          <w:szCs w:val="21"/>
          <w:lang w:val="en-US" w:eastAsia="zh-CN"/>
        </w:rPr>
      </w:pPr>
    </w:p>
    <w:p w14:paraId="2334CAD7">
      <w:pPr>
        <w:rPr>
          <w:rFonts w:hint="default" w:ascii="Times New Roman" w:hAnsi="Times New Roman" w:eastAsia="times" w:cs="Times New Roman"/>
          <w:b w:val="0"/>
          <w:i w:val="0"/>
          <w:iCs w:val="0"/>
          <w:sz w:val="21"/>
          <w:szCs w:val="21"/>
          <w:lang w:val="en-US" w:eastAsia="zh-CN"/>
        </w:rPr>
      </w:pPr>
    </w:p>
    <w:p w14:paraId="26179B52">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Event4:</w:t>
      </w:r>
    </w:p>
    <w:p w14:paraId="6C4F4D73">
      <w:pPr>
        <w:rPr>
          <w:rFonts w:hint="default" w:ascii="Times New Roman" w:hAnsi="Times New Roman" w:eastAsia="times" w:cs="Times New Roman"/>
          <w:b w:val="0"/>
          <w:i w:val="0"/>
          <w:iCs w:val="0"/>
          <w:sz w:val="21"/>
          <w:szCs w:val="21"/>
          <w:lang w:val="en-US" w:eastAsia="zh-CN"/>
        </w:rPr>
      </w:pPr>
    </w:p>
    <w:p w14:paraId="2BA5CD25">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The 1994 Danube River Convention promotes cooperation among sharing countries for sustainable management. It created the ICPDR, involving governments, NGOs, and civil groups, to support water quality monitoring, research, and pollution control.</w:t>
      </w:r>
    </w:p>
    <w:p w14:paraId="6ED9D47B">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1B433DA3">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Joint Data-Sharing Systems</w:t>
      </w:r>
    </w:p>
    <w:p w14:paraId="48888693">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Coordinated Hydropower Operations</w:t>
      </w:r>
    </w:p>
    <w:p w14:paraId="3D7C5282">
      <w:pPr>
        <w:rPr>
          <w:rFonts w:hint="default" w:ascii="Times New Roman" w:hAnsi="Times New Roman" w:eastAsia="times" w:cs="Times New Roman"/>
          <w:b w:val="0"/>
          <w:i w:val="0"/>
          <w:iCs w:val="0"/>
          <w:sz w:val="21"/>
          <w:szCs w:val="21"/>
          <w:lang w:val="en-US" w:eastAsia="zh-CN"/>
        </w:rPr>
      </w:pPr>
    </w:p>
    <w:p w14:paraId="5B2A3B91">
      <w:pPr>
        <w:rPr>
          <w:rFonts w:hint="default" w:ascii="Times New Roman" w:hAnsi="Times New Roman" w:eastAsia="times" w:cs="Times New Roman"/>
          <w:b w:val="0"/>
          <w:i w:val="0"/>
          <w:iCs w:val="0"/>
          <w:sz w:val="21"/>
          <w:szCs w:val="21"/>
          <w:lang w:val="en-US" w:eastAsia="zh-CN"/>
        </w:rPr>
      </w:pPr>
    </w:p>
    <w:p w14:paraId="1543FB2D">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Event5:</w:t>
      </w:r>
    </w:p>
    <w:p w14:paraId="5A2A0125">
      <w:pPr>
        <w:rPr>
          <w:rFonts w:hint="default" w:ascii="Times New Roman" w:hAnsi="Times New Roman" w:eastAsia="times" w:cs="Times New Roman"/>
          <w:b w:val="0"/>
          <w:i w:val="0"/>
          <w:iCs w:val="0"/>
          <w:sz w:val="21"/>
          <w:szCs w:val="21"/>
          <w:lang w:val="en-US" w:eastAsia="zh-CN"/>
        </w:rPr>
      </w:pPr>
    </w:p>
    <w:p w14:paraId="0C5EDC2D">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2002, the Upper Tisza Water Authority provided USD 29,000 in flood control equipment and sandbags to Ukraine’s Subcarpathia region under a Hungary-Ukraine agreement, highlighting water cooperation and the role of diplomacy and stakeholders in managing shared resources.</w:t>
      </w:r>
    </w:p>
    <w:p w14:paraId="5F0B3080">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438660A9">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Cross-Border Basin Agreements</w:t>
      </w:r>
    </w:p>
    <w:p w14:paraId="4FD011D7">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Transboundary Water Quality Standards</w:t>
      </w:r>
    </w:p>
    <w:p w14:paraId="0CD40E3E">
      <w:pPr>
        <w:rPr>
          <w:rFonts w:hint="default" w:ascii="Times New Roman" w:hAnsi="Times New Roman" w:eastAsia="times" w:cs="Times New Roman"/>
          <w:b w:val="0"/>
          <w:i w:val="0"/>
          <w:iCs w:val="0"/>
          <w:sz w:val="21"/>
          <w:szCs w:val="21"/>
          <w:lang w:val="en-US" w:eastAsia="zh-CN"/>
        </w:rPr>
      </w:pPr>
    </w:p>
    <w:p w14:paraId="1A0EF749">
      <w:pPr>
        <w:rPr>
          <w:rFonts w:hint="default" w:ascii="Times New Roman" w:hAnsi="Times New Roman" w:eastAsia="times" w:cs="Times New Roman"/>
          <w:b w:val="0"/>
          <w:i w:val="0"/>
          <w:iCs w:val="0"/>
          <w:sz w:val="21"/>
          <w:szCs w:val="21"/>
          <w:lang w:val="en-US" w:eastAsia="zh-CN"/>
        </w:rPr>
      </w:pPr>
    </w:p>
    <w:p w14:paraId="6095F149">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Event6:</w:t>
      </w:r>
    </w:p>
    <w:p w14:paraId="254065C2">
      <w:pPr>
        <w:rPr>
          <w:rFonts w:hint="default" w:ascii="Times New Roman" w:hAnsi="Times New Roman" w:eastAsia="times" w:cs="Times New Roman"/>
          <w:b w:val="0"/>
          <w:i w:val="0"/>
          <w:iCs w:val="0"/>
          <w:sz w:val="21"/>
          <w:szCs w:val="21"/>
          <w:lang w:val="en-US" w:eastAsia="zh-CN"/>
        </w:rPr>
      </w:pPr>
    </w:p>
    <w:p w14:paraId="2DAA7E0C">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1969, Yugoslavia and Libya signed a LL6.8 million contract for 12 dams, enhancing Libya's water security. Yugoslavia provided technical expertise, fostering diplomatic ties and future cooperation.</w:t>
      </w:r>
    </w:p>
    <w:p w14:paraId="43733C82">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0AB34FE3">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Cross-Border Basin Agreements</w:t>
      </w:r>
    </w:p>
    <w:p w14:paraId="6776B6B7">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Coordinated Hydropower Operations</w:t>
      </w:r>
    </w:p>
    <w:p w14:paraId="0347BF0F">
      <w:pPr>
        <w:rPr>
          <w:rFonts w:hint="default" w:ascii="Times New Roman" w:hAnsi="Times New Roman" w:eastAsia="times" w:cs="Times New Roman"/>
          <w:b w:val="0"/>
          <w:i w:val="0"/>
          <w:iCs w:val="0"/>
          <w:sz w:val="21"/>
          <w:szCs w:val="21"/>
          <w:lang w:val="en-US" w:eastAsia="zh-CN"/>
        </w:rPr>
      </w:pPr>
    </w:p>
    <w:p w14:paraId="45A4EFC6">
      <w:pPr>
        <w:rPr>
          <w:rFonts w:hint="default" w:ascii="Times New Roman" w:hAnsi="Times New Roman" w:eastAsia="times" w:cs="Times New Roman"/>
          <w:b w:val="0"/>
          <w:i w:val="0"/>
          <w:iCs w:val="0"/>
          <w:sz w:val="21"/>
          <w:szCs w:val="21"/>
          <w:lang w:val="en-US" w:eastAsia="zh-CN"/>
        </w:rPr>
      </w:pPr>
    </w:p>
    <w:p w14:paraId="5443BF22">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Event7:</w:t>
      </w:r>
    </w:p>
    <w:p w14:paraId="201BBF45">
      <w:pPr>
        <w:rPr>
          <w:rFonts w:hint="default" w:ascii="Times New Roman" w:hAnsi="Times New Roman" w:eastAsia="times" w:cs="Times New Roman"/>
          <w:b w:val="0"/>
          <w:i w:val="0"/>
          <w:iCs w:val="0"/>
          <w:sz w:val="21"/>
          <w:szCs w:val="21"/>
          <w:lang w:val="en-US" w:eastAsia="zh-CN"/>
        </w:rPr>
      </w:pPr>
    </w:p>
    <w:p w14:paraId="164C20E7">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1991, Libyan leader Muammar Gaddafi invited South Korean President Roh Tae-woo to Libya to enhance cooperation, particularly in water resources. Gaddafi sought South Korea’s expertise for his Great Man-Made River project, aiming for a collaborative approach to water management despite political differences.</w:t>
      </w:r>
    </w:p>
    <w:p w14:paraId="1CD32BAD">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23C21529">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Joint Data-Sharing Systems</w:t>
      </w:r>
    </w:p>
    <w:p w14:paraId="607F0AD4">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Collaborative Planning and Adaptation Strategies</w:t>
      </w:r>
    </w:p>
    <w:p w14:paraId="4E66328B">
      <w:pPr>
        <w:rPr>
          <w:rFonts w:hint="default" w:ascii="Times New Roman" w:hAnsi="Times New Roman" w:eastAsia="times" w:cs="Times New Roman"/>
          <w:b w:val="0"/>
          <w:i w:val="0"/>
          <w:iCs w:val="0"/>
          <w:sz w:val="21"/>
          <w:szCs w:val="21"/>
          <w:lang w:val="en-US" w:eastAsia="zh-CN"/>
        </w:rPr>
      </w:pPr>
    </w:p>
    <w:p w14:paraId="67A48B9D">
      <w:pPr>
        <w:rPr>
          <w:rFonts w:hint="default" w:ascii="Times New Roman" w:hAnsi="Times New Roman" w:eastAsia="times" w:cs="Times New Roman"/>
          <w:b w:val="0"/>
          <w:i w:val="0"/>
          <w:iCs w:val="0"/>
          <w:sz w:val="21"/>
          <w:szCs w:val="21"/>
          <w:lang w:val="en-US" w:eastAsia="zh-CN"/>
        </w:rPr>
      </w:pPr>
    </w:p>
    <w:p w14:paraId="3CD6D129">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Event8:</w:t>
      </w:r>
    </w:p>
    <w:p w14:paraId="0E8D7D9A">
      <w:pPr>
        <w:rPr>
          <w:rFonts w:hint="default" w:ascii="Times New Roman" w:hAnsi="Times New Roman" w:eastAsia="times" w:cs="Times New Roman"/>
          <w:b w:val="0"/>
          <w:i w:val="0"/>
          <w:iCs w:val="0"/>
          <w:sz w:val="21"/>
          <w:szCs w:val="21"/>
          <w:lang w:val="en-US" w:eastAsia="zh-CN"/>
        </w:rPr>
      </w:pPr>
    </w:p>
    <w:p w14:paraId="128495FE">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1954, Turkey granted Great Britain construction rights for a dam, fostering cooperation between the two nations. The project involved various stakeholders and shared expertise.</w:t>
      </w:r>
    </w:p>
    <w:p w14:paraId="138475FB">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496BFC8E">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Joint Water Allocation Models</w:t>
      </w:r>
    </w:p>
    <w:p w14:paraId="429EB7B6">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Collaborative Planning and Adaptation Strategies</w:t>
      </w:r>
    </w:p>
    <w:p w14:paraId="60707AA0">
      <w:pPr>
        <w:rPr>
          <w:rFonts w:hint="default" w:ascii="Times New Roman" w:hAnsi="Times New Roman" w:eastAsia="times" w:cs="Times New Roman"/>
          <w:b w:val="0"/>
          <w:i w:val="0"/>
          <w:iCs w:val="0"/>
          <w:sz w:val="21"/>
          <w:szCs w:val="21"/>
          <w:lang w:val="en-US" w:eastAsia="zh-CN"/>
        </w:rPr>
      </w:pPr>
    </w:p>
    <w:p w14:paraId="158D62BB">
      <w:pPr>
        <w:rPr>
          <w:rFonts w:hint="default" w:ascii="Times New Roman" w:hAnsi="Times New Roman" w:eastAsia="times" w:cs="Times New Roman"/>
          <w:b w:val="0"/>
          <w:i w:val="0"/>
          <w:iCs w:val="0"/>
          <w:sz w:val="21"/>
          <w:szCs w:val="21"/>
          <w:lang w:val="en-US" w:eastAsia="zh-CN"/>
        </w:rPr>
      </w:pPr>
    </w:p>
    <w:p w14:paraId="3A2370E8">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Event9:</w:t>
      </w:r>
    </w:p>
    <w:p w14:paraId="0BF9E452">
      <w:pPr>
        <w:rPr>
          <w:rFonts w:hint="default" w:ascii="Times New Roman" w:hAnsi="Times New Roman" w:eastAsia="times" w:cs="Times New Roman"/>
          <w:b w:val="0"/>
          <w:i w:val="0"/>
          <w:iCs w:val="0"/>
          <w:sz w:val="21"/>
          <w:szCs w:val="21"/>
          <w:lang w:val="en-US" w:eastAsia="zh-CN"/>
        </w:rPr>
      </w:pPr>
    </w:p>
    <w:p w14:paraId="40469CFA">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1969, Sweden loaned $5 million to the Middle East to improve water supply, addressing regional water scarcity. The loan funded infrastructure development, promoting sustainable water management with local and stakeholder involvement.</w:t>
      </w:r>
    </w:p>
    <w:p w14:paraId="4CDC185B">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60D5191A">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Cross-Border Basin Agreements</w:t>
      </w:r>
    </w:p>
    <w:p w14:paraId="3BF75F6B">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Joint Water Allocation Models</w:t>
      </w:r>
    </w:p>
    <w:p w14:paraId="7997C21A">
      <w:pPr>
        <w:rPr>
          <w:rFonts w:hint="default" w:ascii="Times New Roman" w:hAnsi="Times New Roman" w:eastAsia="times" w:cs="Times New Roman"/>
          <w:b w:val="0"/>
          <w:i w:val="0"/>
          <w:iCs w:val="0"/>
          <w:sz w:val="21"/>
          <w:szCs w:val="21"/>
          <w:lang w:val="en-US" w:eastAsia="zh-CN"/>
        </w:rPr>
      </w:pPr>
    </w:p>
    <w:p w14:paraId="50A9164D">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Event10:</w:t>
      </w:r>
    </w:p>
    <w:p w14:paraId="12CB28EE">
      <w:pPr>
        <w:rPr>
          <w:rFonts w:hint="default" w:ascii="Times New Roman" w:hAnsi="Times New Roman" w:eastAsia="times" w:cs="Times New Roman"/>
          <w:b w:val="0"/>
          <w:i w:val="0"/>
          <w:iCs w:val="0"/>
          <w:sz w:val="21"/>
          <w:szCs w:val="21"/>
          <w:lang w:val="en-US" w:eastAsia="zh-CN"/>
        </w:rPr>
      </w:pPr>
    </w:p>
    <w:p w14:paraId="5471E817">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1994, the UN announced plans to repair sewage and water supply systems in southern Baghdad, Iraq, damaged by conflict. This initiative provided technical assistance to address water scarcity and improve sanitation, fostering stability and peace through collaboration with the Iraqi government and local communities.</w:t>
      </w:r>
    </w:p>
    <w:p w14:paraId="75718487">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04CDE619">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Transboundary Water Quality Standards</w:t>
      </w:r>
    </w:p>
    <w:p w14:paraId="68DC1177">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Coordinated Hydropower Operations</w:t>
      </w:r>
    </w:p>
    <w:p w14:paraId="664EDE26">
      <w:pPr>
        <w:rPr>
          <w:rFonts w:hint="default" w:ascii="Times New Roman" w:hAnsi="Times New Roman" w:eastAsia="times" w:cs="Times New Roman"/>
          <w:b w:val="0"/>
          <w:i w:val="0"/>
          <w:iCs w:val="0"/>
          <w:sz w:val="21"/>
          <w:szCs w:val="21"/>
          <w:lang w:val="en-US" w:eastAsia="zh-CN"/>
        </w:rPr>
      </w:pPr>
    </w:p>
    <w:p w14:paraId="3C79D33B">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Event11:</w:t>
      </w:r>
    </w:p>
    <w:p w14:paraId="6F36E71E">
      <w:pPr>
        <w:rPr>
          <w:rFonts w:hint="default" w:ascii="Times New Roman" w:hAnsi="Times New Roman" w:eastAsia="times" w:cs="Times New Roman"/>
          <w:b w:val="0"/>
          <w:i w:val="0"/>
          <w:iCs w:val="0"/>
          <w:sz w:val="21"/>
          <w:szCs w:val="21"/>
          <w:lang w:val="en-US" w:eastAsia="zh-CN"/>
        </w:rPr>
      </w:pPr>
    </w:p>
    <w:p w14:paraId="2CF97EC9">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2005, after years of water scarcity, Rio Grande Valley farmers agreed that Mexico would repay its water debt to the U.S. Diplomatic negotiations, U.S. technical support, and farmer advocacy were key to resolving the issue.</w:t>
      </w:r>
    </w:p>
    <w:p w14:paraId="6537E621">
      <w:pPr>
        <w:rPr>
          <w:rFonts w:hint="default" w:ascii="Times New Roman" w:hAnsi="Times New Roman" w:eastAsia="times" w:cs="Times New Roman"/>
          <w:b w:val="0"/>
          <w:i w:val="0"/>
          <w:iCs w:val="0"/>
          <w:sz w:val="21"/>
          <w:szCs w:val="21"/>
          <w:lang w:val="en-US" w:eastAsia="zh-CN"/>
        </w:rPr>
      </w:pPr>
    </w:p>
    <w:p w14:paraId="43898D17">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32E5D9C0">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Cross-Border Basin Agreements</w:t>
      </w:r>
    </w:p>
    <w:p w14:paraId="75C28BAF">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Collaborative Planning and Adaptation Strategies</w:t>
      </w:r>
    </w:p>
    <w:p w14:paraId="262A0DC9">
      <w:pPr>
        <w:rPr>
          <w:rFonts w:hint="default" w:ascii="Times New Roman" w:hAnsi="Times New Roman" w:eastAsia="times" w:cs="Times New Roman"/>
          <w:b w:val="0"/>
          <w:i w:val="0"/>
          <w:iCs w:val="0"/>
          <w:sz w:val="21"/>
          <w:szCs w:val="21"/>
          <w:lang w:val="en-US" w:eastAsia="zh-CN"/>
        </w:rPr>
      </w:pPr>
    </w:p>
    <w:p w14:paraId="21AAE4FD">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Event12:</w:t>
      </w:r>
    </w:p>
    <w:p w14:paraId="49A475B7">
      <w:pPr>
        <w:rPr>
          <w:rFonts w:hint="default" w:ascii="Times New Roman" w:hAnsi="Times New Roman" w:eastAsia="times" w:cs="Times New Roman"/>
          <w:b w:val="0"/>
          <w:i w:val="0"/>
          <w:iCs w:val="0"/>
          <w:sz w:val="21"/>
          <w:szCs w:val="21"/>
          <w:lang w:val="en-US" w:eastAsia="zh-CN"/>
        </w:rPr>
      </w:pPr>
    </w:p>
    <w:p w14:paraId="61D30270">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1962, Japan loaned 468 million Yen to Laos for a waterworks project, providing technical assistance and involving local communities.</w:t>
      </w:r>
    </w:p>
    <w:p w14:paraId="1D288534">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43425D70">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Transboundary Water Quality Standards</w:t>
      </w:r>
    </w:p>
    <w:p w14:paraId="2D8BF5A6">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Joint Water Allocation Models</w:t>
      </w:r>
    </w:p>
    <w:p w14:paraId="71832B2E">
      <w:pPr>
        <w:rPr>
          <w:rFonts w:hint="default" w:ascii="Times New Roman" w:hAnsi="Times New Roman" w:eastAsia="times" w:cs="Times New Roman"/>
          <w:b w:val="0"/>
          <w:i w:val="0"/>
          <w:iCs w:val="0"/>
          <w:sz w:val="21"/>
          <w:szCs w:val="21"/>
          <w:lang w:val="en-US" w:eastAsia="zh-CN"/>
        </w:rPr>
      </w:pPr>
    </w:p>
    <w:p w14:paraId="54B28AEB">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Event13:</w:t>
      </w:r>
    </w:p>
    <w:p w14:paraId="49419B8A">
      <w:pPr>
        <w:rPr>
          <w:rFonts w:hint="default" w:ascii="Times New Roman" w:hAnsi="Times New Roman" w:eastAsia="times" w:cs="Times New Roman"/>
          <w:b w:val="0"/>
          <w:i w:val="0"/>
          <w:iCs w:val="0"/>
          <w:sz w:val="21"/>
          <w:szCs w:val="21"/>
          <w:lang w:val="en-US" w:eastAsia="zh-CN"/>
        </w:rPr>
      </w:pPr>
    </w:p>
    <w:p w14:paraId="4D8B5FB9">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1981, the 34th meeting of the Korean-Chinese Amnok River Hydroelectric Power Company led to a key decision, signed on November 22 by Korean director Chung-Song and Chinese director Ximing, also Vice Minister of the power industry. This agreement strengthened cooperation, ensuring efficient operation and fostering diplomatic ties through shared water resource management.</w:t>
      </w:r>
    </w:p>
    <w:p w14:paraId="70D6091A">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49C4C291">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Coordinated Hydropower Operations</w:t>
      </w:r>
    </w:p>
    <w:p w14:paraId="2F909F96">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Joint Water Allocation Models</w:t>
      </w:r>
    </w:p>
    <w:p w14:paraId="69992B7F">
      <w:pPr>
        <w:rPr>
          <w:rFonts w:hint="default" w:ascii="Times New Roman" w:hAnsi="Times New Roman" w:eastAsia="times" w:cs="Times New Roman"/>
          <w:b w:val="0"/>
          <w:i w:val="0"/>
          <w:iCs w:val="0"/>
          <w:sz w:val="21"/>
          <w:szCs w:val="21"/>
          <w:lang w:val="en-US" w:eastAsia="zh-CN"/>
        </w:rPr>
      </w:pPr>
    </w:p>
    <w:p w14:paraId="30FB7FC0">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Event14:</w:t>
      </w:r>
    </w:p>
    <w:p w14:paraId="6D61ACD5">
      <w:pPr>
        <w:rPr>
          <w:rFonts w:hint="default" w:ascii="Times New Roman" w:hAnsi="Times New Roman" w:eastAsia="times" w:cs="Times New Roman"/>
          <w:b w:val="0"/>
          <w:i w:val="0"/>
          <w:iCs w:val="0"/>
          <w:sz w:val="21"/>
          <w:szCs w:val="21"/>
          <w:lang w:val="en-US" w:eastAsia="zh-CN"/>
        </w:rPr>
      </w:pPr>
    </w:p>
    <w:p w14:paraId="0EF479E9">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2002, the Lower Bann Advisory Committee, Lower Bann Co-ordinating Committee, and local councils launched a joint investigation into the development of the Lower River Bann. This effort involved stakeholder collaboration, technical assessments, and water diplomacy to balance environmental, economic, and community interests. The initiative exemplified cooperative water resource management through shared expertise and consensus-building.</w:t>
      </w:r>
    </w:p>
    <w:p w14:paraId="6214C800">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32785FE2">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Cross-Border Basin Agreements</w:t>
      </w:r>
    </w:p>
    <w:p w14:paraId="3EAA8400">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Transboundary Water Quality Standards</w:t>
      </w:r>
    </w:p>
    <w:p w14:paraId="52715179">
      <w:pPr>
        <w:rPr>
          <w:rFonts w:hint="default" w:ascii="Times New Roman" w:hAnsi="Times New Roman" w:eastAsia="times" w:cs="Times New Roman"/>
          <w:b w:val="0"/>
          <w:i w:val="0"/>
          <w:iCs w:val="0"/>
          <w:sz w:val="21"/>
          <w:szCs w:val="21"/>
          <w:lang w:val="en-US" w:eastAsia="zh-CN"/>
        </w:rPr>
      </w:pPr>
    </w:p>
    <w:p w14:paraId="53CA039F">
      <w:pPr>
        <w:rPr>
          <w:rFonts w:hint="default" w:ascii="Times New Roman" w:hAnsi="Times New Roman" w:eastAsia="times" w:cs="Times New Roman"/>
          <w:b w:val="0"/>
          <w:i w:val="0"/>
          <w:iCs w:val="0"/>
          <w:sz w:val="21"/>
          <w:szCs w:val="21"/>
          <w:lang w:val="en-US" w:eastAsia="zh-CN"/>
        </w:rPr>
      </w:pPr>
    </w:p>
    <w:p w14:paraId="09E5A8CB">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Event15:</w:t>
      </w:r>
    </w:p>
    <w:p w14:paraId="69FDA79B">
      <w:pPr>
        <w:rPr>
          <w:rFonts w:hint="default" w:ascii="Times New Roman" w:hAnsi="Times New Roman" w:eastAsia="times" w:cs="Times New Roman"/>
          <w:b w:val="0"/>
          <w:i w:val="0"/>
          <w:iCs w:val="0"/>
          <w:sz w:val="21"/>
          <w:szCs w:val="21"/>
          <w:lang w:val="en-US" w:eastAsia="zh-CN"/>
        </w:rPr>
      </w:pPr>
    </w:p>
    <w:p w14:paraId="4245EF76">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1973, Mexico sent water drainage experts to Chile as a form of technical assistance, strengthening diplomatic ties through water cooperation. The experts assessed drainage issues, provided recommendations, and trained local personnel, relying on collaboration between both governments and local communities.</w:t>
      </w:r>
    </w:p>
    <w:p w14:paraId="24A7CBB9">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4D1A8593">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Joint Data-Sharing Systems</w:t>
      </w:r>
    </w:p>
    <w:p w14:paraId="1D8D396E">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Cross-Border Basin Agreements</w:t>
      </w:r>
    </w:p>
    <w:p w14:paraId="78A4B060">
      <w:pPr>
        <w:rPr>
          <w:rFonts w:hint="default" w:ascii="Times New Roman" w:hAnsi="Times New Roman" w:eastAsia="times" w:cs="Times New Roman"/>
          <w:b w:val="0"/>
          <w:i w:val="0"/>
          <w:iCs w:val="0"/>
          <w:sz w:val="21"/>
          <w:szCs w:val="21"/>
          <w:lang w:val="en-US" w:eastAsia="zh-CN"/>
        </w:rPr>
      </w:pPr>
    </w:p>
    <w:p w14:paraId="0C2205EC">
      <w:pPr>
        <w:rPr>
          <w:rFonts w:hint="default" w:ascii="Times New Roman" w:hAnsi="Times New Roman" w:eastAsia="times" w:cs="Times New Roman"/>
          <w:b w:val="0"/>
          <w:i w:val="0"/>
          <w:iCs w:val="0"/>
          <w:sz w:val="21"/>
          <w:szCs w:val="21"/>
          <w:lang w:val="en-US" w:eastAsia="zh-CN"/>
        </w:rPr>
      </w:pPr>
    </w:p>
    <w:p w14:paraId="401BDD11">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Event16:</w:t>
      </w:r>
    </w:p>
    <w:p w14:paraId="15F4C0FD">
      <w:pPr>
        <w:rPr>
          <w:rFonts w:hint="default" w:ascii="Times New Roman" w:hAnsi="Times New Roman" w:eastAsia="times" w:cs="Times New Roman"/>
          <w:b w:val="0"/>
          <w:i w:val="0"/>
          <w:iCs w:val="0"/>
          <w:sz w:val="21"/>
          <w:szCs w:val="21"/>
          <w:lang w:val="en-US" w:eastAsia="zh-CN"/>
        </w:rPr>
      </w:pPr>
    </w:p>
    <w:p w14:paraId="16FBAF73">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1995, Bangladesh reaffirmed its commitment to the SAARC charter, emphasizing regional cooperation in economic, social, and technical fields, including water resource management. This commitment signaled its willingness to engage in water diplomacy, share hydrological data, and collaborate on sustainable water management with SAARC members through stakeholder participation and technical assistance.</w:t>
      </w:r>
    </w:p>
    <w:p w14:paraId="06C9D6FF">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6CD314FD">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Coordinated Hydropower Operations</w:t>
      </w:r>
    </w:p>
    <w:p w14:paraId="35CBD45A">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Joint Water Allocation Models</w:t>
      </w:r>
    </w:p>
    <w:p w14:paraId="624C8603">
      <w:pPr>
        <w:rPr>
          <w:rFonts w:hint="default" w:ascii="Times New Roman" w:hAnsi="Times New Roman" w:eastAsia="times" w:cs="Times New Roman"/>
          <w:b w:val="0"/>
          <w:i w:val="0"/>
          <w:iCs w:val="0"/>
          <w:sz w:val="21"/>
          <w:szCs w:val="21"/>
          <w:lang w:val="en-US" w:eastAsia="zh-CN"/>
        </w:rPr>
      </w:pPr>
    </w:p>
    <w:p w14:paraId="2C039E2D">
      <w:pPr>
        <w:rPr>
          <w:rFonts w:hint="default" w:ascii="Times New Roman" w:hAnsi="Times New Roman" w:eastAsia="times" w:cs="Times New Roman"/>
          <w:b w:val="0"/>
          <w:i w:val="0"/>
          <w:iCs w:val="0"/>
          <w:sz w:val="21"/>
          <w:szCs w:val="21"/>
          <w:lang w:val="en-US" w:eastAsia="zh-CN"/>
        </w:rPr>
      </w:pPr>
    </w:p>
    <w:p w14:paraId="38264E32">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Event17:</w:t>
      </w:r>
    </w:p>
    <w:p w14:paraId="7D8C91E9">
      <w:pPr>
        <w:rPr>
          <w:rFonts w:hint="default" w:ascii="Times New Roman" w:hAnsi="Times New Roman" w:eastAsia="times" w:cs="Times New Roman"/>
          <w:b w:val="0"/>
          <w:i w:val="0"/>
          <w:iCs w:val="0"/>
          <w:sz w:val="21"/>
          <w:szCs w:val="21"/>
          <w:lang w:val="en-US" w:eastAsia="zh-CN"/>
        </w:rPr>
      </w:pPr>
    </w:p>
    <w:p w14:paraId="02F1946E">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In 1996, the six Greater Mekong Sub-region (GMS) countries—Cambodia, China, Laos, Myanmar, Thailand, and Vietnam—agreed to collaborate with the Asian Development Bank (ADB) on two environmental projects for the Mekong River. Supported by ADB’s technical and financial assistance, these projects aimed to improve water quality, promote sustainability, and mitigate environmental risks. </w:t>
      </w:r>
    </w:p>
    <w:p w14:paraId="532B4DFF">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452A8832">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Joint Data-Sharing Systems</w:t>
      </w:r>
    </w:p>
    <w:p w14:paraId="40589057">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Collaborative Planning and Adaptation Strategies</w:t>
      </w:r>
    </w:p>
    <w:p w14:paraId="788809C4">
      <w:pPr>
        <w:rPr>
          <w:rFonts w:hint="default" w:ascii="Times New Roman" w:hAnsi="Times New Roman" w:eastAsia="times" w:cs="Times New Roman"/>
          <w:b w:val="0"/>
          <w:i w:val="0"/>
          <w:iCs w:val="0"/>
          <w:sz w:val="21"/>
          <w:szCs w:val="21"/>
          <w:lang w:val="en-US" w:eastAsia="zh-CN"/>
        </w:rPr>
      </w:pPr>
    </w:p>
    <w:p w14:paraId="75FC5D45">
      <w:pPr>
        <w:rPr>
          <w:rFonts w:hint="default" w:ascii="Times New Roman" w:hAnsi="Times New Roman" w:eastAsia="times" w:cs="Times New Roman"/>
          <w:b w:val="0"/>
          <w:i w:val="0"/>
          <w:iCs w:val="0"/>
          <w:sz w:val="21"/>
          <w:szCs w:val="21"/>
          <w:lang w:val="en-US" w:eastAsia="zh-CN"/>
        </w:rPr>
      </w:pPr>
    </w:p>
    <w:p w14:paraId="147FFBE9">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Event18:</w:t>
      </w:r>
    </w:p>
    <w:p w14:paraId="611E07CC">
      <w:pPr>
        <w:rPr>
          <w:rFonts w:hint="default" w:ascii="Times New Roman" w:hAnsi="Times New Roman" w:eastAsia="times" w:cs="Times New Roman"/>
          <w:b w:val="0"/>
          <w:i w:val="0"/>
          <w:iCs w:val="0"/>
          <w:sz w:val="21"/>
          <w:szCs w:val="21"/>
          <w:lang w:val="en-US" w:eastAsia="zh-CN"/>
        </w:rPr>
      </w:pPr>
    </w:p>
    <w:p w14:paraId="2BC88B29">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In 2012, Japan, through JICA, provided N1.9 billion in aid to improve water resources in five Nigerian states. The funds aimed to enhance water supply, sanitation, and public health, demonstrating Japan’s commitment to water security and international cooperation.</w:t>
      </w:r>
    </w:p>
    <w:p w14:paraId="0CACAA2B">
      <w:pPr>
        <w:rPr>
          <w:rFonts w:hint="default" w:ascii="Times New Roman" w:hAnsi="Times New Roman" w:eastAsia="times" w:cs="Times New Roman"/>
          <w:b w:val="0"/>
          <w:i w:val="0"/>
          <w:iCs w:val="0"/>
          <w:sz w:val="21"/>
          <w:szCs w:val="21"/>
          <w:lang w:val="en-US" w:eastAsia="zh-CN"/>
        </w:rPr>
      </w:pPr>
    </w:p>
    <w:p w14:paraId="591B5FA7">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 xml:space="preserve">Which mode of cooperation below do you think is more likely to occur in the event text described above? </w:t>
      </w:r>
    </w:p>
    <w:p w14:paraId="5F75AF18">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Transboundary Water Quality Standards</w:t>
      </w:r>
    </w:p>
    <w:p w14:paraId="3F3A5470">
      <w:pPr>
        <w:rPr>
          <w:rFonts w:hint="default" w:ascii="Times New Roman" w:hAnsi="Times New Roman" w:eastAsia="times" w:cs="Times New Roman"/>
          <w:b w:val="0"/>
          <w:i w:val="0"/>
          <w:iCs w:val="0"/>
          <w:sz w:val="21"/>
          <w:szCs w:val="21"/>
          <w:lang w:val="en-US" w:eastAsia="zh-CN"/>
        </w:rPr>
      </w:pPr>
      <w:r>
        <w:rPr>
          <w:rFonts w:hint="default" w:ascii="Times New Roman" w:hAnsi="Times New Roman" w:eastAsia="times" w:cs="Times New Roman"/>
          <w:b w:val="0"/>
          <w:i w:val="0"/>
          <w:iCs w:val="0"/>
          <w:sz w:val="21"/>
          <w:szCs w:val="21"/>
          <w:lang w:val="en-US" w:eastAsia="zh-CN"/>
        </w:rPr>
        <w:t>Collaborative Planning and Adaptation Strategies</w:t>
      </w:r>
    </w:p>
    <w:p w14:paraId="1D7C0908">
      <w:pPr>
        <w:rPr>
          <w:rFonts w:hint="default" w:ascii="Times New Roman" w:hAnsi="Times New Roman" w:eastAsia="times" w:cs="Times New Roman"/>
          <w:b w:val="0"/>
          <w:i w:val="0"/>
          <w:iCs w:val="0"/>
          <w:sz w:val="21"/>
          <w:szCs w:val="21"/>
          <w:lang w:val="en-US" w:eastAsia="zh-CN"/>
        </w:rPr>
      </w:pPr>
    </w:p>
    <w:p w14:paraId="2D81194D">
      <w:pPr>
        <w:rPr>
          <w:rFonts w:hint="default" w:ascii="Times New Roman" w:hAnsi="Times New Roman" w:eastAsia="times" w:cs="Times New Roman"/>
          <w:b w:val="0"/>
          <w:i w:val="0"/>
          <w:iCs w:val="0"/>
          <w:sz w:val="21"/>
          <w:szCs w:val="21"/>
          <w:lang w:val="en-US" w:eastAsia="zh-CN"/>
        </w:rPr>
      </w:pPr>
    </w:p>
    <w:p w14:paraId="2445195F">
      <w:pPr>
        <w:rPr>
          <w:rFonts w:hint="default" w:ascii="Times New Roman" w:hAnsi="Times New Roman" w:eastAsia="times" w:cs="Times New Roman"/>
          <w:b w:val="0"/>
          <w:i w:val="0"/>
          <w:iCs w:val="0"/>
          <w:sz w:val="21"/>
          <w:szCs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方正书宋_GBK">
    <w:panose1 w:val="02000000000000000000"/>
    <w:charset w:val="86"/>
    <w:family w:val="auto"/>
    <w:pitch w:val="default"/>
    <w:sig w:usb0="A00002BF" w:usb1="38CF7CFA" w:usb2="00082016"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time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Helvetica">
    <w:panose1 w:val="00000000000000000000"/>
    <w:charset w:val="00"/>
    <w:family w:val="auto"/>
    <w:pitch w:val="default"/>
    <w:sig w:usb0="E00002FF" w:usb1="5000785B" w:usb2="00000000" w:usb3="00000000" w:csb0="2000019F" w:csb1="4F010000"/>
  </w:font>
  <w:font w:name="unset">
    <w:altName w:val="苹方-简"/>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C6BC4B"/>
    <w:multiLevelType w:val="singleLevel"/>
    <w:tmpl w:val="CEC6BC4B"/>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E2ZDg5ZTQ0ZmVhMTlkODc2Yjg2ODU4MmY0ZmQ1NjUifQ=="/>
  </w:docVars>
  <w:rsids>
    <w:rsidRoot w:val="3FFF9F05"/>
    <w:rsid w:val="3FFF9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21</TotalTime>
  <ScaleCrop>false</ScaleCrop>
  <LinksUpToDate>false</LinksUpToDate>
  <CharactersWithSpaces>0</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2025-03-23T15:16:00Z</dcterms:created>
  <dc:creator>zhouhong</dc:creator>
  <cp:lastModifiedBy>zhouhong</cp:lastModifiedBy>
  <dcterms:modified xsi:type="dcterms:W3CDTF">2025-03-23T16:53:27Z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B6FB7F40CF1DE9823DB5DF67714CD824_41</vt:lpwstr>
  </property>
</Properties>
</file>