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color w:val="000000"/>
          <w:sz w:val="32"/>
        </w:rPr>
        <w:t>LANDFIRE Evaluation of the Benchmark Fires</w:t>
      </w:r>
    </w:p>
    <w:p>
      <w:r>
        <w:rPr>
          <w:rFonts w:ascii="Times New Roman" w:hAnsi="Times New Roman"/>
          <w:b w:val="0"/>
          <w:i/>
          <w:color w:val="000000"/>
        </w:rPr>
        <w:t>NASA Aerial Wildfire Project, ACERO Disaster Lab working group. 22 October 2026.</w:t>
      </w:r>
    </w:p>
    <w:p>
      <w:pPr>
        <w:keepNext/>
        <w:spacing w:before="160"/>
      </w:pPr>
      <w:r>
        <w:rPr>
          <w:rFonts w:ascii="Times New Roman" w:hAnsi="Times New Roman"/>
          <w:b/>
          <w:i w:val="0"/>
          <w:color w:val="000000"/>
          <w:sz w:val="26"/>
        </w:rPr>
        <w:t>Purpose</w:t>
      </w:r>
    </w:p>
    <w:p>
      <w:r>
        <w:rPr>
          <w:rFonts w:ascii="Times New Roman" w:hAnsi="Times New Roman"/>
          <w:b w:val="0"/>
          <w:i w:val="0"/>
          <w:color w:val="000000"/>
        </w:rPr>
        <w:t>Document what LANDFIRE says about the fuels the four benchmark fires burned through (Pioneer 2016, Carr 2018, Camp 2018, LNU Lightning Complex 2020), how the data were evaluated, what they can and cannot support, and how they line up with the fire perimeters and the fireline built on each fire.</w:t>
      </w:r>
    </w:p>
    <w:p>
      <w:pPr>
        <w:keepNext/>
        <w:spacing w:before="160"/>
      </w:pPr>
      <w:r>
        <w:rPr>
          <w:rFonts w:ascii="Times New Roman" w:hAnsi="Times New Roman"/>
          <w:b/>
          <w:i w:val="0"/>
          <w:color w:val="000000"/>
          <w:sz w:val="26"/>
        </w:rPr>
        <w:t>What was evaluated</w:t>
      </w:r>
    </w:p>
    <w:p>
      <w:pPr>
        <w:pStyle w:val="ListBullet"/>
      </w:pPr>
      <w:r>
        <w:rPr>
          <w:rFonts w:ascii="Times New Roman" w:hAnsi="Times New Roman"/>
          <w:b w:val="0"/>
          <w:i w:val="0"/>
          <w:color w:val="000000"/>
        </w:rPr>
        <w:t>LANDFIRE product versions (landfire.gov comparison table): LF 2014, LF 2016 Remap, LF 2019 Limited, LF 2020. LF 2016 Remap is the newest version that predates Carr, Camp and LNU, and is the only pre-2018 version on the public LANDFIRE image services.</w:t>
      </w:r>
    </w:p>
    <w:p>
      <w:pPr>
        <w:pStyle w:val="ListBullet"/>
      </w:pPr>
      <w:r>
        <w:rPr>
          <w:rFonts w:ascii="Times New Roman" w:hAnsi="Times New Roman"/>
          <w:b w:val="0"/>
          <w:i w:val="0"/>
          <w:color w:val="000000"/>
        </w:rPr>
        <w:t>Layers used, all 30 m from LF 2016 Remap: FBFM40 (Scott and Burgan 40 fuel models), FCCS fuelbeds, EVT (existing vegetation type), canopy cover (CC, %), canopy bulk density (CBD, kg m-3 x 100), canopy base height (CBH, m x 10), canopy height (CH, m x 10), fuel disturbance (FDist). Units from the LANDFIRE Data Dictionary.</w:t>
      </w:r>
    </w:p>
    <w:p>
      <w:pPr>
        <w:pStyle w:val="ListBullet"/>
      </w:pPr>
      <w:r>
        <w:rPr>
          <w:rFonts w:ascii="Times New Roman" w:hAnsi="Times New Roman"/>
          <w:b w:val="0"/>
          <w:i w:val="0"/>
          <w:color w:val="000000"/>
        </w:rPr>
        <w:t>Code tables from landfire.gov (LF16_F40_200, LF16_FCCS_200, LF16_EVT_200, LF16_FDst_200). Surface fuel load per pixel from Scott and Burgan (2005), Table 7: the model's assigned load (1-h, 10-h, 100-h, live herb, live woody), not a measurement.</w:t>
      </w:r>
    </w:p>
    <w:p>
      <w:pPr>
        <w:pStyle w:val="ListBullet"/>
      </w:pPr>
      <w:r>
        <w:rPr>
          <w:rFonts w:ascii="Times New Roman" w:hAnsi="Times New Roman"/>
          <w:b w:val="0"/>
          <w:i w:val="0"/>
          <w:color w:val="000000"/>
        </w:rPr>
        <w:t>Accuracy evidence: LANDFIRE-type fuel classifications explained little of plot-measured surface loading (R2 below 0.30 for most components; Keane et al., 2013); canopy fuel layers are rated low accuracy at national scale (LANDFIRE canopy fuels review). These limits apply to every number below.</w:t>
      </w:r>
    </w:p>
    <w:p>
      <w:pPr>
        <w:pStyle w:val="ListBullet"/>
      </w:pPr>
      <w:r>
        <w:rPr>
          <w:rFonts w:ascii="Times New Roman" w:hAnsi="Times New Roman"/>
          <w:b w:val="0"/>
          <w:i w:val="0"/>
          <w:color w:val="000000"/>
        </w:rPr>
        <w:t>Considered and not used: WFIGS Daily Perimeters (NIFC item 7fa2437e625d49f7af1017c8617b68c1). It keeps every geometry change of WFIGS fire perimeters, ordered by burn period, but its earliest record is 4 May 2021, so it holds none of the four benchmark fires (2016 to 2020). It is the right source for fires from mid-2021 on, such as Eaton 2025. For our fires the dated perimeters come from NIFC GeoMAC history and NASA FEDS, and fireline from the NIFC Operational Data Archive 2018 and 2020.</w:t>
      </w:r>
    </w:p>
    <w:p>
      <w:pPr>
        <w:keepNext/>
        <w:spacing w:before="160"/>
      </w:pPr>
      <w:r>
        <w:rPr>
          <w:rFonts w:ascii="Times New Roman" w:hAnsi="Times New Roman"/>
          <w:b/>
          <w:i w:val="0"/>
          <w:color w:val="000000"/>
          <w:sz w:val="26"/>
        </w:rPr>
        <w:t>Method</w:t>
      </w:r>
    </w:p>
    <w:p>
      <w:r>
        <w:rPr>
          <w:rFonts w:ascii="Times New Roman" w:hAnsi="Times New Roman"/>
          <w:b w:val="0"/>
          <w:i w:val="0"/>
          <w:color w:val="000000"/>
        </w:rPr>
        <w:t>For each fire the layers were requested from the LANDFIRE LF2016 image services (lfps.usgs.gov) over the final perimeter's bounding box at 30 m in EPSG:5070, in tiles where the area was large, and only pixels inside the final perimeter were kept. Shares are of the burned area. Scripts: landfire_extract.py (numbers), maps.py (figures). Perimeters: project copies of the official final perimeters; dated perimeters from NIFC GeoMAC history (Pioneer, Carr, Camp) and NASA FEDS 12 h satellite perimeters (LNU). Fireline: NIFC Operational Data Archive 2018 and 2020 (Research/Fireline_Operations).</w:t>
      </w:r>
    </w:p>
    <w:p>
      <w:pPr>
        <w:keepNext/>
        <w:spacing w:before="160"/>
      </w:pPr>
      <w:r>
        <w:rPr>
          <w:rFonts w:ascii="Times New Roman" w:hAnsi="Times New Roman"/>
          <w:b/>
          <w:i w:val="0"/>
          <w:color w:val="000000"/>
          <w:sz w:val="26"/>
        </w:rPr>
        <w:t>Results across the four fires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rFonts w:ascii="Times New Roman" w:hAnsi="Times New Roman"/>
                <w:b/>
                <w:i w:val="0"/>
                <w:color w:val="000000"/>
                <w:sz w:val="18"/>
              </w:rPr>
              <w:t>Fire</w:t>
            </w:r>
          </w:p>
        </w:tc>
        <w:tc>
          <w:tcPr>
            <w:tcW w:type="dxa" w:w="936"/>
          </w:tcPr>
          <w:p>
            <w:r/>
            <w:r>
              <w:rPr>
                <w:rFonts w:ascii="Times New Roman" w:hAnsi="Times New Roman"/>
                <w:b/>
                <w:i w:val="0"/>
                <w:color w:val="000000"/>
                <w:sz w:val="18"/>
              </w:rPr>
              <w:t>Acres (pixels)</w:t>
            </w:r>
          </w:p>
        </w:tc>
        <w:tc>
          <w:tcPr>
            <w:tcW w:type="dxa" w:w="936"/>
          </w:tcPr>
          <w:p>
            <w:r/>
            <w:r>
              <w:rPr>
                <w:rFonts w:ascii="Times New Roman" w:hAnsi="Times New Roman"/>
                <w:b/>
                <w:i w:val="0"/>
                <w:color w:val="000000"/>
                <w:sz w:val="18"/>
              </w:rPr>
              <w:t>Grass + grass-shrub</w:t>
            </w:r>
          </w:p>
        </w:tc>
        <w:tc>
          <w:tcPr>
            <w:tcW w:type="dxa" w:w="936"/>
          </w:tcPr>
          <w:p>
            <w:r/>
            <w:r>
              <w:rPr>
                <w:rFonts w:ascii="Times New Roman" w:hAnsi="Times New Roman"/>
                <w:b/>
                <w:i w:val="0"/>
                <w:color w:val="000000"/>
                <w:sz w:val="18"/>
              </w:rPr>
              <w:t>Shrub</w:t>
            </w:r>
          </w:p>
        </w:tc>
        <w:tc>
          <w:tcPr>
            <w:tcW w:type="dxa" w:w="936"/>
          </w:tcPr>
          <w:p>
            <w:r/>
            <w:r>
              <w:rPr>
                <w:rFonts w:ascii="Times New Roman" w:hAnsi="Times New Roman"/>
                <w:b/>
                <w:i w:val="0"/>
                <w:color w:val="000000"/>
                <w:sz w:val="18"/>
              </w:rPr>
              <w:t>Timber</w:t>
            </w:r>
          </w:p>
        </w:tc>
        <w:tc>
          <w:tcPr>
            <w:tcW w:type="dxa" w:w="936"/>
          </w:tcPr>
          <w:p>
            <w:r/>
            <w:r>
              <w:rPr>
                <w:rFonts w:ascii="Times New Roman" w:hAnsi="Times New Roman"/>
                <w:b/>
                <w:i w:val="0"/>
                <w:color w:val="000000"/>
                <w:sz w:val="18"/>
              </w:rPr>
              <w:t>Surface load t/ac, median (p90)</w:t>
            </w:r>
          </w:p>
        </w:tc>
        <w:tc>
          <w:tcPr>
            <w:tcW w:type="dxa" w:w="936"/>
          </w:tcPr>
          <w:p>
            <w:r/>
            <w:r>
              <w:rPr>
                <w:rFonts w:ascii="Times New Roman" w:hAnsi="Times New Roman"/>
                <w:b/>
                <w:i w:val="0"/>
                <w:color w:val="000000"/>
                <w:sz w:val="18"/>
              </w:rPr>
              <w:t>Area with canopy</w:t>
            </w:r>
          </w:p>
        </w:tc>
        <w:tc>
          <w:tcPr>
            <w:tcW w:type="dxa" w:w="936"/>
          </w:tcPr>
          <w:p>
            <w:r/>
            <w:r>
              <w:rPr>
                <w:rFonts w:ascii="Times New Roman" w:hAnsi="Times New Roman"/>
                <w:b/>
                <w:i w:val="0"/>
                <w:color w:val="000000"/>
                <w:sz w:val="18"/>
              </w:rPr>
              <w:t>Canopy cover % (median)</w:t>
            </w:r>
          </w:p>
        </w:tc>
        <w:tc>
          <w:tcPr>
            <w:tcW w:type="dxa" w:w="936"/>
          </w:tcPr>
          <w:p>
            <w:r/>
            <w:r>
              <w:rPr>
                <w:rFonts w:ascii="Times New Roman" w:hAnsi="Times New Roman"/>
                <w:b/>
                <w:i w:val="0"/>
                <w:color w:val="000000"/>
                <w:sz w:val="18"/>
              </w:rPr>
              <w:t>CBH m (median)</w:t>
            </w:r>
          </w:p>
        </w:tc>
        <w:tc>
          <w:tcPr>
            <w:tcW w:type="dxa" w:w="936"/>
          </w:tcPr>
          <w:p>
            <w:r/>
            <w:r>
              <w:rPr>
                <w:rFonts w:ascii="Times New Roman" w:hAnsi="Times New Roman"/>
                <w:b/>
                <w:i w:val="0"/>
                <w:color w:val="000000"/>
                <w:sz w:val="18"/>
              </w:rPr>
              <w:t>CBD kg/m3 (median)</w:t>
            </w:r>
          </w:p>
        </w:tc>
      </w:tr>
      <w:tr>
        <w:tc>
          <w:tcPr>
            <w:tcW w:type="dxa" w:w="936"/>
          </w:tcPr>
          <w:p>
            <w:r/>
            <w:r>
              <w:rPr>
                <w:rFonts w:ascii="Times New Roman" w:hAnsi="Times New Roman"/>
                <w:b w:val="0"/>
                <w:i w:val="0"/>
                <w:color w:val="000000"/>
                <w:sz w:val="18"/>
              </w:rPr>
              <w:t>Pioneer 2016</w:t>
            </w:r>
          </w:p>
        </w:tc>
        <w:tc>
          <w:tcPr>
            <w:tcW w:type="dxa" w:w="936"/>
          </w:tcPr>
          <w:p>
            <w:r/>
            <w:r>
              <w:rPr>
                <w:rFonts w:ascii="Times New Roman" w:hAnsi="Times New Roman"/>
                <w:b w:val="0"/>
                <w:i w:val="0"/>
                <w:color w:val="000000"/>
                <w:sz w:val="18"/>
              </w:rPr>
              <w:t>189,513</w:t>
            </w:r>
          </w:p>
        </w:tc>
        <w:tc>
          <w:tcPr>
            <w:tcW w:type="dxa" w:w="936"/>
          </w:tcPr>
          <w:p>
            <w:r/>
            <w:r>
              <w:rPr>
                <w:rFonts w:ascii="Times New Roman" w:hAnsi="Times New Roman"/>
                <w:b w:val="0"/>
                <w:i w:val="0"/>
                <w:color w:val="000000"/>
                <w:sz w:val="18"/>
              </w:rPr>
              <w:t>26%</w:t>
            </w:r>
          </w:p>
        </w:tc>
        <w:tc>
          <w:tcPr>
            <w:tcW w:type="dxa" w:w="936"/>
          </w:tcPr>
          <w:p>
            <w:r/>
            <w:r>
              <w:rPr>
                <w:rFonts w:ascii="Times New Roman" w:hAnsi="Times New Roman"/>
                <w:b w:val="0"/>
                <w:i w:val="0"/>
                <w:color w:val="000000"/>
                <w:sz w:val="18"/>
              </w:rPr>
              <w:t>7%</w:t>
            </w:r>
          </w:p>
        </w:tc>
        <w:tc>
          <w:tcPr>
            <w:tcW w:type="dxa" w:w="936"/>
          </w:tcPr>
          <w:p>
            <w:r/>
            <w:r>
              <w:rPr>
                <w:rFonts w:ascii="Times New Roman" w:hAnsi="Times New Roman"/>
                <w:b w:val="0"/>
                <w:i w:val="0"/>
                <w:color w:val="000000"/>
                <w:sz w:val="18"/>
              </w:rPr>
              <w:t>62%</w:t>
            </w:r>
          </w:p>
        </w:tc>
        <w:tc>
          <w:tcPr>
            <w:tcW w:type="dxa" w:w="936"/>
          </w:tcPr>
          <w:p>
            <w:r/>
            <w:r>
              <w:rPr>
                <w:rFonts w:ascii="Times New Roman" w:hAnsi="Times New Roman"/>
                <w:b w:val="0"/>
                <w:i w:val="0"/>
                <w:color w:val="000000"/>
                <w:sz w:val="18"/>
              </w:rPr>
              <w:t>4.8 (6.8)</w:t>
            </w:r>
          </w:p>
        </w:tc>
        <w:tc>
          <w:tcPr>
            <w:tcW w:type="dxa" w:w="936"/>
          </w:tcPr>
          <w:p>
            <w:r/>
            <w:r>
              <w:rPr>
                <w:rFonts w:ascii="Times New Roman" w:hAnsi="Times New Roman"/>
                <w:b w:val="0"/>
                <w:i w:val="0"/>
                <w:color w:val="000000"/>
                <w:sz w:val="18"/>
              </w:rPr>
              <w:t>39%</w:t>
            </w:r>
          </w:p>
        </w:tc>
        <w:tc>
          <w:tcPr>
            <w:tcW w:type="dxa" w:w="936"/>
          </w:tcPr>
          <w:p>
            <w:r/>
            <w:r>
              <w:rPr>
                <w:rFonts w:ascii="Times New Roman" w:hAnsi="Times New Roman"/>
                <w:b w:val="0"/>
                <w:i w:val="0"/>
                <w:color w:val="000000"/>
                <w:sz w:val="18"/>
              </w:rPr>
              <w:t>25</w:t>
            </w:r>
          </w:p>
        </w:tc>
        <w:tc>
          <w:tcPr>
            <w:tcW w:type="dxa" w:w="936"/>
          </w:tcPr>
          <w:p>
            <w:r/>
            <w:r>
              <w:rPr>
                <w:rFonts w:ascii="Times New Roman" w:hAnsi="Times New Roman"/>
                <w:b w:val="0"/>
                <w:i w:val="0"/>
                <w:color w:val="000000"/>
                <w:sz w:val="18"/>
              </w:rPr>
              <w:t>4.1</w:t>
            </w:r>
          </w:p>
        </w:tc>
        <w:tc>
          <w:tcPr>
            <w:tcW w:type="dxa" w:w="936"/>
          </w:tcPr>
          <w:p>
            <w:r/>
            <w:r>
              <w:rPr>
                <w:rFonts w:ascii="Times New Roman" w:hAnsi="Times New Roman"/>
                <w:b w:val="0"/>
                <w:i w:val="0"/>
                <w:color w:val="000000"/>
                <w:sz w:val="18"/>
              </w:rPr>
              <w:t>0.04</w:t>
            </w:r>
          </w:p>
        </w:tc>
      </w:tr>
      <w:tr>
        <w:tc>
          <w:tcPr>
            <w:tcW w:type="dxa" w:w="936"/>
          </w:tcPr>
          <w:p>
            <w:r/>
            <w:r>
              <w:rPr>
                <w:rFonts w:ascii="Times New Roman" w:hAnsi="Times New Roman"/>
                <w:b w:val="0"/>
                <w:i w:val="0"/>
                <w:color w:val="000000"/>
                <w:sz w:val="18"/>
              </w:rPr>
              <w:t>Carr 2018</w:t>
            </w:r>
          </w:p>
        </w:tc>
        <w:tc>
          <w:tcPr>
            <w:tcW w:type="dxa" w:w="936"/>
          </w:tcPr>
          <w:p>
            <w:r/>
            <w:r>
              <w:rPr>
                <w:rFonts w:ascii="Times New Roman" w:hAnsi="Times New Roman"/>
                <w:b w:val="0"/>
                <w:i w:val="0"/>
                <w:color w:val="000000"/>
                <w:sz w:val="18"/>
              </w:rPr>
              <w:t>233,375</w:t>
            </w:r>
          </w:p>
        </w:tc>
        <w:tc>
          <w:tcPr>
            <w:tcW w:type="dxa" w:w="936"/>
          </w:tcPr>
          <w:p>
            <w:r/>
            <w:r>
              <w:rPr>
                <w:rFonts w:ascii="Times New Roman" w:hAnsi="Times New Roman"/>
                <w:b w:val="0"/>
                <w:i w:val="0"/>
                <w:color w:val="000000"/>
                <w:sz w:val="18"/>
              </w:rPr>
              <w:t>17%</w:t>
            </w:r>
          </w:p>
        </w:tc>
        <w:tc>
          <w:tcPr>
            <w:tcW w:type="dxa" w:w="936"/>
          </w:tcPr>
          <w:p>
            <w:r/>
            <w:r>
              <w:rPr>
                <w:rFonts w:ascii="Times New Roman" w:hAnsi="Times New Roman"/>
                <w:b w:val="0"/>
                <w:i w:val="0"/>
                <w:color w:val="000000"/>
                <w:sz w:val="18"/>
              </w:rPr>
              <w:t>14%</w:t>
            </w:r>
          </w:p>
        </w:tc>
        <w:tc>
          <w:tcPr>
            <w:tcW w:type="dxa" w:w="936"/>
          </w:tcPr>
          <w:p>
            <w:r/>
            <w:r>
              <w:rPr>
                <w:rFonts w:ascii="Times New Roman" w:hAnsi="Times New Roman"/>
                <w:b w:val="0"/>
                <w:i w:val="0"/>
                <w:color w:val="000000"/>
                <w:sz w:val="18"/>
              </w:rPr>
              <w:t>66%</w:t>
            </w:r>
          </w:p>
        </w:tc>
        <w:tc>
          <w:tcPr>
            <w:tcW w:type="dxa" w:w="936"/>
          </w:tcPr>
          <w:p>
            <w:r/>
            <w:r>
              <w:rPr>
                <w:rFonts w:ascii="Times New Roman" w:hAnsi="Times New Roman"/>
                <w:b w:val="0"/>
                <w:i w:val="0"/>
                <w:color w:val="000000"/>
                <w:sz w:val="18"/>
              </w:rPr>
              <w:t>14.0 (14.4)</w:t>
            </w:r>
          </w:p>
        </w:tc>
        <w:tc>
          <w:tcPr>
            <w:tcW w:type="dxa" w:w="936"/>
          </w:tcPr>
          <w:p>
            <w:r/>
            <w:r>
              <w:rPr>
                <w:rFonts w:ascii="Times New Roman" w:hAnsi="Times New Roman"/>
                <w:b w:val="0"/>
                <w:i w:val="0"/>
                <w:color w:val="000000"/>
                <w:sz w:val="18"/>
              </w:rPr>
              <w:t>81%</w:t>
            </w:r>
          </w:p>
        </w:tc>
        <w:tc>
          <w:tcPr>
            <w:tcW w:type="dxa" w:w="936"/>
          </w:tcPr>
          <w:p>
            <w:r/>
            <w:r>
              <w:rPr>
                <w:rFonts w:ascii="Times New Roman" w:hAnsi="Times New Roman"/>
                <w:b w:val="0"/>
                <w:i w:val="0"/>
                <w:color w:val="000000"/>
                <w:sz w:val="18"/>
              </w:rPr>
              <w:t>55</w:t>
            </w:r>
          </w:p>
        </w:tc>
        <w:tc>
          <w:tcPr>
            <w:tcW w:type="dxa" w:w="936"/>
          </w:tcPr>
          <w:p>
            <w:r/>
            <w:r>
              <w:rPr>
                <w:rFonts w:ascii="Times New Roman" w:hAnsi="Times New Roman"/>
                <w:b w:val="0"/>
                <w:i w:val="0"/>
                <w:color w:val="000000"/>
                <w:sz w:val="18"/>
              </w:rPr>
              <w:t>1.6</w:t>
            </w:r>
          </w:p>
        </w:tc>
        <w:tc>
          <w:tcPr>
            <w:tcW w:type="dxa" w:w="936"/>
          </w:tcPr>
          <w:p>
            <w:r/>
            <w:r>
              <w:rPr>
                <w:rFonts w:ascii="Times New Roman" w:hAnsi="Times New Roman"/>
                <w:b w:val="0"/>
                <w:i w:val="0"/>
                <w:color w:val="000000"/>
                <w:sz w:val="18"/>
              </w:rPr>
              <w:t>0.11</w:t>
            </w:r>
          </w:p>
        </w:tc>
      </w:tr>
      <w:tr>
        <w:tc>
          <w:tcPr>
            <w:tcW w:type="dxa" w:w="936"/>
          </w:tcPr>
          <w:p>
            <w:r/>
            <w:r>
              <w:rPr>
                <w:rFonts w:ascii="Times New Roman" w:hAnsi="Times New Roman"/>
                <w:b w:val="0"/>
                <w:i w:val="0"/>
                <w:color w:val="000000"/>
                <w:sz w:val="18"/>
              </w:rPr>
              <w:t>Camp 2018</w:t>
            </w:r>
          </w:p>
        </w:tc>
        <w:tc>
          <w:tcPr>
            <w:tcW w:type="dxa" w:w="936"/>
          </w:tcPr>
          <w:p>
            <w:r/>
            <w:r>
              <w:rPr>
                <w:rFonts w:ascii="Times New Roman" w:hAnsi="Times New Roman"/>
                <w:b w:val="0"/>
                <w:i w:val="0"/>
                <w:color w:val="000000"/>
                <w:sz w:val="18"/>
              </w:rPr>
              <w:t>153,340</w:t>
            </w:r>
          </w:p>
        </w:tc>
        <w:tc>
          <w:tcPr>
            <w:tcW w:type="dxa" w:w="936"/>
          </w:tcPr>
          <w:p>
            <w:r/>
            <w:r>
              <w:rPr>
                <w:rFonts w:ascii="Times New Roman" w:hAnsi="Times New Roman"/>
                <w:b w:val="0"/>
                <w:i w:val="0"/>
                <w:color w:val="000000"/>
                <w:sz w:val="18"/>
              </w:rPr>
              <w:t>29%</w:t>
            </w:r>
          </w:p>
        </w:tc>
        <w:tc>
          <w:tcPr>
            <w:tcW w:type="dxa" w:w="936"/>
          </w:tcPr>
          <w:p>
            <w:r/>
            <w:r>
              <w:rPr>
                <w:rFonts w:ascii="Times New Roman" w:hAnsi="Times New Roman"/>
                <w:b w:val="0"/>
                <w:i w:val="0"/>
                <w:color w:val="000000"/>
                <w:sz w:val="18"/>
              </w:rPr>
              <w:t>8%</w:t>
            </w:r>
          </w:p>
        </w:tc>
        <w:tc>
          <w:tcPr>
            <w:tcW w:type="dxa" w:w="936"/>
          </w:tcPr>
          <w:p>
            <w:r/>
            <w:r>
              <w:rPr>
                <w:rFonts w:ascii="Times New Roman" w:hAnsi="Times New Roman"/>
                <w:b w:val="0"/>
                <w:i w:val="0"/>
                <w:color w:val="000000"/>
                <w:sz w:val="18"/>
              </w:rPr>
              <w:t>59%</w:t>
            </w:r>
          </w:p>
        </w:tc>
        <w:tc>
          <w:tcPr>
            <w:tcW w:type="dxa" w:w="936"/>
          </w:tcPr>
          <w:p>
            <w:r/>
            <w:r>
              <w:rPr>
                <w:rFonts w:ascii="Times New Roman" w:hAnsi="Times New Roman"/>
                <w:b w:val="0"/>
                <w:i w:val="0"/>
                <w:color w:val="000000"/>
                <w:sz w:val="18"/>
              </w:rPr>
              <w:t>6.2 (14.0)</w:t>
            </w:r>
          </w:p>
        </w:tc>
        <w:tc>
          <w:tcPr>
            <w:tcW w:type="dxa" w:w="936"/>
          </w:tcPr>
          <w:p>
            <w:r/>
            <w:r>
              <w:rPr>
                <w:rFonts w:ascii="Times New Roman" w:hAnsi="Times New Roman"/>
                <w:b w:val="0"/>
                <w:i w:val="0"/>
                <w:color w:val="000000"/>
                <w:sz w:val="18"/>
              </w:rPr>
              <w:t>71%</w:t>
            </w:r>
          </w:p>
        </w:tc>
        <w:tc>
          <w:tcPr>
            <w:tcW w:type="dxa" w:w="936"/>
          </w:tcPr>
          <w:p>
            <w:r/>
            <w:r>
              <w:rPr>
                <w:rFonts w:ascii="Times New Roman" w:hAnsi="Times New Roman"/>
                <w:b w:val="0"/>
                <w:i w:val="0"/>
                <w:color w:val="000000"/>
                <w:sz w:val="18"/>
              </w:rPr>
              <w:t>45</w:t>
            </w:r>
          </w:p>
        </w:tc>
        <w:tc>
          <w:tcPr>
            <w:tcW w:type="dxa" w:w="936"/>
          </w:tcPr>
          <w:p>
            <w:r/>
            <w:r>
              <w:rPr>
                <w:rFonts w:ascii="Times New Roman" w:hAnsi="Times New Roman"/>
                <w:b w:val="0"/>
                <w:i w:val="0"/>
                <w:color w:val="000000"/>
                <w:sz w:val="18"/>
              </w:rPr>
              <w:t>1.0</w:t>
            </w:r>
          </w:p>
        </w:tc>
        <w:tc>
          <w:tcPr>
            <w:tcW w:type="dxa" w:w="936"/>
          </w:tcPr>
          <w:p>
            <w:r/>
            <w:r>
              <w:rPr>
                <w:rFonts w:ascii="Times New Roman" w:hAnsi="Times New Roman"/>
                <w:b w:val="0"/>
                <w:i w:val="0"/>
                <w:color w:val="000000"/>
                <w:sz w:val="18"/>
              </w:rPr>
              <w:t>0.08</w:t>
            </w:r>
          </w:p>
        </w:tc>
      </w:tr>
      <w:tr>
        <w:tc>
          <w:tcPr>
            <w:tcW w:type="dxa" w:w="936"/>
          </w:tcPr>
          <w:p>
            <w:r/>
            <w:r>
              <w:rPr>
                <w:rFonts w:ascii="Times New Roman" w:hAnsi="Times New Roman"/>
                <w:b w:val="0"/>
                <w:i w:val="0"/>
                <w:color w:val="000000"/>
                <w:sz w:val="18"/>
              </w:rPr>
              <w:t>LNU 2020</w:t>
            </w:r>
          </w:p>
        </w:tc>
        <w:tc>
          <w:tcPr>
            <w:tcW w:type="dxa" w:w="936"/>
          </w:tcPr>
          <w:p>
            <w:r/>
            <w:r>
              <w:rPr>
                <w:rFonts w:ascii="Times New Roman" w:hAnsi="Times New Roman"/>
                <w:b w:val="0"/>
                <w:i w:val="0"/>
                <w:color w:val="000000"/>
                <w:sz w:val="18"/>
              </w:rPr>
              <w:t>362,921</w:t>
            </w:r>
          </w:p>
        </w:tc>
        <w:tc>
          <w:tcPr>
            <w:tcW w:type="dxa" w:w="936"/>
          </w:tcPr>
          <w:p>
            <w:r/>
            <w:r>
              <w:rPr>
                <w:rFonts w:ascii="Times New Roman" w:hAnsi="Times New Roman"/>
                <w:b w:val="0"/>
                <w:i w:val="0"/>
                <w:color w:val="000000"/>
                <w:sz w:val="18"/>
              </w:rPr>
              <w:t>35%</w:t>
            </w:r>
          </w:p>
        </w:tc>
        <w:tc>
          <w:tcPr>
            <w:tcW w:type="dxa" w:w="936"/>
          </w:tcPr>
          <w:p>
            <w:r/>
            <w:r>
              <w:rPr>
                <w:rFonts w:ascii="Times New Roman" w:hAnsi="Times New Roman"/>
                <w:b w:val="0"/>
                <w:i w:val="0"/>
                <w:color w:val="000000"/>
                <w:sz w:val="18"/>
              </w:rPr>
              <w:t>29%</w:t>
            </w:r>
          </w:p>
        </w:tc>
        <w:tc>
          <w:tcPr>
            <w:tcW w:type="dxa" w:w="936"/>
          </w:tcPr>
          <w:p>
            <w:r/>
            <w:r>
              <w:rPr>
                <w:rFonts w:ascii="Times New Roman" w:hAnsi="Times New Roman"/>
                <w:b w:val="0"/>
                <w:i w:val="0"/>
                <w:color w:val="000000"/>
                <w:sz w:val="18"/>
              </w:rPr>
              <w:t>34%</w:t>
            </w:r>
          </w:p>
        </w:tc>
        <w:tc>
          <w:tcPr>
            <w:tcW w:type="dxa" w:w="936"/>
          </w:tcPr>
          <w:p>
            <w:r/>
            <w:r>
              <w:rPr>
                <w:rFonts w:ascii="Times New Roman" w:hAnsi="Times New Roman"/>
                <w:b w:val="0"/>
                <w:i w:val="0"/>
                <w:color w:val="000000"/>
                <w:sz w:val="18"/>
              </w:rPr>
              <w:t>8.3 (14.4)</w:t>
            </w:r>
          </w:p>
        </w:tc>
        <w:tc>
          <w:tcPr>
            <w:tcW w:type="dxa" w:w="936"/>
          </w:tcPr>
          <w:p>
            <w:r/>
            <w:r>
              <w:rPr>
                <w:rFonts w:ascii="Times New Roman" w:hAnsi="Times New Roman"/>
                <w:b w:val="0"/>
                <w:i w:val="0"/>
                <w:color w:val="000000"/>
                <w:sz w:val="18"/>
              </w:rPr>
              <w:t>53%</w:t>
            </w:r>
          </w:p>
        </w:tc>
        <w:tc>
          <w:tcPr>
            <w:tcW w:type="dxa" w:w="936"/>
          </w:tcPr>
          <w:p>
            <w:r/>
            <w:r>
              <w:rPr>
                <w:rFonts w:ascii="Times New Roman" w:hAnsi="Times New Roman"/>
                <w:b w:val="0"/>
                <w:i w:val="0"/>
                <w:color w:val="000000"/>
                <w:sz w:val="18"/>
              </w:rPr>
              <w:t>45</w:t>
            </w:r>
          </w:p>
        </w:tc>
        <w:tc>
          <w:tcPr>
            <w:tcW w:type="dxa" w:w="936"/>
          </w:tcPr>
          <w:p>
            <w:r/>
            <w:r>
              <w:rPr>
                <w:rFonts w:ascii="Times New Roman" w:hAnsi="Times New Roman"/>
                <w:b w:val="0"/>
                <w:i w:val="0"/>
                <w:color w:val="000000"/>
                <w:sz w:val="18"/>
              </w:rPr>
              <w:t>1.5</w:t>
            </w:r>
          </w:p>
        </w:tc>
        <w:tc>
          <w:tcPr>
            <w:tcW w:type="dxa" w:w="936"/>
          </w:tcPr>
          <w:p>
            <w:r/>
            <w:r>
              <w:rPr>
                <w:rFonts w:ascii="Times New Roman" w:hAnsi="Times New Roman"/>
                <w:b w:val="0"/>
                <w:i w:val="0"/>
                <w:color w:val="000000"/>
                <w:sz w:val="18"/>
              </w:rPr>
              <w:t>0.08</w:t>
            </w:r>
          </w:p>
        </w:tc>
      </w:tr>
    </w:tbl>
    <w:p/>
    <w:p>
      <w:r>
        <w:rPr>
          <w:rFonts w:ascii="Times New Roman" w:hAnsi="Times New Roman"/>
          <w:b w:val="0"/>
          <w:i w:val="0"/>
          <w:color w:val="000000"/>
        </w:rPr>
        <w:t>Timber dominates Carr and Camp, shrub and grass dominate LNU, and Pioneer cannot be read as pre-fire (below). The highest assigned surface loads (Carr median 14 t/ac) come from the TU5 fuel model, heavy conifer litter with a shrub understory.</w:t>
      </w:r>
    </w:p>
    <w:p>
      <w:pPr>
        <w:keepNext/>
        <w:spacing w:before="160"/>
      </w:pPr>
      <w:r>
        <w:rPr>
          <w:rFonts w:ascii="Times New Roman" w:hAnsi="Times New Roman"/>
          <w:b/>
          <w:i w:val="0"/>
          <w:color w:val="000000"/>
          <w:sz w:val="24"/>
        </w:rPr>
        <w:t>Pioneer 2016</w:t>
      </w:r>
    </w:p>
    <w:p>
      <w:r>
        <w:rPr>
          <w:rFonts w:ascii="Times New Roman" w:hAnsi="Times New Roman"/>
          <w:b w:val="0"/>
          <w:i w:val="0"/>
          <w:color w:val="000000"/>
        </w:rPr>
        <w:t>Top fuel models: TL3 23% (moderate load conifer litter, 5.5 t/ac); TL6 20% (moderate load broadleaf litter, 4.8 t/ac); GR2 10% (grass, low load, 1.1 t/ac); GS1 10% (shrubs about 1 ft, low grass load, 1.4 t/ac); TU1 9% (low load grass or shrub with litter, 3.7 t/ac).</w:t>
      </w:r>
    </w:p>
    <w:p>
      <w:r>
        <w:rPr>
          <w:rFonts w:ascii="Times New Roman" w:hAnsi="Times New Roman"/>
          <w:b w:val="0"/>
          <w:i w:val="0"/>
          <w:color w:val="000000"/>
        </w:rPr>
        <w:t>Top FCCS fuelbeds: Douglas-fir-Pacific ponderosa pine/oceanspray forest 47%; Subalpine fir-Engelmann spruce-Douglas-fir-lodgepole pine forest 7%; Mesquite savanna 6%; Bare Ground 5%.</w:t>
      </w:r>
    </w:p>
    <w:p>
      <w:r>
        <w:rPr>
          <w:rFonts w:ascii="Times New Roman" w:hAnsi="Times New Roman"/>
          <w:b w:val="0"/>
          <w:i w:val="0"/>
          <w:color w:val="000000"/>
        </w:rPr>
        <w:t>Top vegetation types (EVT): Recently Burned-Herb and Grass Cover 62%; Middle Rocky Mountain Montane Douglas-fir Forest and Woodland 6%; Rocky Mountain Cliff Canyon and Massive Bedrock 5%; Rocky Mountain Subalpine-Montane Mesic Meadow 4%.</w:t>
      </w:r>
    </w:p>
    <w:p>
      <w:r>
        <w:rPr>
          <w:rFonts w:ascii="Times New Roman" w:hAnsi="Times New Roman"/>
          <w:b w:val="0"/>
          <w:i w:val="0"/>
          <w:color w:val="000000"/>
        </w:rPr>
        <w:t>Canopy: 39% of the area has canopy; cover median 25% (p10 15, p90 35); canopy height median 19.0 m; base height median 4.1 m; bulk density median 0.04 kg/m3.</w:t>
      </w:r>
    </w:p>
    <w:p>
      <w:r>
        <w:rPr>
          <w:rFonts w:ascii="Times New Roman" w:hAnsi="Times New Roman"/>
          <w:b w:val="0"/>
          <w:i w:val="0"/>
          <w:color w:val="000000"/>
        </w:rPr>
        <w:t>Disturbance before LF 2016: Fire / High / Two to Five Years 38%; Fire / Low / Two to Five Years 36%; Fire / Moderate / Two to Five Years 26%.</w:t>
      </w:r>
    </w:p>
    <w:p>
      <w:r>
        <w:rPr>
          <w:rFonts w:ascii="Times New Roman" w:hAnsi="Times New Roman"/>
          <w:b w:val="0"/>
          <w:i w:val="0"/>
          <w:color w:val="000000"/>
        </w:rPr>
        <w:t>Terrain (USGS 3DEP, Research/Fuels_and_Topography): median elevation 1916 m, median slope 19.7°, 16% of the area at 30° or more.</w:t>
      </w:r>
    </w:p>
    <w:p>
      <w:pPr>
        <w:pStyle w:val="ListBullet"/>
      </w:pPr>
      <w:r>
        <w:rPr>
          <w:rFonts w:ascii="Times New Roman" w:hAnsi="Times New Roman"/>
          <w:b w:val="0"/>
          <w:i w:val="0"/>
          <w:color w:val="000000"/>
        </w:rPr>
        <w:t>LANDFIRE 2016 classifies this area after the fire: the disturbance layer marks 99% of it as burned in the prior 2 to 5 years, and 62% of the vegetation as 'Recently Burned-Herb and Grass Cover'.</w:t>
      </w:r>
    </w:p>
    <w:p>
      <w:pPr>
        <w:pStyle w:val="ListBullet"/>
      </w:pPr>
      <w:r>
        <w:rPr>
          <w:rFonts w:ascii="Times New Roman" w:hAnsi="Times New Roman"/>
          <w:b w:val="0"/>
          <w:i w:val="0"/>
          <w:color w:val="000000"/>
        </w:rPr>
        <w:t>So the fuel models here (TL3 conifer litter 23%, TL6 broadleaf litter 20%, grass and grass-shrub 26%) describe what was left, not what burned.</w:t>
      </w:r>
    </w:p>
    <w:p>
      <w:pPr>
        <w:pStyle w:val="ListBullet"/>
      </w:pPr>
      <w:r>
        <w:rPr>
          <w:rFonts w:ascii="Times New Roman" w:hAnsi="Times New Roman"/>
          <w:b w:val="0"/>
          <w:i w:val="0"/>
          <w:color w:val="000000"/>
        </w:rPr>
        <w:t>The dated perimeters fill the southern lobe first (light) and the northern lobe late (dark), consistent with the late-August northeastward run in the case-study record.</w:t>
      </w:r>
    </w:p>
    <w:p>
      <w:pPr>
        <w:pStyle w:val="ListBullet"/>
      </w:pPr>
      <w:r>
        <w:rPr>
          <w:rFonts w:ascii="Times New Roman" w:hAnsi="Times New Roman"/>
          <w:b w:val="0"/>
          <w:i w:val="0"/>
          <w:color w:val="000000"/>
        </w:rPr>
        <w:t>The disturbance map is the evidence: almost every pixel inside the final perimeter carries a fire code, with high, moderate and low severity interleaved.</w:t>
      </w:r>
    </w:p>
    <w:p>
      <w:pPr>
        <w:pStyle w:val="ListBullet"/>
      </w:pPr>
      <w:r>
        <w:rPr>
          <w:rFonts w:ascii="Times New Roman" w:hAnsi="Times New Roman"/>
          <w:b w:val="0"/>
          <w:i w:val="0"/>
          <w:color w:val="000000"/>
        </w:rPr>
        <w:t>A pre-fire picture needs LANDFIRE 2014 (archived; the LANDFIRE viewer, not the image service).</w:t>
      </w:r>
    </w:p>
    <w:p>
      <w:pPr>
        <w:pStyle w:val="ListBullet"/>
      </w:pPr>
      <w:r>
        <w:rPr>
          <w:rFonts w:ascii="Times New Roman" w:hAnsi="Times New Roman"/>
          <w:b w:val="0"/>
          <w:i w:val="0"/>
          <w:color w:val="000000"/>
        </w:rPr>
        <w:t>No public fireline archive exists for 2016; incident GIS has to come through the Pioneer FOIA.</w:t>
      </w:r>
    </w:p>
    <w:p>
      <w:pPr>
        <w:keepNext/>
        <w:spacing w:before="160"/>
      </w:pPr>
      <w:r>
        <w:rPr>
          <w:rFonts w:ascii="Times New Roman" w:hAnsi="Times New Roman"/>
          <w:b/>
          <w:i w:val="0"/>
          <w:color w:val="000000"/>
          <w:sz w:val="24"/>
        </w:rPr>
        <w:t>Carr 2018</w:t>
      </w:r>
    </w:p>
    <w:p>
      <w:r>
        <w:rPr>
          <w:rFonts w:ascii="Times New Roman" w:hAnsi="Times New Roman"/>
          <w:b w:val="0"/>
          <w:i w:val="0"/>
          <w:color w:val="000000"/>
        </w:rPr>
        <w:t>Top fuel models: TU5 49% (heavy conifer litter with shrub or small-tree understory, 14.0 t/ac); GS2 12% (shrubs 1 to 3 ft, moderate grass load, 2.6 t/ac); SH7 12% (very heavy shrub load, 4 to 6 ft, 14.4 t/ac); TL8 10% (moderate load long-needle pine litter, 8.3 t/ac); GR2 3% (grass, low load, 1.1 t/ac).</w:t>
      </w:r>
    </w:p>
    <w:p>
      <w:r>
        <w:rPr>
          <w:rFonts w:ascii="Times New Roman" w:hAnsi="Times New Roman"/>
          <w:b w:val="0"/>
          <w:i w:val="0"/>
          <w:color w:val="000000"/>
        </w:rPr>
        <w:t>Top FCCS fuelbeds: California black oak woodland 32%; Ponderosa pine-Jeffrey pine forest 21%; Pacific ponderosa pine-Douglas-fir forest 15%; Scrub oak chaparral shrubland 10%.</w:t>
      </w:r>
    </w:p>
    <w:p>
      <w:r>
        <w:rPr>
          <w:rFonts w:ascii="Times New Roman" w:hAnsi="Times New Roman"/>
          <w:b w:val="0"/>
          <w:i w:val="0"/>
          <w:color w:val="000000"/>
        </w:rPr>
        <w:t>Top vegetation types (EVT): Mediterranean California Lower Montane Conifer Forest and Woodland 21%; Mediterranean California Mixed Evergreen Forest 16%; Mediterranean California Mesic Mixed Conifer Forest and Woodland 15%; Northern and Central California Dry-Mesic Chaparral 9%.</w:t>
      </w:r>
    </w:p>
    <w:p>
      <w:r>
        <w:rPr>
          <w:rFonts w:ascii="Times New Roman" w:hAnsi="Times New Roman"/>
          <w:b w:val="0"/>
          <w:i w:val="0"/>
          <w:color w:val="000000"/>
        </w:rPr>
        <w:t>Canopy: 81% of the area has canopy; cover median 55% (p10 35, p90 75); canopy height median 23.0 m; base height median 1.6 m; bulk density median 0.11 kg/m3.</w:t>
      </w:r>
    </w:p>
    <w:p>
      <w:r>
        <w:rPr>
          <w:rFonts w:ascii="Times New Roman" w:hAnsi="Times New Roman"/>
          <w:b w:val="0"/>
          <w:i w:val="0"/>
          <w:color w:val="000000"/>
        </w:rPr>
        <w:t>Disturbance before LF 2016: No Disturbance / NA / NA 97%; Fire / Low / Six to Ten Years 1%; Fire / Low / Two to Five Years 0%.</w:t>
      </w:r>
    </w:p>
    <w:p>
      <w:r>
        <w:rPr>
          <w:rFonts w:ascii="Times New Roman" w:hAnsi="Times New Roman"/>
          <w:b w:val="0"/>
          <w:i w:val="0"/>
          <w:color w:val="000000"/>
        </w:rPr>
        <w:t>Terrain (USGS 3DEP, Research/Fuels_and_Topography): median elevation 820 m, median slope 24.0°, 24% of the area at 30° or more.</w:t>
      </w:r>
    </w:p>
    <w:p>
      <w:pPr>
        <w:pStyle w:val="ListBullet"/>
      </w:pPr>
      <w:r>
        <w:rPr>
          <w:rFonts w:ascii="Times New Roman" w:hAnsi="Times New Roman"/>
          <w:b w:val="0"/>
          <w:i w:val="0"/>
          <w:color w:val="000000"/>
        </w:rPr>
        <w:t>Half the area (49%) is TU5, heavy conifer litter under shrubs and small trees, the heaviest common model here at 14 t/ac assigned surface load.</w:t>
      </w:r>
    </w:p>
    <w:p>
      <w:pPr>
        <w:pStyle w:val="ListBullet"/>
      </w:pPr>
      <w:r>
        <w:rPr>
          <w:rFonts w:ascii="Times New Roman" w:hAnsi="Times New Roman"/>
          <w:b w:val="0"/>
          <w:i w:val="0"/>
          <w:color w:val="000000"/>
        </w:rPr>
        <w:t>Shrub (14%) and grass-shrub (13%) fill the lower slopes; Whiskeytown Lake is the non-burnable hole in the middle.</w:t>
      </w:r>
    </w:p>
    <w:p>
      <w:pPr>
        <w:pStyle w:val="ListBullet"/>
      </w:pPr>
      <w:r>
        <w:rPr>
          <w:rFonts w:ascii="Times New Roman" w:hAnsi="Times New Roman"/>
          <w:b w:val="0"/>
          <w:i w:val="0"/>
          <w:color w:val="000000"/>
        </w:rPr>
        <w:t>The 63 dated perimeters thicken in the south early and expand the north late; LANDFIRE marks 97% of the area as undisturbed in the 10 years before 2016, so this is a pre-fire picture.</w:t>
      </w:r>
    </w:p>
    <w:p>
      <w:pPr>
        <w:pStyle w:val="ListBullet"/>
      </w:pPr>
      <w:r>
        <w:rPr>
          <w:rFonts w:ascii="Times New Roman" w:hAnsi="Times New Roman"/>
          <w:b w:val="0"/>
          <w:i w:val="0"/>
          <w:color w:val="000000"/>
        </w:rPr>
        <w:t>Canopy covers 81% of the area (median cover 55%, canopy base height median 1.6 m): low, continuous canopy that lets surface fire climb.</w:t>
      </w:r>
    </w:p>
    <w:p>
      <w:pPr>
        <w:pStyle w:val="ListBullet"/>
      </w:pPr>
      <w:r>
        <w:rPr>
          <w:rFonts w:ascii="Times New Roman" w:hAnsi="Times New Roman"/>
          <w:b w:val="0"/>
          <w:i w:val="0"/>
          <w:color w:val="000000"/>
        </w:rPr>
        <w:t>By 20 Aug the incident map held about 306 mi of completed dozer line and 30 mi of hand line, much of it cut through the interior as well as along the edge.</w:t>
      </w:r>
    </w:p>
    <w:p>
      <w:pPr>
        <w:pStyle w:val="ListBullet"/>
      </w:pPr>
      <w:r>
        <w:rPr>
          <w:rFonts w:ascii="Times New Roman" w:hAnsi="Times New Roman"/>
          <w:b w:val="0"/>
          <w:i w:val="0"/>
          <w:color w:val="000000"/>
        </w:rPr>
        <w:t>The incident map also carried 94 safety zones, 8 helispots and 6 unimproved landing areas (points on the map): ready-made checkpoints for an overhead drone.</w:t>
      </w:r>
    </w:p>
    <w:p>
      <w:pPr>
        <w:keepNext/>
        <w:spacing w:before="160"/>
      </w:pPr>
      <w:r>
        <w:rPr>
          <w:rFonts w:ascii="Times New Roman" w:hAnsi="Times New Roman"/>
          <w:b/>
          <w:i w:val="0"/>
          <w:color w:val="000000"/>
          <w:sz w:val="24"/>
        </w:rPr>
        <w:t>Camp 2018</w:t>
      </w:r>
    </w:p>
    <w:p>
      <w:r>
        <w:rPr>
          <w:rFonts w:ascii="Times New Roman" w:hAnsi="Times New Roman"/>
          <w:b w:val="0"/>
          <w:i w:val="0"/>
          <w:color w:val="000000"/>
        </w:rPr>
        <w:t>Top fuel models: TU5 36% (heavy conifer litter with shrub or small-tree understory, 14.0 t/ac); GR2 17% (grass, low load, 1.1 t/ac); TL6 14% (moderate load broadleaf litter, 4.8 t/ac); GS2 8% (shrubs 1 to 3 ft, moderate grass load, 2.6 t/ac); SH5 5% (heavy shrub load, 4 to 6 ft, 8.6 t/ac).</w:t>
      </w:r>
    </w:p>
    <w:p>
      <w:r>
        <w:rPr>
          <w:rFonts w:ascii="Times New Roman" w:hAnsi="Times New Roman"/>
          <w:b w:val="0"/>
          <w:i w:val="0"/>
          <w:color w:val="000000"/>
        </w:rPr>
        <w:t>Top FCCS fuelbeds: California black oak woodland 32%; Bare Ground 20%; Pacific ponderosa pine-Douglas-fir forest 13%; California live oak-blue oak woodland 9%.</w:t>
      </w:r>
    </w:p>
    <w:p>
      <w:r>
        <w:rPr>
          <w:rFonts w:ascii="Times New Roman" w:hAnsi="Times New Roman"/>
          <w:b w:val="0"/>
          <w:i w:val="0"/>
          <w:color w:val="000000"/>
        </w:rPr>
        <w:t>Top vegetation types (EVT): Mediterranean California Lower Montane Conifer Forest and Woodland 19%; Mediterranean California Mesic Mixed Conifer Forest and Woodland 12%; California Ruderal Grassland and Meadow 11%; Mediterranean California Mixed Oak Woodland 8%.</w:t>
      </w:r>
    </w:p>
    <w:p>
      <w:r>
        <w:rPr>
          <w:rFonts w:ascii="Times New Roman" w:hAnsi="Times New Roman"/>
          <w:b w:val="0"/>
          <w:i w:val="0"/>
          <w:color w:val="000000"/>
        </w:rPr>
        <w:t>Canopy: 71% of the area has canopy; cover median 45% (p10 35, p90 75); canopy height median 23.0 m; base height median 1.0 m; bulk density median 0.08 kg/m3.</w:t>
      </w:r>
    </w:p>
    <w:p>
      <w:r>
        <w:rPr>
          <w:rFonts w:ascii="Times New Roman" w:hAnsi="Times New Roman"/>
          <w:b w:val="0"/>
          <w:i w:val="0"/>
          <w:color w:val="000000"/>
        </w:rPr>
        <w:t>Disturbance before LF 2016: No Disturbance / NA / NA 98%; Fire / Low / Two to Five Years 0%; Fire / Low / Six to Ten Years 0%.</w:t>
      </w:r>
    </w:p>
    <w:p>
      <w:r>
        <w:rPr>
          <w:rFonts w:ascii="Times New Roman" w:hAnsi="Times New Roman"/>
          <w:b w:val="0"/>
          <w:i w:val="0"/>
          <w:color w:val="000000"/>
        </w:rPr>
        <w:t>Terrain (USGS 3DEP, Research/Fuels_and_Topography): median elevation 523 m, median slope 15.0°, 12% of the area at 30° or more.</w:t>
      </w:r>
    </w:p>
    <w:p>
      <w:pPr>
        <w:pStyle w:val="ListBullet"/>
      </w:pPr>
      <w:r>
        <w:rPr>
          <w:rFonts w:ascii="Times New Roman" w:hAnsi="Times New Roman"/>
          <w:b w:val="0"/>
          <w:i w:val="0"/>
          <w:color w:val="000000"/>
        </w:rPr>
        <w:t>Two landscapes: grass and grass-shrub (29% together) on the lower western slopes toward the valley, and timber with shrub understory (TU5, 36%) on the higher eastern ridges.</w:t>
      </w:r>
    </w:p>
    <w:p>
      <w:pPr>
        <w:pStyle w:val="ListBullet"/>
      </w:pPr>
      <w:r>
        <w:rPr>
          <w:rFonts w:ascii="Times New Roman" w:hAnsi="Times New Roman"/>
          <w:b w:val="0"/>
          <w:i w:val="0"/>
          <w:color w:val="000000"/>
        </w:rPr>
        <w:t>A straight north-south boundary in the middle, where timber litter switches to timber-understory, looks like a LANDFIRE map-zone seam, not a real vegetation edge.</w:t>
      </w:r>
    </w:p>
    <w:p>
      <w:pPr>
        <w:pStyle w:val="ListBullet"/>
      </w:pPr>
      <w:r>
        <w:rPr>
          <w:rFonts w:ascii="Times New Roman" w:hAnsi="Times New Roman"/>
          <w:b w:val="0"/>
          <w:i w:val="0"/>
          <w:color w:val="000000"/>
        </w:rPr>
        <w:t>LANDFIRE marks 98% of the area as undisturbed before 2016, so this is a pre-fire picture; the town of Paradise shows as timber and non-burnable (LANDFIRE codes developed land as non-burnable), so structure-to-structure spread is invisible in these fuels.</w:t>
      </w:r>
    </w:p>
    <w:p>
      <w:pPr>
        <w:pStyle w:val="ListBullet"/>
      </w:pPr>
      <w:r>
        <w:rPr>
          <w:rFonts w:ascii="Times New Roman" w:hAnsi="Times New Roman"/>
          <w:b w:val="0"/>
          <w:i w:val="0"/>
          <w:color w:val="000000"/>
        </w:rPr>
        <w:t>Canopy covers 71% of the area (median cover 45%) and is densest in the east; the west is open grass.</w:t>
      </w:r>
    </w:p>
    <w:p>
      <w:pPr>
        <w:pStyle w:val="ListBullet"/>
      </w:pPr>
      <w:r>
        <w:rPr>
          <w:rFonts w:ascii="Times New Roman" w:hAnsi="Times New Roman"/>
          <w:b w:val="0"/>
          <w:i w:val="0"/>
          <w:color w:val="000000"/>
        </w:rPr>
        <w:t>By 23 Nov the incident map held about 145 mi of completed dozer line and 16 mi of hand line; dozer line is concentrated on the eastern and southern edges, where the fire met forest and canyons.</w:t>
      </w:r>
    </w:p>
    <w:p>
      <w:pPr>
        <w:pStyle w:val="ListBullet"/>
      </w:pPr>
      <w:r>
        <w:rPr>
          <w:rFonts w:ascii="Times New Roman" w:hAnsi="Times New Roman"/>
          <w:b w:val="0"/>
          <w:i w:val="0"/>
          <w:color w:val="000000"/>
        </w:rPr>
        <w:t>Few operations points are in the archive, and no line features at all from 13 to 18 Nov.</w:t>
      </w:r>
    </w:p>
    <w:p>
      <w:pPr>
        <w:keepNext/>
        <w:spacing w:before="160"/>
      </w:pPr>
      <w:r>
        <w:rPr>
          <w:rFonts w:ascii="Times New Roman" w:hAnsi="Times New Roman"/>
          <w:b/>
          <w:i w:val="0"/>
          <w:color w:val="000000"/>
          <w:sz w:val="24"/>
        </w:rPr>
        <w:t>LNU 2020</w:t>
      </w:r>
    </w:p>
    <w:p>
      <w:r>
        <w:rPr>
          <w:rFonts w:ascii="Times New Roman" w:hAnsi="Times New Roman"/>
          <w:b w:val="0"/>
          <w:i w:val="0"/>
          <w:color w:val="000000"/>
        </w:rPr>
        <w:t>Top fuel models: GR2 20% (grass, low load, 1.1 t/ac); TU5 17% (heavy conifer litter with shrub or small-tree understory, 14.0 t/ac); SH7 17% (very heavy shrub load, 4 to 6 ft, 14.4 t/ac); SH2 11% (moderate load woody shrubs, about 1 ft, 8.3 t/ac); GS2 10% (shrubs 1 to 3 ft, moderate grass load, 2.6 t/ac).</w:t>
      </w:r>
    </w:p>
    <w:p>
      <w:r>
        <w:rPr>
          <w:rFonts w:ascii="Times New Roman" w:hAnsi="Times New Roman"/>
          <w:b w:val="0"/>
          <w:i w:val="0"/>
          <w:color w:val="000000"/>
        </w:rPr>
        <w:t>Top FCCS fuelbeds: Bare Ground 23%; California live oak-blue oak woodland 16%; Scrub oak chaparral shrubland 14%; Ponderosa pine-Jeffrey pine forest 13%.</w:t>
      </w:r>
    </w:p>
    <w:p>
      <w:r>
        <w:rPr>
          <w:rFonts w:ascii="Times New Roman" w:hAnsi="Times New Roman"/>
          <w:b w:val="0"/>
          <w:i w:val="0"/>
          <w:color w:val="000000"/>
        </w:rPr>
        <w:t>Top vegetation types (EVT): Northern and Central California Dry-Mesic Chaparral 16%; California Ruderal Grassland and Meadow 16%; California Lower Montane Foothill Pine Woodland and Savanna 14%; Mediterranean California Mixed Evergreen Forest 12%.</w:t>
      </w:r>
    </w:p>
    <w:p>
      <w:r>
        <w:rPr>
          <w:rFonts w:ascii="Times New Roman" w:hAnsi="Times New Roman"/>
          <w:b w:val="0"/>
          <w:i w:val="0"/>
          <w:color w:val="000000"/>
        </w:rPr>
        <w:t>Canopy: 53% of the area has canopy; cover median 45% (p10 35, p90 65); canopy height median 23.0 m; base height median 1.5 m; bulk density median 0.08 kg/m3.</w:t>
      </w:r>
    </w:p>
    <w:p>
      <w:r>
        <w:rPr>
          <w:rFonts w:ascii="Times New Roman" w:hAnsi="Times New Roman"/>
          <w:b w:val="0"/>
          <w:i w:val="0"/>
          <w:color w:val="000000"/>
        </w:rPr>
        <w:t>Disturbance before LF 2016: No Disturbance / NA / NA 88%; Fire / Low / Two to Five Years 4%; Fire / Moderate / Two to Five Years 3%.</w:t>
      </w:r>
    </w:p>
    <w:p>
      <w:r>
        <w:rPr>
          <w:rFonts w:ascii="Times New Roman" w:hAnsi="Times New Roman"/>
          <w:b w:val="0"/>
          <w:i w:val="0"/>
          <w:color w:val="000000"/>
        </w:rPr>
        <w:t>Terrain (USGS 3DEP, Research/Fuels_and_Topography): median elevation 351 m, median slope 17.4°, 7% of the area at 30° or more.</w:t>
      </w:r>
    </w:p>
    <w:p>
      <w:pPr>
        <w:pStyle w:val="ListBullet"/>
      </w:pPr>
      <w:r>
        <w:rPr>
          <w:rFonts w:ascii="Times New Roman" w:hAnsi="Times New Roman"/>
          <w:b w:val="0"/>
          <w:i w:val="0"/>
          <w:color w:val="000000"/>
        </w:rPr>
        <w:t>The complex is a mix: shrub (29%), timber-understory (22%), grass (21%) and grass-shrub (14%); Hennessey in the east is grass and shrub (chaparral), Walbridge in the west is timber.</w:t>
      </w:r>
    </w:p>
    <w:p>
      <w:pPr>
        <w:pStyle w:val="ListBullet"/>
      </w:pPr>
      <w:r>
        <w:rPr>
          <w:rFonts w:ascii="Times New Roman" w:hAnsi="Times New Roman"/>
          <w:b w:val="0"/>
          <w:i w:val="0"/>
          <w:color w:val="000000"/>
        </w:rPr>
        <w:t>Assigned surface load is median 8.3 t/ac, with the heavy shrub SH7 (17%) and TU5 (17%) driving the high end.</w:t>
      </w:r>
    </w:p>
    <w:p>
      <w:pPr>
        <w:pStyle w:val="ListBullet"/>
      </w:pPr>
      <w:r>
        <w:rPr>
          <w:rFonts w:ascii="Times New Roman" w:hAnsi="Times New Roman"/>
          <w:b w:val="0"/>
          <w:i w:val="0"/>
          <w:color w:val="000000"/>
        </w:rPr>
        <w:t>The 180 FEDS satellite perimeters (12 h) outline both fires; LANDFIRE marks 88% of the area undisturbed and about 9% as burned in the 2 to 5 years before 2016 (earlier fires inside the footprint).</w:t>
      </w:r>
    </w:p>
    <w:p>
      <w:pPr>
        <w:pStyle w:val="ListBullet"/>
      </w:pPr>
      <w:r>
        <w:rPr>
          <w:rFonts w:ascii="Times New Roman" w:hAnsi="Times New Roman"/>
          <w:b w:val="0"/>
          <w:i w:val="0"/>
          <w:color w:val="000000"/>
        </w:rPr>
        <w:t>Canopy covers 53% of the area: dense forest at Walbridge, open woodland and chaparral at Hennessey.</w:t>
      </w:r>
    </w:p>
    <w:p>
      <w:pPr>
        <w:pStyle w:val="ListBullet"/>
      </w:pPr>
      <w:r>
        <w:rPr>
          <w:rFonts w:ascii="Times New Roman" w:hAnsi="Times New Roman"/>
          <w:b w:val="0"/>
          <w:i w:val="0"/>
          <w:color w:val="000000"/>
        </w:rPr>
        <w:t>By 10 Sep the incident map held about 298 mi of completed dozer line, 25 mi of hand line and 239 mi of road used as line; uncontrolled edge had fallen from 486 mi (20 Aug) to zero.</w:t>
      </w:r>
    </w:p>
    <w:p>
      <w:pPr>
        <w:pStyle w:val="ListBullet"/>
      </w:pPr>
      <w:r>
        <w:rPr>
          <w:rFonts w:ascii="Times New Roman" w:hAnsi="Times New Roman"/>
          <w:b w:val="0"/>
          <w:i w:val="0"/>
          <w:color w:val="000000"/>
        </w:rPr>
        <w:t>Walbridge is ringed by dozer line; across the complex 239 mi of road served as containment line.</w:t>
      </w:r>
    </w:p>
    <w:p>
      <w:pPr>
        <w:keepNext/>
        <w:spacing w:before="160"/>
      </w:pPr>
      <w:r>
        <w:rPr>
          <w:rFonts w:ascii="Times New Roman" w:hAnsi="Times New Roman"/>
          <w:b/>
          <w:i w:val="0"/>
          <w:color w:val="000000"/>
          <w:sz w:val="26"/>
        </w:rPr>
        <w:t>Data quality findings</w:t>
      </w:r>
    </w:p>
    <w:p>
      <w:pPr>
        <w:pStyle w:val="ListBullet"/>
      </w:pPr>
      <w:r>
        <w:rPr>
          <w:rFonts w:ascii="Times New Roman" w:hAnsi="Times New Roman"/>
          <w:b w:val="0"/>
          <w:i w:val="0"/>
          <w:color w:val="000000"/>
        </w:rPr>
        <w:t>Pioneer: LF 2016 Remap already contains the Pioneer Fire. FDist marks 99% of the area as fire-disturbed in the prior 2 to 5 years and EVT classes 62% as recently burned. Its fuel models are post-fire. Use LF 2014 for a pre-fire picture.</w:t>
      </w:r>
    </w:p>
    <w:p>
      <w:pPr>
        <w:pStyle w:val="ListBullet"/>
      </w:pPr>
      <w:r>
        <w:rPr>
          <w:rFonts w:ascii="Times New Roman" w:hAnsi="Times New Roman"/>
          <w:b w:val="0"/>
          <w:i w:val="0"/>
          <w:color w:val="000000"/>
        </w:rPr>
        <w:t>FCCS value 0 is labelled 'Bare Ground' in LANDFIRE's table, yet 56% (Camp) and 62% (LNU) of those pixels carry grass fuel models. Do not read FCCS 0 as bare ground in these landscapes.</w:t>
      </w:r>
    </w:p>
    <w:p>
      <w:pPr>
        <w:pStyle w:val="ListBullet"/>
      </w:pPr>
      <w:r>
        <w:rPr>
          <w:rFonts w:ascii="Times New Roman" w:hAnsi="Times New Roman"/>
          <w:b w:val="0"/>
          <w:i w:val="0"/>
          <w:color w:val="000000"/>
        </w:rPr>
        <w:t>Camp shows a straight north-south boundary where timber litter switches to timber-understory, consistent with a LANDFIRE map-zone seam (a documented artifact class), not a vegetation edge.</w:t>
      </w:r>
    </w:p>
    <w:p>
      <w:pPr>
        <w:pStyle w:val="ListBullet"/>
      </w:pPr>
      <w:r>
        <w:rPr>
          <w:rFonts w:ascii="Times New Roman" w:hAnsi="Times New Roman"/>
          <w:b w:val="0"/>
          <w:i w:val="0"/>
          <w:color w:val="000000"/>
        </w:rPr>
        <w:t>Surface fuel loads here are the loads Scott and Burgan assign to each fuel model, not measured loads; plot-level loading is poorly predicted by fuel classifications (Keane et al., 2013).</w:t>
      </w:r>
    </w:p>
    <w:p>
      <w:pPr>
        <w:pStyle w:val="ListBullet"/>
      </w:pPr>
      <w:r>
        <w:rPr>
          <w:rFonts w:ascii="Times New Roman" w:hAnsi="Times New Roman"/>
          <w:b w:val="0"/>
          <w:i w:val="0"/>
          <w:color w:val="000000"/>
        </w:rPr>
        <w:t>Canopy base height p90 sits at 10 m on every fire, which suggests a cap in the product; treat the upper tail as censored.</w:t>
      </w:r>
    </w:p>
    <w:p>
      <w:pPr>
        <w:pStyle w:val="ListBullet"/>
      </w:pPr>
      <w:r>
        <w:rPr>
          <w:rFonts w:ascii="Times New Roman" w:hAnsi="Times New Roman"/>
          <w:b w:val="0"/>
          <w:i w:val="0"/>
          <w:color w:val="000000"/>
        </w:rPr>
        <w:t>LF 2016 Remap predates Carr and Camp by about two years and LNU by about four; recent disturbance after 2016 (for example the 2017 and 2018 fires in the LNU footprint) is not reflected.</w:t>
      </w:r>
    </w:p>
    <w:p>
      <w:pPr>
        <w:pStyle w:val="ListBullet"/>
      </w:pPr>
      <w:r>
        <w:rPr>
          <w:rFonts w:ascii="Times New Roman" w:hAnsi="Times New Roman"/>
          <w:b w:val="0"/>
          <w:i w:val="0"/>
          <w:color w:val="000000"/>
        </w:rPr>
        <w:t>In the fireline archive, the generic 'Completed Line' category is inflated by re-posts (918 mi at Carr) and is not used; dozer and hand line are reported from daily snapshots.</w:t>
      </w:r>
    </w:p>
    <w:p>
      <w:pPr>
        <w:keepNext/>
        <w:spacing w:before="160"/>
      </w:pPr>
      <w:r>
        <w:rPr>
          <w:rFonts w:ascii="Times New Roman" w:hAnsi="Times New Roman"/>
          <w:b/>
          <w:i w:val="0"/>
          <w:color w:val="000000"/>
          <w:sz w:val="26"/>
        </w:rPr>
        <w:t>Next steps</w:t>
      </w:r>
    </w:p>
    <w:p>
      <w:pPr>
        <w:pStyle w:val="ListBullet"/>
      </w:pPr>
      <w:r>
        <w:rPr>
          <w:rFonts w:ascii="Times New Roman" w:hAnsi="Times New Roman"/>
          <w:b w:val="0"/>
          <w:i w:val="0"/>
          <w:color w:val="000000"/>
        </w:rPr>
        <w:t>Download LF 2014 FBFM40, canopy and EVT for Pioneer through the LANDFIRE viewer and rerun landfire_extract.py on it.</w:t>
      </w:r>
    </w:p>
    <w:p>
      <w:pPr>
        <w:pStyle w:val="ListBullet"/>
      </w:pPr>
      <w:r>
        <w:rPr>
          <w:rFonts w:ascii="Times New Roman" w:hAnsi="Times New Roman"/>
          <w:b w:val="0"/>
          <w:i w:val="0"/>
          <w:color w:val="000000"/>
        </w:rPr>
        <w:t>Compare LF 2016 Remap with LF 2019 Limited for LNU to see what changed after the 2017 and 2018 fires inside its footprint.</w:t>
      </w:r>
    </w:p>
    <w:p>
      <w:pPr>
        <w:pStyle w:val="ListBullet"/>
      </w:pPr>
      <w:r>
        <w:rPr>
          <w:rFonts w:ascii="Times New Roman" w:hAnsi="Times New Roman"/>
          <w:b w:val="0"/>
          <w:i w:val="0"/>
          <w:color w:val="000000"/>
        </w:rPr>
        <w:t>Overlay daily fireline snapshots on fuel groups to measure how much line was built in each fuel type (where crews and dozers worked).</w:t>
      </w:r>
    </w:p>
    <w:p>
      <w:pPr>
        <w:pStyle w:val="ListBullet"/>
      </w:pPr>
      <w:r>
        <w:rPr>
          <w:rFonts w:ascii="Times New Roman" w:hAnsi="Times New Roman"/>
          <w:b w:val="0"/>
          <w:i w:val="0"/>
          <w:color w:val="000000"/>
        </w:rPr>
        <w:t>Pair FBFM40 with the RAWS and gridMET fuel moisture already in the project to run fire behavior per fuel model on each peak-run day.</w:t>
      </w:r>
    </w:p>
    <w:p>
      <w:pPr>
        <w:keepNext/>
        <w:spacing w:before="160"/>
      </w:pPr>
      <w:r>
        <w:rPr>
          <w:rFonts w:ascii="Times New Roman" w:hAnsi="Times New Roman"/>
          <w:b/>
          <w:i w:val="0"/>
          <w:color w:val="000000"/>
          <w:sz w:val="26"/>
        </w:rPr>
        <w:t>References</w:t>
      </w:r>
    </w:p>
    <w:p>
      <w:pPr>
        <w:ind w:left="720" w:hanging="720"/>
      </w:pPr>
      <w:r>
        <w:rPr>
          <w:rFonts w:ascii="Times New Roman" w:hAnsi="Times New Roman"/>
          <w:b w:val="0"/>
          <w:i w:val="0"/>
          <w:color w:val="000000"/>
        </w:rPr>
        <w:t>Keane, R. E., Herynk, J. M., Toney, C., Urbanski, S. P., Lutes, D. C., &amp; Ottmar, R. D. (2013). Evaluating the performance and mapping of three fuel classification systems using FIA surface fuel measurements. Forest Ecology and Management, 305, 248-263. https://doi.org/10.1016/j.foreco.2013.06.001</w:t>
      </w:r>
    </w:p>
    <w:p>
      <w:pPr>
        <w:ind w:left="720" w:hanging="720"/>
      </w:pPr>
      <w:r>
        <w:rPr>
          <w:rFonts w:ascii="Times New Roman" w:hAnsi="Times New Roman"/>
          <w:b w:val="0"/>
          <w:i w:val="0"/>
          <w:color w:val="000000"/>
        </w:rPr>
        <w:t>LANDFIRE. (n.d.). LANDFIRE product versions comparison table; LF 2016 Remap; LANDFIRE Data Dictionary; LF2016 attribute tables (LF16_F40_200, LF16_FCCS_200, LF16_EVT_200, LF16_FDst_200). U.S. Department of the Interior, Geological Survey, and U.S. Department of Agriculture. https://www.landfire.gov</w:t>
      </w:r>
    </w:p>
    <w:p>
      <w:pPr>
        <w:ind w:left="720" w:hanging="720"/>
      </w:pPr>
      <w:r>
        <w:rPr>
          <w:rFonts w:ascii="Times New Roman" w:hAnsi="Times New Roman"/>
          <w:b w:val="0"/>
          <w:i w:val="0"/>
          <w:color w:val="000000"/>
        </w:rPr>
        <w:t>Scott, J. H., &amp; Burgan, R. E. (2005). Standard fire behavior fuel models: A comprehensive set for use with Rothermel's surface fire spread model (Gen. Tech. Rep. RMRS-GTR-153). USDA Forest Service, Rocky Mountain Research Station.</w:t>
      </w:r>
    </w:p>
    <w:p>
      <w:pPr>
        <w:ind w:left="720" w:hanging="720"/>
      </w:pPr>
      <w:r>
        <w:rPr>
          <w:rFonts w:ascii="Times New Roman" w:hAnsi="Times New Roman"/>
          <w:b w:val="0"/>
          <w:i w:val="0"/>
          <w:color w:val="000000"/>
        </w:rPr>
        <w:t>National Interagency Fire Center. (2018, 2020). Operational Data Archive (National Incident Feature Service). https://data-nifc.opendata.arcgis.com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