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Quantifying Uncertainty for Firefighter Safety and Aerial Logistics</w:t>
        <w:br/>
        <w:t>in 24/7 Wildland Fire Aerial Operations</w:t>
      </w:r>
    </w:p>
    <w:p>
      <w:pPr>
        <w:jc w:val="center"/>
      </w:pPr>
      <w:r>
        <w:rPr>
          <w:i/>
        </w:rPr>
        <w:t>Evaluation proposal with fire case study evidence</w:t>
        <w:br/>
      </w:r>
      <w:r>
        <w:t>NASA Aerial Wildfire Project, ACERO Disaster Lab working group</w:t>
        <w:br/>
        <w:t>Draft v0.3, 6 October 2026</w:t>
      </w:r>
    </w:p>
    <w:p>
      <w:r>
        <w:rPr>
          <w:b w:val="0"/>
          <w:i/>
        </w:rPr>
        <w:t>Status of this draft. Preliminary thinking for team discussion, not a submission. v0.3 keeps the v0.1 framework (29 September 2026) and evaluates four fire case studies built from operational records: Pioneer 2016, Carr 2018, Camp 2018 and the LNU Lightning Complex 2020. Literature claims are cited as [Document Year, p.N] from the project reference library. Case study numbers come from the project's own analysis of public records and name the record they come from. Methods marked "general practice" are standard uncertainty quantification methodology, not drawn from the library. This draft makes no claim that the approach or the findings are new; a dated literature search is required before any novelty framing.</w:t>
      </w:r>
    </w:p>
    <w:p>
      <w:pPr>
        <w:pStyle w:val="Heading1"/>
      </w:pPr>
      <w:r>
        <w:t>What changed</w:t>
      </w:r>
    </w:p>
    <w:p>
      <w:r>
        <w:rPr>
          <w:b w:val="0"/>
          <w:i w:val="0"/>
        </w:rPr>
        <w:t>v0.3 (6 October 2026): Camp 2018 is now a full case study like the other three (ICS-209 reports, 11 NICC daily reports, the NICC annual table and two agency final perimeters), and it enters every table in Section 4. Camp adds the largest blowup-day shortfall in the set (Section 4.3) and two data quality findings (DQ11, DQ12). The rest of this list is what v0.2 changed from v0.1.</w:t>
      </w:r>
    </w:p>
    <w:p>
      <w:pPr>
        <w:pStyle w:val="ListBullet"/>
      </w:pPr>
      <w:r>
        <w:t>New Section 4: an evaluation of the Pioneer, Carr, Camp and LNU case studies across four records of fire size (ICS-209 reports, NICC daily situation reports, NIFC GeoMAC perimeter histories, NASA FEDS satellite perimeters).</w:t>
      </w:r>
    </w:p>
    <w:p>
      <w:pPr>
        <w:pStyle w:val="ListBullet"/>
      </w:pPr>
      <w:r>
        <w:t>Perimeter age (U5) now has an empirical prior instead of a literature range, and five new uncertain inputs (U12 to U16) come from the case studies: reporting lag, blowup-day size shortfall, satellite area bias, operational revisions, and logistics demand scale.</w:t>
      </w:r>
    </w:p>
    <w:p>
      <w:pPr>
        <w:pStyle w:val="ListBullet"/>
      </w:pPr>
      <w:r>
        <w:t>A data quality register: errors and definitional traps in the operational archives that would bias a validation if not handled.</w:t>
      </w:r>
    </w:p>
    <w:p>
      <w:pPr>
        <w:pStyle w:val="ListBullet"/>
      </w:pPr>
      <w:r>
        <w:t>The experiment design uses the four case study fires with distinct roles, and the surveillance cadence levels are anchored to observed cadences.</w:t>
      </w:r>
    </w:p>
    <w:p>
      <w:pPr>
        <w:pStyle w:val="ListBullet"/>
      </w:pPr>
      <w:r>
        <w:t>Carr 2018 joins Camp as a validation case for the crew safety margin, since it has timed aerial warning and entrapment records.</w:t>
      </w:r>
    </w:p>
    <w:p>
      <w:pPr>
        <w:pStyle w:val="Heading1"/>
      </w:pPr>
      <w:r>
        <w:t>Abstract</w:t>
      </w:r>
    </w:p>
    <w:p>
      <w:r>
        <w:rPr>
          <w:b w:val="0"/>
          <w:i w:val="0"/>
        </w:rPr>
        <w:t>NASA's ACERO ConOps sets the goal of 24/7 aerial operations for wildland fire, organised in this project around surveillance (M1 fireline mapping, M2 spot fire detection, M3 firefighter safety) and suppression (M4 water drop, M5 water delivery). v0.1 proposed turning the uncertainty in those missions into two decision numbers: the probability that a crew's safety margin goes negative, P(M&lt;0), and the probability that a delivery arrives on time. Its inputs came from the literature, for example a 47% mean absolute percentage error in operational rate of spread predictions [Cardil et al 2023, pp.6-7] and perimeters that can be hours old when a forecast starts [Kochanski et al 2023, p.12]. This version tests those inputs against what operations actually recorded on four large fires. The official fire size was about one day behind the mapped perimeter: the ICS-209 size matched the previous night's perimeter on 48 of 56 changing days on Pioneer and 20 of 28 on Carr (less often on Camp, 4 of 13), and the national situation report repeated the previous evening's 209 on 71 of 72, 37 of 38 and 28 of 28 days on Pioneer, Carr and LNU. On blowup days that lag became a large shortfall. On 8 November 2018, the day of the Camp Fire's 19 documented burnovers, the last 209 of the day gave 18,000 acres while the same-day perimeter showed 70,454 and the satellite 81,810; on 27 July 2018 the Carr 209 gave 48,312 acres against a perimeter of 80,968. Growth was concentrated: the three largest days held 32%, 34%, 65% and 55% of final area. These findings set the baseline that 24/7 aerial surveillance would have to beat (RQ4), give empirical priors for perimeter age and observation error, size the logistics demand for M5 from recorded crew and aircraft counts, and flag archive errors that would corrupt a validation. Camp 2018 and Carr 2018 are proposed as the validation cases for P(M&lt;0).</w:t>
      </w:r>
    </w:p>
    <w:p>
      <w:pPr>
        <w:pStyle w:val="Heading1"/>
      </w:pPr>
      <w:r>
        <w:t>1. Motivation</w:t>
      </w:r>
    </w:p>
    <w:p>
      <w:pPr>
        <w:pStyle w:val="Heading2"/>
      </w:pPr>
      <w:r>
        <w:t>1.1 Why crew safety needs a number, not a narrative</w:t>
      </w:r>
    </w:p>
    <w:p>
      <w:r>
        <w:rPr>
          <w:b w:val="0"/>
          <w:i w:val="0"/>
        </w:rPr>
        <w:t>The wildland fire airspace "has repeatedly proven to be among the most hazardous airspace environments in government aviation operations" [NASA ACERO ConOps 2026, p.12], and the ConOps names improving the safety of current crewed operations as "the top priority" of the future state [NASA ACERO ConOps 2026, p.16]. NWCG frames UAS safety as risk, set by "the severity of possible events and the probability that they will occur" [NWCG 2025, pp.20-21]. A 24/7 aerial capability changes the probability term for ground crews, and the team needs a way to measure by how much, with honest error bars.</w:t>
      </w:r>
    </w:p>
    <w:p>
      <w:pPr>
        <w:pStyle w:val="Heading2"/>
      </w:pPr>
      <w:r>
        <w:t>1.2 Why logistics needs a number</w:t>
      </w:r>
    </w:p>
    <w:p>
      <w:r>
        <w:rPr>
          <w:b w:val="0"/>
          <w:i w:val="0"/>
        </w:rPr>
        <w:t>The ConOps describes drone-enabled BVLOS logistics (food, water, radios, tools, hose, fuel) delivered to crews where crewed flight is not acceptable, with crews able to move the rendezvous point mid-flight [NASA ACERO ConOps 2026, p.19]. Whether that concept is useful depends on reliability, not capability: how often a delivery arrives on time, given wind, endurance and a network that is not yet robust [Wu et al 2025, p.11].</w:t>
      </w:r>
    </w:p>
    <w:p>
      <w:pPr>
        <w:pStyle w:val="Heading2"/>
      </w:pPr>
      <w:r>
        <w:t>1.3 What the case studies add</w:t>
      </w:r>
    </w:p>
    <w:p>
      <w:r>
        <w:rPr>
          <w:b w:val="0"/>
          <w:i w:val="0"/>
        </w:rPr>
        <w:t>v0.1 drew its priors from the literature. The case studies show what decision makers actually had in hand on four large fires: how often the fire was measured, how old the public number was, how far it fell behind on the worst days, and how many people and aircraft were on the incident. Those are the quantities that 24/7 surveillance and aerial logistics would change.</w:t>
      </w:r>
    </w:p>
    <w:p>
      <w:pPr>
        <w:pStyle w:val="Heading1"/>
      </w:pPr>
      <w:r>
        <w:t>2. Research questions</w:t>
      </w:r>
    </w:p>
    <w:p>
      <w:pPr>
        <w:pStyle w:val="ListNumber"/>
      </w:pPr>
      <w:r>
        <w:t>RQ1 (M3, crew safety). For a crew at a given position and time, what is the probability that fire arrival precedes the crew's completed egress to a safety zone, and how does that probability change with and without 24/7 aerial surveillance (M1, M2)?</w:t>
      </w:r>
    </w:p>
    <w:p>
      <w:pPr>
        <w:pStyle w:val="ListNumber"/>
      </w:pPr>
      <w:r>
        <w:t>RQ2 (M5, logistics). What is the probability that a requested delivery arrives within its required window, and what is the distribution of sortie turnaround time, under day, night and smoke (DVE) conditions, at the crew and helicopter counts recorded on real incidents?</w:t>
      </w:r>
    </w:p>
    <w:p>
      <w:pPr>
        <w:pStyle w:val="ListNumber"/>
      </w:pPr>
      <w:r>
        <w:t>RQ3 (drivers). Which input uncertainties dominate the variance of the RQ1 and RQ2 outputs?</w:t>
      </w:r>
    </w:p>
    <w:p>
      <w:pPr>
        <w:pStyle w:val="ListNumber"/>
      </w:pPr>
      <w:r>
        <w:t>RQ4 (value of information). How much does fresher aerial observation shrink the uncertainty in RQ1 and RQ2, measured against the observed operational baseline of Section 4 (about one day of reporting lag, perimeters 17 to 19 hours apart at the median)?</w:t>
      </w:r>
    </w:p>
    <w:p>
      <w:pPr>
        <w:pStyle w:val="ListNumber"/>
      </w:pPr>
      <w:r>
        <w:t>RQ5 (observation error, new). How large and how biased are the operational records of fire size and growth, and how should they enter calibration and validation so that model error is not confused with reporting error?</w:t>
      </w:r>
    </w:p>
    <w:p>
      <w:pPr>
        <w:pStyle w:val="Heading1"/>
      </w:pPr>
      <w:r>
        <w:t>3. Where the uncertainty comes from</w:t>
      </w:r>
    </w:p>
    <w:p>
      <w:r>
        <w:rPr>
          <w:b w:val="0"/>
          <w:i w:val="0"/>
        </w:rPr>
        <w:t>Aleatory uncertainty (true variability) is separated from epistemic uncertainty (lack of knowledge) because RQ4 only applies to the epistemic part (general practice). Rows marked CS come from Section 4 (new since v0.2).</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sz w:val="18"/>
              </w:rPr>
            </w:r>
            <w:r>
              <w:rPr>
                <w:b/>
                <w:sz w:val="18"/>
              </w:rPr>
              <w:t>Source</w:t>
            </w:r>
          </w:p>
        </w:tc>
        <w:tc>
          <w:tcPr>
            <w:tcW w:type="dxa" w:w="2160"/>
          </w:tcPr>
          <w:p>
            <w:r>
              <w:rPr>
                <w:sz w:val="18"/>
              </w:rPr>
            </w:r>
            <w:r>
              <w:rPr>
                <w:b/>
                <w:sz w:val="18"/>
              </w:rPr>
              <w:t>Type</w:t>
            </w:r>
          </w:p>
        </w:tc>
        <w:tc>
          <w:tcPr>
            <w:tcW w:type="dxa" w:w="2160"/>
          </w:tcPr>
          <w:p>
            <w:r>
              <w:rPr>
                <w:sz w:val="18"/>
              </w:rPr>
            </w:r>
            <w:r>
              <w:rPr>
                <w:b/>
                <w:sz w:val="18"/>
              </w:rPr>
              <w:t>Evidence</w:t>
            </w:r>
          </w:p>
        </w:tc>
        <w:tc>
          <w:tcPr>
            <w:tcW w:type="dxa" w:w="2160"/>
          </w:tcPr>
          <w:p>
            <w:r>
              <w:rPr>
                <w:sz w:val="18"/>
              </w:rPr>
            </w:r>
            <w:r>
              <w:rPr>
                <w:b/>
                <w:sz w:val="18"/>
              </w:rPr>
              <w:t>Citation or record</w:t>
            </w:r>
          </w:p>
        </w:tc>
      </w:tr>
      <w:tr>
        <w:tc>
          <w:tcPr>
            <w:tcW w:type="dxa" w:w="2160"/>
          </w:tcPr>
          <w:p>
            <w:r>
              <w:rPr>
                <w:sz w:val="18"/>
              </w:rPr>
              <w:t>Fire spread model structure</w:t>
            </w:r>
          </w:p>
        </w:tc>
        <w:tc>
          <w:tcPr>
            <w:tcW w:type="dxa" w:w="2160"/>
          </w:tcPr>
          <w:p>
            <w:r>
              <w:rPr>
                <w:sz w:val="18"/>
              </w:rPr>
              <w:t>Epistemic</w:t>
            </w:r>
          </w:p>
        </w:tc>
        <w:tc>
          <w:tcPr>
            <w:tcW w:type="dxa" w:w="2160"/>
          </w:tcPr>
          <w:p>
            <w:r>
              <w:rPr>
                <w:sz w:val="18"/>
              </w:rPr>
              <w:t>Operational ROS MAPE 47%, best in shrub (26%); timber underpredicts</w:t>
            </w:r>
          </w:p>
        </w:tc>
        <w:tc>
          <w:tcPr>
            <w:tcW w:type="dxa" w:w="2160"/>
          </w:tcPr>
          <w:p>
            <w:r>
              <w:rPr>
                <w:sz w:val="18"/>
              </w:rPr>
              <w:t>[Cardil et al 2023, pp.6-7]</w:t>
            </w:r>
          </w:p>
        </w:tc>
      </w:tr>
      <w:tr>
        <w:tc>
          <w:tcPr>
            <w:tcW w:type="dxa" w:w="2160"/>
          </w:tcPr>
          <w:p>
            <w:r>
              <w:rPr>
                <w:sz w:val="18"/>
              </w:rPr>
              <w:t>Fuel type mapping</w:t>
            </w:r>
          </w:p>
        </w:tc>
        <w:tc>
          <w:tcPr>
            <w:tcW w:type="dxa" w:w="2160"/>
          </w:tcPr>
          <w:p>
            <w:r>
              <w:rPr>
                <w:sz w:val="18"/>
              </w:rPr>
              <w:t>Epistemic</w:t>
            </w:r>
          </w:p>
        </w:tc>
        <w:tc>
          <w:tcPr>
            <w:tcW w:type="dxa" w:w="2160"/>
          </w:tcPr>
          <w:p>
            <w:r>
              <w:rPr>
                <w:sz w:val="18"/>
              </w:rPr>
              <w:t>Key contributor to ROS bias; wind secondary; moisture smaller</w:t>
            </w:r>
          </w:p>
        </w:tc>
        <w:tc>
          <w:tcPr>
            <w:tcW w:type="dxa" w:w="2160"/>
          </w:tcPr>
          <w:p>
            <w:r>
              <w:rPr>
                <w:sz w:val="18"/>
              </w:rPr>
              <w:t>[Cardil et al 2023, p.6]</w:t>
            </w:r>
          </w:p>
        </w:tc>
      </w:tr>
      <w:tr>
        <w:tc>
          <w:tcPr>
            <w:tcW w:type="dxa" w:w="2160"/>
          </w:tcPr>
          <w:p>
            <w:r>
              <w:rPr>
                <w:sz w:val="18"/>
              </w:rPr>
              <w:t>Correlated input errors</w:t>
            </w:r>
          </w:p>
        </w:tc>
        <w:tc>
          <w:tcPr>
            <w:tcW w:type="dxa" w:w="2160"/>
          </w:tcPr>
          <w:p>
            <w:r>
              <w:rPr>
                <w:sz w:val="18"/>
              </w:rPr>
              <w:t>Epistemic</w:t>
            </w:r>
          </w:p>
        </w:tc>
        <w:tc>
          <w:tcPr>
            <w:tcW w:type="dxa" w:w="2160"/>
          </w:tcPr>
          <w:p>
            <w:r>
              <w:rPr>
                <w:sz w:val="18"/>
              </w:rPr>
              <w:t>Weather error is spatially correlated; use multivariate perturbations</w:t>
            </w:r>
          </w:p>
        </w:tc>
        <w:tc>
          <w:tcPr>
            <w:tcW w:type="dxa" w:w="2160"/>
          </w:tcPr>
          <w:p>
            <w:r>
              <w:rPr>
                <w:sz w:val="18"/>
              </w:rPr>
              <w:t>[Pyregence Consortium n.d. GridFire, p.113]</w:t>
            </w:r>
          </w:p>
        </w:tc>
      </w:tr>
      <w:tr>
        <w:tc>
          <w:tcPr>
            <w:tcW w:type="dxa" w:w="2160"/>
          </w:tcPr>
          <w:p>
            <w:r>
              <w:rPr>
                <w:sz w:val="18"/>
              </w:rPr>
              <w:t>Initial fire state (perimeter)</w:t>
            </w:r>
          </w:p>
        </w:tc>
        <w:tc>
          <w:tcPr>
            <w:tcW w:type="dxa" w:w="2160"/>
          </w:tcPr>
          <w:p>
            <w:r>
              <w:rPr>
                <w:sz w:val="18"/>
              </w:rPr>
              <w:t>Epistemic</w:t>
            </w:r>
          </w:p>
        </w:tc>
        <w:tc>
          <w:tcPr>
            <w:tcW w:type="dxa" w:w="2160"/>
          </w:tcPr>
          <w:p>
            <w:r>
              <w:rPr>
                <w:sz w:val="18"/>
              </w:rPr>
              <w:t>Spin-up initialisation cut growth error 3 to 35 times; VIIRS latency up to 4 h</w:t>
            </w:r>
          </w:p>
        </w:tc>
        <w:tc>
          <w:tcPr>
            <w:tcW w:type="dxa" w:w="2160"/>
          </w:tcPr>
          <w:p>
            <w:r>
              <w:rPr>
                <w:sz w:val="18"/>
              </w:rPr>
              <w:t>[Kochanski et al 2023, p.12]</w:t>
            </w:r>
          </w:p>
        </w:tc>
      </w:tr>
      <w:tr>
        <w:tc>
          <w:tcPr>
            <w:tcW w:type="dxa" w:w="2160"/>
          </w:tcPr>
          <w:p>
            <w:r>
              <w:rPr>
                <w:sz w:val="18"/>
              </w:rPr>
              <w:t>Communication network</w:t>
            </w:r>
          </w:p>
        </w:tc>
        <w:tc>
          <w:tcPr>
            <w:tcW w:type="dxa" w:w="2160"/>
          </w:tcPr>
          <w:p>
            <w:r>
              <w:rPr>
                <w:sz w:val="18"/>
              </w:rPr>
              <w:t>Aleatory in operation</w:t>
            </w:r>
          </w:p>
        </w:tc>
        <w:tc>
          <w:tcPr>
            <w:tcW w:type="dxa" w:w="2160"/>
          </w:tcPr>
          <w:p>
            <w:r>
              <w:rPr>
                <w:sz w:val="18"/>
              </w:rPr>
              <w:t>PAMS field data: TFR 100%, operational intent 87%, telemetry 52%</w:t>
            </w:r>
          </w:p>
        </w:tc>
        <w:tc>
          <w:tcPr>
            <w:tcW w:type="dxa" w:w="2160"/>
          </w:tcPr>
          <w:p>
            <w:r>
              <w:rPr>
                <w:sz w:val="18"/>
              </w:rPr>
              <w:t>[Wu et al 2025, pp.9-10]</w:t>
            </w:r>
          </w:p>
        </w:tc>
      </w:tr>
      <w:tr>
        <w:tc>
          <w:tcPr>
            <w:tcW w:type="dxa" w:w="2160"/>
          </w:tcPr>
          <w:p>
            <w:r>
              <w:rPr>
                <w:sz w:val="18"/>
              </w:rPr>
              <w:t>Benefit assumptions</w:t>
            </w:r>
          </w:p>
        </w:tc>
        <w:tc>
          <w:tcPr>
            <w:tcW w:type="dxa" w:w="2160"/>
          </w:tcPr>
          <w:p>
            <w:r>
              <w:rPr>
                <w:sz w:val="18"/>
              </w:rPr>
              <w:t>Epistemic</w:t>
            </w:r>
          </w:p>
        </w:tc>
        <w:tc>
          <w:tcPr>
            <w:tcW w:type="dxa" w:w="2160"/>
          </w:tcPr>
          <w:p>
            <w:r>
              <w:rPr>
                <w:sz w:val="18"/>
              </w:rPr>
              <w:t>Expert opinion varied widely; PERT in Monte Carlo</w:t>
            </w:r>
          </w:p>
        </w:tc>
        <w:tc>
          <w:tcPr>
            <w:tcW w:type="dxa" w:w="2160"/>
          </w:tcPr>
          <w:p>
            <w:r>
              <w:rPr>
                <w:sz w:val="18"/>
              </w:rPr>
              <w:t>[Hope et al 2024, pp.7-8]</w:t>
            </w:r>
          </w:p>
        </w:tc>
      </w:tr>
      <w:tr>
        <w:tc>
          <w:tcPr>
            <w:tcW w:type="dxa" w:w="2160"/>
          </w:tcPr>
          <w:p>
            <w:r>
              <w:rPr>
                <w:sz w:val="18"/>
              </w:rPr>
              <w:t>CS: perimeter cadence</w:t>
            </w:r>
          </w:p>
        </w:tc>
        <w:tc>
          <w:tcPr>
            <w:tcW w:type="dxa" w:w="2160"/>
          </w:tcPr>
          <w:p>
            <w:r>
              <w:rPr>
                <w:sz w:val="18"/>
              </w:rPr>
              <w:t>Epistemic</w:t>
            </w:r>
          </w:p>
        </w:tc>
        <w:tc>
          <w:tcPr>
            <w:tcW w:type="dxa" w:w="2160"/>
          </w:tcPr>
          <w:p>
            <w:r>
              <w:rPr>
                <w:sz w:val="18"/>
              </w:rPr>
              <w:t>GeoMAC perimeters a median 18.8 h apart (Pioneer), 16.9 h (Carr), 14.5 h (Camp); 26%, 13% and 7% of gaps over 24 h</w:t>
            </w:r>
          </w:p>
        </w:tc>
        <w:tc>
          <w:tcPr>
            <w:tcW w:type="dxa" w:w="2160"/>
          </w:tcPr>
          <w:p>
            <w:r>
              <w:rPr>
                <w:sz w:val="18"/>
              </w:rPr>
              <w:t>NIFC GeoMAC perimeter histories</w:t>
            </w:r>
          </w:p>
        </w:tc>
      </w:tr>
      <w:tr>
        <w:tc>
          <w:tcPr>
            <w:tcW w:type="dxa" w:w="2160"/>
          </w:tcPr>
          <w:p>
            <w:r>
              <w:rPr>
                <w:sz w:val="18"/>
              </w:rPr>
              <w:t>CS: reporting lag</w:t>
            </w:r>
          </w:p>
        </w:tc>
        <w:tc>
          <w:tcPr>
            <w:tcW w:type="dxa" w:w="2160"/>
          </w:tcPr>
          <w:p>
            <w:r>
              <w:rPr>
                <w:sz w:val="18"/>
              </w:rPr>
              <w:t>Epistemic</w:t>
            </w:r>
          </w:p>
        </w:tc>
        <w:tc>
          <w:tcPr>
            <w:tcW w:type="dxa" w:w="2160"/>
          </w:tcPr>
          <w:p>
            <w:r>
              <w:rPr>
                <w:sz w:val="18"/>
              </w:rPr>
              <w:t>209 size equals previous night's perimeter; NICC repeats previous evening's 209</w:t>
            </w:r>
          </w:p>
        </w:tc>
        <w:tc>
          <w:tcPr>
            <w:tcW w:type="dxa" w:w="2160"/>
          </w:tcPr>
          <w:p>
            <w:r>
              <w:rPr>
                <w:sz w:val="18"/>
              </w:rPr>
              <w:t>Fire Case Studies workbooks (ICS-209-PLUS, NICC IMSR), case_study_eval/results.json</w:t>
            </w:r>
          </w:p>
        </w:tc>
      </w:tr>
      <w:tr>
        <w:tc>
          <w:tcPr>
            <w:tcW w:type="dxa" w:w="2160"/>
          </w:tcPr>
          <w:p>
            <w:r>
              <w:rPr>
                <w:sz w:val="18"/>
              </w:rPr>
              <w:t>CS: blowup-day shortfall</w:t>
            </w:r>
          </w:p>
        </w:tc>
        <w:tc>
          <w:tcPr>
            <w:tcW w:type="dxa" w:w="2160"/>
          </w:tcPr>
          <w:p>
            <w:r>
              <w:rPr>
                <w:sz w:val="18"/>
              </w:rPr>
              <w:t>Epistemic</w:t>
            </w:r>
          </w:p>
        </w:tc>
        <w:tc>
          <w:tcPr>
            <w:tcW w:type="dxa" w:w="2160"/>
          </w:tcPr>
          <w:p>
            <w:r>
              <w:rPr>
                <w:sz w:val="18"/>
              </w:rPr>
              <w:t>Same-day perimeter 3.9 times the official size on Camp's first day; 1.5 to 1.7 times on Carr's worst days</w:t>
            </w:r>
          </w:p>
        </w:tc>
        <w:tc>
          <w:tcPr>
            <w:tcW w:type="dxa" w:w="2160"/>
          </w:tcPr>
          <w:p>
            <w:r>
              <w:rPr>
                <w:sz w:val="18"/>
              </w:rPr>
              <w:t>Fire Case Studies workbooks (ICS-209-PLUS, NICC IMSR), case_study_eval/results.json</w:t>
            </w:r>
          </w:p>
        </w:tc>
      </w:tr>
      <w:tr>
        <w:tc>
          <w:tcPr>
            <w:tcW w:type="dxa" w:w="2160"/>
          </w:tcPr>
          <w:p>
            <w:r>
              <w:rPr>
                <w:sz w:val="18"/>
              </w:rPr>
              <w:t>CS: satellite area bias</w:t>
            </w:r>
          </w:p>
        </w:tc>
        <w:tc>
          <w:tcPr>
            <w:tcW w:type="dxa" w:w="2160"/>
          </w:tcPr>
          <w:p>
            <w:r>
              <w:rPr>
                <w:sz w:val="18"/>
              </w:rPr>
              <w:t>Epistemic</w:t>
            </w:r>
          </w:p>
        </w:tc>
        <w:tc>
          <w:tcPr>
            <w:tcW w:type="dxa" w:w="2160"/>
          </w:tcPr>
          <w:p>
            <w:r>
              <w:rPr>
                <w:sz w:val="18"/>
              </w:rPr>
              <w:t>FEDS (375 m VIIRS) final area above the official perimeter on Carr and LNU, below it on Camp</w:t>
            </w:r>
          </w:p>
        </w:tc>
        <w:tc>
          <w:tcPr>
            <w:tcW w:type="dxa" w:w="2160"/>
          </w:tcPr>
          <w:p>
            <w:r>
              <w:rPr>
                <w:sz w:val="18"/>
              </w:rPr>
              <w:t>NASA FEDS 12 h perimeters</w:t>
            </w:r>
          </w:p>
        </w:tc>
      </w:tr>
      <w:tr>
        <w:tc>
          <w:tcPr>
            <w:tcW w:type="dxa" w:w="2160"/>
          </w:tcPr>
          <w:p>
            <w:r>
              <w:rPr>
                <w:sz w:val="18"/>
              </w:rPr>
              <w:t>CS: archive cleaning</w:t>
            </w:r>
          </w:p>
        </w:tc>
        <w:tc>
          <w:tcPr>
            <w:tcW w:type="dxa" w:w="2160"/>
          </w:tcPr>
          <w:p>
            <w:r>
              <w:rPr>
                <w:sz w:val="18"/>
              </w:rPr>
              <w:t>Epistemic</w:t>
            </w:r>
          </w:p>
        </w:tc>
        <w:tc>
          <w:tcPr>
            <w:tcW w:type="dxa" w:w="2160"/>
          </w:tcPr>
          <w:p>
            <w:r>
              <w:rPr>
                <w:sz w:val="18"/>
              </w:rPr>
              <w:t>Cleaned fields replace as-reported values (size, containment date)</w:t>
            </w:r>
          </w:p>
        </w:tc>
        <w:tc>
          <w:tcPr>
            <w:tcW w:type="dxa" w:w="2160"/>
          </w:tcPr>
          <w:p>
            <w:r>
              <w:rPr>
                <w:sz w:val="18"/>
              </w:rPr>
              <w:t>ICS-209-PLUS</w:t>
            </w:r>
          </w:p>
        </w:tc>
      </w:tr>
    </w:tbl>
    <w:p/>
    <w:p>
      <w:pPr>
        <w:pStyle w:val="Heading1"/>
      </w:pPr>
      <w:r>
        <w:t>4. Evaluation of the fire case studies</w:t>
      </w:r>
    </w:p>
    <w:p>
      <w:pPr>
        <w:pStyle w:val="Heading2"/>
      </w:pPr>
      <w:r>
        <w:t>4.1 Data</w:t>
      </w:r>
    </w:p>
    <w:p>
      <w:r>
        <w:rPr>
          <w:b w:val="0"/>
          <w:i w:val="0"/>
        </w:rPr>
        <w:t>Each case study combines four records of fire size and one of resources. ICS-209 incident status summaries come from the ICS-209-PLUS archive (St. Denis et al. 2023). NICC Incident Management Situation Reports are the national daily summaries, recovered from Internet Archive copies of the NWCG archive. NIFC GeoMAC perimeter histories and NASA FEDS 12-hourly VIIRS perimeters were gathered for the UQ research data on 30 September 2026. Final perimeters come from NIFC (Pioneer, Carr, Camp) and CAL FIRE FRAP (LNU, which NIFC's history service does not cover for 2020).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sz w:val="18"/>
              </w:rPr>
            </w:r>
            <w:r>
              <w:rPr>
                <w:b/>
                <w:sz w:val="18"/>
              </w:rPr>
              <w:t>Fire</w:t>
            </w:r>
          </w:p>
        </w:tc>
        <w:tc>
          <w:tcPr>
            <w:tcW w:type="dxa" w:w="1440"/>
          </w:tcPr>
          <w:p>
            <w:r>
              <w:rPr>
                <w:sz w:val="18"/>
              </w:rPr>
            </w:r>
            <w:r>
              <w:rPr>
                <w:b/>
                <w:sz w:val="18"/>
              </w:rPr>
              <w:t>ICS-209 reports</w:t>
            </w:r>
          </w:p>
        </w:tc>
        <w:tc>
          <w:tcPr>
            <w:tcW w:type="dxa" w:w="1440"/>
          </w:tcPr>
          <w:p>
            <w:r>
              <w:rPr>
                <w:sz w:val="18"/>
              </w:rPr>
            </w:r>
            <w:r>
              <w:rPr>
                <w:b/>
                <w:sz w:val="18"/>
              </w:rPr>
              <w:t>NICC reports listing it</w:t>
            </w:r>
          </w:p>
        </w:tc>
        <w:tc>
          <w:tcPr>
            <w:tcW w:type="dxa" w:w="1440"/>
          </w:tcPr>
          <w:p>
            <w:r>
              <w:rPr>
                <w:sz w:val="18"/>
              </w:rPr>
            </w:r>
            <w:r>
              <w:rPr>
                <w:b/>
                <w:sz w:val="18"/>
              </w:rPr>
              <w:t>GeoMAC perimeters</w:t>
            </w:r>
          </w:p>
        </w:tc>
        <w:tc>
          <w:tcPr>
            <w:tcW w:type="dxa" w:w="1440"/>
          </w:tcPr>
          <w:p>
            <w:r>
              <w:rPr>
                <w:sz w:val="18"/>
              </w:rPr>
            </w:r>
            <w:r>
              <w:rPr>
                <w:b/>
                <w:sz w:val="18"/>
              </w:rPr>
              <w:t>FEDS overpasses</w:t>
            </w:r>
          </w:p>
        </w:tc>
        <w:tc>
          <w:tcPr>
            <w:tcW w:type="dxa" w:w="1440"/>
          </w:tcPr>
          <w:p>
            <w:r>
              <w:rPr>
                <w:sz w:val="18"/>
              </w:rPr>
            </w:r>
            <w:r>
              <w:rPr>
                <w:b/>
                <w:sz w:val="18"/>
              </w:rPr>
              <w:t>Final acres</w:t>
            </w:r>
          </w:p>
        </w:tc>
      </w:tr>
      <w:tr>
        <w:tc>
          <w:tcPr>
            <w:tcW w:type="dxa" w:w="1440"/>
          </w:tcPr>
          <w:p>
            <w:r>
              <w:rPr>
                <w:sz w:val="18"/>
              </w:rPr>
              <w:t>Pioneer 2016 (Boise NF, ID)</w:t>
            </w:r>
          </w:p>
        </w:tc>
        <w:tc>
          <w:tcPr>
            <w:tcW w:type="dxa" w:w="1440"/>
          </w:tcPr>
          <w:p>
            <w:r>
              <w:rPr>
                <w:sz w:val="18"/>
              </w:rPr>
              <w:t>81</w:t>
            </w:r>
          </w:p>
        </w:tc>
        <w:tc>
          <w:tcPr>
            <w:tcW w:type="dxa" w:w="1440"/>
          </w:tcPr>
          <w:p>
            <w:r>
              <w:rPr>
                <w:sz w:val="18"/>
              </w:rPr>
              <w:t>74</w:t>
            </w:r>
          </w:p>
        </w:tc>
        <w:tc>
          <w:tcPr>
            <w:tcW w:type="dxa" w:w="1440"/>
          </w:tcPr>
          <w:p>
            <w:r>
              <w:rPr>
                <w:sz w:val="18"/>
              </w:rPr>
              <w:t>89</w:t>
            </w:r>
          </w:p>
        </w:tc>
        <w:tc>
          <w:tcPr>
            <w:tcW w:type="dxa" w:w="1440"/>
          </w:tcPr>
          <w:p>
            <w:r>
              <w:rPr>
                <w:sz w:val="18"/>
              </w:rPr>
              <w:t>none (archive starts 2018)</w:t>
            </w:r>
          </w:p>
        </w:tc>
        <w:tc>
          <w:tcPr>
            <w:tcW w:type="dxa" w:w="1440"/>
          </w:tcPr>
          <w:p>
            <w:r>
              <w:rPr>
                <w:sz w:val="18"/>
              </w:rPr>
              <w:t>188,404</w:t>
            </w:r>
          </w:p>
        </w:tc>
      </w:tr>
      <w:tr>
        <w:tc>
          <w:tcPr>
            <w:tcW w:type="dxa" w:w="1440"/>
          </w:tcPr>
          <w:p>
            <w:r>
              <w:rPr>
                <w:sz w:val="18"/>
              </w:rPr>
              <w:t>Carr 2018 (Shasta / Whiskeytown, CA)</w:t>
            </w:r>
          </w:p>
        </w:tc>
        <w:tc>
          <w:tcPr>
            <w:tcW w:type="dxa" w:w="1440"/>
          </w:tcPr>
          <w:p>
            <w:r>
              <w:rPr>
                <w:sz w:val="18"/>
              </w:rPr>
              <w:t>79</w:t>
            </w:r>
          </w:p>
        </w:tc>
        <w:tc>
          <w:tcPr>
            <w:tcW w:type="dxa" w:w="1440"/>
          </w:tcPr>
          <w:p>
            <w:r>
              <w:rPr>
                <w:sz w:val="18"/>
              </w:rPr>
              <w:t>39</w:t>
            </w:r>
          </w:p>
        </w:tc>
        <w:tc>
          <w:tcPr>
            <w:tcW w:type="dxa" w:w="1440"/>
          </w:tcPr>
          <w:p>
            <w:r>
              <w:rPr>
                <w:sz w:val="18"/>
              </w:rPr>
              <w:t>63</w:t>
            </w:r>
          </w:p>
        </w:tc>
        <w:tc>
          <w:tcPr>
            <w:tcW w:type="dxa" w:w="1440"/>
          </w:tcPr>
          <w:p>
            <w:r>
              <w:rPr>
                <w:sz w:val="18"/>
              </w:rPr>
              <w:t>88</w:t>
            </w:r>
          </w:p>
        </w:tc>
        <w:tc>
          <w:tcPr>
            <w:tcW w:type="dxa" w:w="1440"/>
          </w:tcPr>
          <w:p>
            <w:r>
              <w:rPr>
                <w:sz w:val="18"/>
              </w:rPr>
              <w:t>229,651</w:t>
            </w:r>
          </w:p>
        </w:tc>
      </w:tr>
      <w:tr>
        <w:tc>
          <w:tcPr>
            <w:tcW w:type="dxa" w:w="1440"/>
          </w:tcPr>
          <w:p>
            <w:r>
              <w:rPr>
                <w:sz w:val="18"/>
              </w:rPr>
              <w:t>Camp 2018 (Butte County, CA)</w:t>
            </w:r>
          </w:p>
        </w:tc>
        <w:tc>
          <w:tcPr>
            <w:tcW w:type="dxa" w:w="1440"/>
          </w:tcPr>
          <w:p>
            <w:r>
              <w:rPr>
                <w:sz w:val="18"/>
              </w:rPr>
              <w:t>38</w:t>
            </w:r>
          </w:p>
        </w:tc>
        <w:tc>
          <w:tcPr>
            <w:tcW w:type="dxa" w:w="1440"/>
          </w:tcPr>
          <w:p>
            <w:r>
              <w:rPr>
                <w:sz w:val="18"/>
              </w:rPr>
              <w:t>11</w:t>
            </w:r>
          </w:p>
        </w:tc>
        <w:tc>
          <w:tcPr>
            <w:tcW w:type="dxa" w:w="1440"/>
          </w:tcPr>
          <w:p>
            <w:r>
              <w:rPr>
                <w:sz w:val="18"/>
              </w:rPr>
              <w:t>28</w:t>
            </w:r>
          </w:p>
        </w:tc>
        <w:tc>
          <w:tcPr>
            <w:tcW w:type="dxa" w:w="1440"/>
          </w:tcPr>
          <w:p>
            <w:r>
              <w:rPr>
                <w:sz w:val="18"/>
              </w:rPr>
              <w:t>45</w:t>
            </w:r>
          </w:p>
        </w:tc>
        <w:tc>
          <w:tcPr>
            <w:tcW w:type="dxa" w:w="1440"/>
          </w:tcPr>
          <w:p>
            <w:r>
              <w:rPr>
                <w:sz w:val="18"/>
              </w:rPr>
              <w:t>153,336</w:t>
            </w:r>
          </w:p>
        </w:tc>
      </w:tr>
      <w:tr>
        <w:tc>
          <w:tcPr>
            <w:tcW w:type="dxa" w:w="1440"/>
          </w:tcPr>
          <w:p>
            <w:r>
              <w:rPr>
                <w:sz w:val="18"/>
              </w:rPr>
              <w:t>LNU Lightning Complex 2020 (CA)</w:t>
            </w:r>
          </w:p>
        </w:tc>
        <w:tc>
          <w:tcPr>
            <w:tcW w:type="dxa" w:w="1440"/>
          </w:tcPr>
          <w:p>
            <w:r>
              <w:rPr>
                <w:sz w:val="18"/>
              </w:rPr>
              <w:t>61</w:t>
            </w:r>
          </w:p>
        </w:tc>
        <w:tc>
          <w:tcPr>
            <w:tcW w:type="dxa" w:w="1440"/>
          </w:tcPr>
          <w:p>
            <w:r>
              <w:rPr>
                <w:sz w:val="18"/>
              </w:rPr>
              <w:t>31</w:t>
            </w:r>
          </w:p>
        </w:tc>
        <w:tc>
          <w:tcPr>
            <w:tcW w:type="dxa" w:w="1440"/>
          </w:tcPr>
          <w:p>
            <w:r>
              <w:rPr>
                <w:sz w:val="18"/>
              </w:rPr>
              <w:t>none</w:t>
            </w:r>
          </w:p>
        </w:tc>
        <w:tc>
          <w:tcPr>
            <w:tcW w:type="dxa" w:w="1440"/>
          </w:tcPr>
          <w:p>
            <w:r>
              <w:rPr>
                <w:sz w:val="18"/>
              </w:rPr>
              <w:t>70</w:t>
            </w:r>
          </w:p>
        </w:tc>
        <w:tc>
          <w:tcPr>
            <w:tcW w:type="dxa" w:w="1440"/>
          </w:tcPr>
          <w:p>
            <w:r>
              <w:rPr>
                <w:sz w:val="18"/>
              </w:rPr>
              <w:t>363,220</w:t>
            </w:r>
          </w:p>
        </w:tc>
      </w:tr>
    </w:tbl>
    <w:p/>
    <w:p>
      <w:r>
        <w:rPr>
          <w:b w:val="0"/>
          <w:i w:val="0"/>
        </w:rPr>
        <w:t>Method. For each calendar day the last ICS-209 size is the reference. The NICC report published the next morning, the last GeoMAC perimeter of the day and the last FEDS overpass of the day (local time) are compared with it. Sizes use the as-reported ICS-209 field (CURR_INCIDENT_AREA), because the cleaned ACRES field in ICS-209-PLUS is capped at the final size (Section 4.6). Reproduce with case_study_evaluation.py.</w:t>
      </w:r>
    </w:p>
    <w:p>
      <w:pPr>
        <w:pStyle w:val="Heading2"/>
      </w:pPr>
      <w:r>
        <w:t>4.2 The official fire size is about one day old</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sz w:val="18"/>
              </w:rPr>
            </w:r>
            <w:r>
              <w:rPr>
                <w:b/>
                <w:sz w:val="18"/>
              </w:rPr>
              <w:t>Fire</w:t>
            </w:r>
          </w:p>
        </w:tc>
        <w:tc>
          <w:tcPr>
            <w:tcW w:type="dxa" w:w="1728"/>
          </w:tcPr>
          <w:p>
            <w:r>
              <w:rPr>
                <w:sz w:val="18"/>
              </w:rPr>
            </w:r>
            <w:r>
              <w:rPr>
                <w:b/>
                <w:sz w:val="18"/>
              </w:rPr>
              <w:t>209 matches previous night's perimeter</w:t>
            </w:r>
          </w:p>
        </w:tc>
        <w:tc>
          <w:tcPr>
            <w:tcW w:type="dxa" w:w="1728"/>
          </w:tcPr>
          <w:p>
            <w:r>
              <w:rPr>
                <w:sz w:val="18"/>
              </w:rPr>
            </w:r>
            <w:r>
              <w:rPr>
                <w:b/>
                <w:sz w:val="18"/>
              </w:rPr>
              <w:t>209 matches same-day perimeter</w:t>
            </w:r>
          </w:p>
        </w:tc>
        <w:tc>
          <w:tcPr>
            <w:tcW w:type="dxa" w:w="1728"/>
          </w:tcPr>
          <w:p>
            <w:r>
              <w:rPr>
                <w:sz w:val="18"/>
              </w:rPr>
            </w:r>
            <w:r>
              <w:rPr>
                <w:b/>
                <w:sz w:val="18"/>
              </w:rPr>
              <w:t>NICC matches previous evening's 209</w:t>
            </w:r>
          </w:p>
        </w:tc>
        <w:tc>
          <w:tcPr>
            <w:tcW w:type="dxa" w:w="1728"/>
          </w:tcPr>
          <w:p>
            <w:r>
              <w:rPr>
                <w:sz w:val="18"/>
              </w:rPr>
            </w:r>
            <w:r>
              <w:rPr>
                <w:b/>
                <w:sz w:val="18"/>
              </w:rPr>
              <w:t>NICC matches same-day 209</w:t>
            </w:r>
          </w:p>
        </w:tc>
      </w:tr>
      <w:tr>
        <w:tc>
          <w:tcPr>
            <w:tcW w:type="dxa" w:w="1728"/>
          </w:tcPr>
          <w:p>
            <w:r>
              <w:rPr>
                <w:sz w:val="18"/>
              </w:rPr>
              <w:t>Pioneer 2016</w:t>
            </w:r>
          </w:p>
        </w:tc>
        <w:tc>
          <w:tcPr>
            <w:tcW w:type="dxa" w:w="1728"/>
          </w:tcPr>
          <w:p>
            <w:r>
              <w:rPr>
                <w:sz w:val="18"/>
              </w:rPr>
              <w:t>48 of 56 days</w:t>
            </w:r>
          </w:p>
        </w:tc>
        <w:tc>
          <w:tcPr>
            <w:tcW w:type="dxa" w:w="1728"/>
          </w:tcPr>
          <w:p>
            <w:r>
              <w:rPr>
                <w:sz w:val="18"/>
              </w:rPr>
              <w:t>11 of 56</w:t>
            </w:r>
          </w:p>
        </w:tc>
        <w:tc>
          <w:tcPr>
            <w:tcW w:type="dxa" w:w="1728"/>
          </w:tcPr>
          <w:p>
            <w:r>
              <w:rPr>
                <w:sz w:val="18"/>
              </w:rPr>
              <w:t>71 of 72 days</w:t>
            </w:r>
          </w:p>
        </w:tc>
        <w:tc>
          <w:tcPr>
            <w:tcW w:type="dxa" w:w="1728"/>
          </w:tcPr>
          <w:p>
            <w:r>
              <w:rPr>
                <w:sz w:val="18"/>
              </w:rPr>
              <w:t>11 of 72</w:t>
            </w:r>
          </w:p>
        </w:tc>
      </w:tr>
      <w:tr>
        <w:tc>
          <w:tcPr>
            <w:tcW w:type="dxa" w:w="1728"/>
          </w:tcPr>
          <w:p>
            <w:r>
              <w:rPr>
                <w:sz w:val="18"/>
              </w:rPr>
              <w:t>Carr 2018</w:t>
            </w:r>
          </w:p>
        </w:tc>
        <w:tc>
          <w:tcPr>
            <w:tcW w:type="dxa" w:w="1728"/>
          </w:tcPr>
          <w:p>
            <w:r>
              <w:rPr>
                <w:sz w:val="18"/>
              </w:rPr>
              <w:t>20 of 28 days</w:t>
            </w:r>
          </w:p>
        </w:tc>
        <w:tc>
          <w:tcPr>
            <w:tcW w:type="dxa" w:w="1728"/>
          </w:tcPr>
          <w:p>
            <w:r>
              <w:rPr>
                <w:sz w:val="18"/>
              </w:rPr>
              <w:t>2 of 28</w:t>
            </w:r>
          </w:p>
        </w:tc>
        <w:tc>
          <w:tcPr>
            <w:tcW w:type="dxa" w:w="1728"/>
          </w:tcPr>
          <w:p>
            <w:r>
              <w:rPr>
                <w:sz w:val="18"/>
              </w:rPr>
              <w:t>37 of 38 days</w:t>
            </w:r>
          </w:p>
        </w:tc>
        <w:tc>
          <w:tcPr>
            <w:tcW w:type="dxa" w:w="1728"/>
          </w:tcPr>
          <w:p>
            <w:r>
              <w:rPr>
                <w:sz w:val="18"/>
              </w:rPr>
              <w:t>10 of 38</w:t>
            </w:r>
          </w:p>
        </w:tc>
      </w:tr>
      <w:tr>
        <w:tc>
          <w:tcPr>
            <w:tcW w:type="dxa" w:w="1728"/>
          </w:tcPr>
          <w:p>
            <w:r>
              <w:rPr>
                <w:sz w:val="18"/>
              </w:rPr>
              <w:t>Camp 2018</w:t>
            </w:r>
          </w:p>
        </w:tc>
        <w:tc>
          <w:tcPr>
            <w:tcW w:type="dxa" w:w="1728"/>
          </w:tcPr>
          <w:p>
            <w:r>
              <w:rPr>
                <w:sz w:val="18"/>
              </w:rPr>
              <w:t>4 of 13 days</w:t>
            </w:r>
          </w:p>
        </w:tc>
        <w:tc>
          <w:tcPr>
            <w:tcW w:type="dxa" w:w="1728"/>
          </w:tcPr>
          <w:p>
            <w:r>
              <w:rPr>
                <w:sz w:val="18"/>
              </w:rPr>
              <w:t>2 of 13</w:t>
            </w:r>
          </w:p>
        </w:tc>
        <w:tc>
          <w:tcPr>
            <w:tcW w:type="dxa" w:w="1728"/>
          </w:tcPr>
          <w:p>
            <w:r>
              <w:rPr>
                <w:sz w:val="18"/>
              </w:rPr>
              <w:t>6 of 10 days</w:t>
            </w:r>
          </w:p>
        </w:tc>
        <w:tc>
          <w:tcPr>
            <w:tcW w:type="dxa" w:w="1728"/>
          </w:tcPr>
          <w:p>
            <w:r>
              <w:rPr>
                <w:sz w:val="18"/>
              </w:rPr>
              <w:t>1 of 10</w:t>
            </w:r>
          </w:p>
        </w:tc>
      </w:tr>
      <w:tr>
        <w:tc>
          <w:tcPr>
            <w:tcW w:type="dxa" w:w="1728"/>
          </w:tcPr>
          <w:p>
            <w:r>
              <w:rPr>
                <w:sz w:val="18"/>
              </w:rPr>
              <w:t>LNU 2020</w:t>
            </w:r>
          </w:p>
        </w:tc>
        <w:tc>
          <w:tcPr>
            <w:tcW w:type="dxa" w:w="1728"/>
          </w:tcPr>
          <w:p>
            <w:r>
              <w:rPr>
                <w:sz w:val="18"/>
              </w:rPr>
              <w:t>no GeoMAC</w:t>
            </w:r>
          </w:p>
        </w:tc>
        <w:tc>
          <w:tcPr>
            <w:tcW w:type="dxa" w:w="1728"/>
          </w:tcPr>
          <w:p>
            <w:r>
              <w:rPr>
                <w:sz w:val="18"/>
              </w:rPr>
              <w:t>n/a</w:t>
            </w:r>
          </w:p>
        </w:tc>
        <w:tc>
          <w:tcPr>
            <w:tcW w:type="dxa" w:w="1728"/>
          </w:tcPr>
          <w:p>
            <w:r>
              <w:rPr>
                <w:sz w:val="18"/>
              </w:rPr>
              <w:t>28 of 28 days</w:t>
            </w:r>
          </w:p>
        </w:tc>
        <w:tc>
          <w:tcPr>
            <w:tcW w:type="dxa" w:w="1728"/>
          </w:tcPr>
          <w:p>
            <w:r>
              <w:rPr>
                <w:sz w:val="18"/>
              </w:rPr>
              <w:t>16 of 28</w:t>
            </w:r>
          </w:p>
        </w:tc>
      </w:tr>
    </w:tbl>
    <w:p/>
    <w:p>
      <w:r>
        <w:rPr>
          <w:b w:val="0"/>
          <w:i w:val="0"/>
        </w:rPr>
        <w:t>Days counted are those where the 209 size changed; a match is within 0.5% (perimeters) or exact (NICC). The reading is a reporting chain: an overnight infrared perimeter becomes the next day's 209 size, and the 209 becomes the next morning's national number. Two consequences follow. First, the national situation report is not an independent measurement; agreement between NICC and the 209 says nothing about accuracy. Second, the size a decision maker reads is commonly one to two days behind the fire, which is the baseline RQ4 has to improve on. Camp, reported by CAL FIRE's Butte Unit, followed the chain less often (4 of 13 days; NICC 6 of 10), and NICC did not publish on weekends or Thanksgiving that month, so the lag is a common pattern, not a fixed rule.</w:t>
      </w:r>
    </w:p>
    <w:p>
      <w:pPr>
        <w:pStyle w:val="Heading2"/>
      </w:pPr>
      <w:r>
        <w:t>4.3 On blowup days the lag becomes a large shortfall</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sz w:val="18"/>
              </w:rPr>
            </w:r>
            <w:r>
              <w:rPr>
                <w:b/>
                <w:sz w:val="18"/>
              </w:rPr>
              <w:t>Fire, date</w:t>
            </w:r>
          </w:p>
        </w:tc>
        <w:tc>
          <w:tcPr>
            <w:tcW w:type="dxa" w:w="1440"/>
          </w:tcPr>
          <w:p>
            <w:r>
              <w:rPr>
                <w:sz w:val="18"/>
              </w:rPr>
            </w:r>
            <w:r>
              <w:rPr>
                <w:b/>
                <w:sz w:val="18"/>
              </w:rPr>
              <w:t>ICS-209 acres</w:t>
            </w:r>
          </w:p>
        </w:tc>
        <w:tc>
          <w:tcPr>
            <w:tcW w:type="dxa" w:w="1440"/>
          </w:tcPr>
          <w:p>
            <w:r>
              <w:rPr>
                <w:sz w:val="18"/>
              </w:rPr>
            </w:r>
            <w:r>
              <w:rPr>
                <w:b/>
                <w:sz w:val="18"/>
              </w:rPr>
              <w:t>Same-day perimeter</w:t>
            </w:r>
          </w:p>
        </w:tc>
        <w:tc>
          <w:tcPr>
            <w:tcW w:type="dxa" w:w="1440"/>
          </w:tcPr>
          <w:p>
            <w:r>
              <w:rPr>
                <w:sz w:val="18"/>
              </w:rPr>
            </w:r>
            <w:r>
              <w:rPr>
                <w:b/>
                <w:sz w:val="18"/>
              </w:rPr>
              <w:t>Same-day satellite (FEDS)</w:t>
            </w:r>
          </w:p>
        </w:tc>
        <w:tc>
          <w:tcPr>
            <w:tcW w:type="dxa" w:w="1440"/>
          </w:tcPr>
          <w:p>
            <w:r>
              <w:rPr>
                <w:sz w:val="18"/>
              </w:rPr>
            </w:r>
            <w:r>
              <w:rPr>
                <w:b/>
                <w:sz w:val="18"/>
              </w:rPr>
              <w:t>Perimeter / 209</w:t>
            </w:r>
          </w:p>
        </w:tc>
        <w:tc>
          <w:tcPr>
            <w:tcW w:type="dxa" w:w="1440"/>
          </w:tcPr>
          <w:p>
            <w:r>
              <w:rPr>
                <w:sz w:val="18"/>
              </w:rPr>
            </w:r>
            <w:r>
              <w:rPr>
                <w:b/>
                <w:sz w:val="18"/>
              </w:rPr>
              <w:t>Satellite / 209</w:t>
            </w:r>
          </w:p>
        </w:tc>
      </w:tr>
      <w:tr>
        <w:tc>
          <w:tcPr>
            <w:tcW w:type="dxa" w:w="1440"/>
          </w:tcPr>
          <w:p>
            <w:r>
              <w:rPr>
                <w:sz w:val="18"/>
              </w:rPr>
              <w:t>Pioneer, 2016-08-30</w:t>
            </w:r>
          </w:p>
        </w:tc>
        <w:tc>
          <w:tcPr>
            <w:tcW w:type="dxa" w:w="1440"/>
          </w:tcPr>
          <w:p>
            <w:r>
              <w:rPr>
                <w:sz w:val="18"/>
              </w:rPr>
              <w:t>140,780</w:t>
            </w:r>
          </w:p>
        </w:tc>
        <w:tc>
          <w:tcPr>
            <w:tcW w:type="dxa" w:w="1440"/>
          </w:tcPr>
          <w:p>
            <w:r>
              <w:rPr>
                <w:sz w:val="18"/>
              </w:rPr>
              <w:t>157,393</w:t>
            </w:r>
          </w:p>
        </w:tc>
        <w:tc>
          <w:tcPr>
            <w:tcW w:type="dxa" w:w="1440"/>
          </w:tcPr>
          <w:p>
            <w:r>
              <w:rPr>
                <w:sz w:val="18"/>
              </w:rPr>
            </w:r>
          </w:p>
        </w:tc>
        <w:tc>
          <w:tcPr>
            <w:tcW w:type="dxa" w:w="1440"/>
          </w:tcPr>
          <w:p>
            <w:r>
              <w:rPr>
                <w:sz w:val="18"/>
              </w:rPr>
              <w:t>1.12</w:t>
            </w:r>
          </w:p>
        </w:tc>
        <w:tc>
          <w:tcPr>
            <w:tcW w:type="dxa" w:w="1440"/>
          </w:tcPr>
          <w:p>
            <w:r>
              <w:rPr>
                <w:sz w:val="18"/>
              </w:rPr>
            </w:r>
          </w:p>
        </w:tc>
      </w:tr>
      <w:tr>
        <w:tc>
          <w:tcPr>
            <w:tcW w:type="dxa" w:w="1440"/>
          </w:tcPr>
          <w:p>
            <w:r>
              <w:rPr>
                <w:sz w:val="18"/>
              </w:rPr>
              <w:t>Pioneer, 2016-08-31</w:t>
            </w:r>
          </w:p>
        </w:tc>
        <w:tc>
          <w:tcPr>
            <w:tcW w:type="dxa" w:w="1440"/>
          </w:tcPr>
          <w:p>
            <w:r>
              <w:rPr>
                <w:sz w:val="18"/>
              </w:rPr>
              <w:t>157,393</w:t>
            </w:r>
          </w:p>
        </w:tc>
        <w:tc>
          <w:tcPr>
            <w:tcW w:type="dxa" w:w="1440"/>
          </w:tcPr>
          <w:p>
            <w:r>
              <w:rPr>
                <w:sz w:val="18"/>
              </w:rPr>
              <w:t>164,894</w:t>
            </w:r>
          </w:p>
        </w:tc>
        <w:tc>
          <w:tcPr>
            <w:tcW w:type="dxa" w:w="1440"/>
          </w:tcPr>
          <w:p>
            <w:r>
              <w:rPr>
                <w:sz w:val="18"/>
              </w:rPr>
            </w:r>
          </w:p>
        </w:tc>
        <w:tc>
          <w:tcPr>
            <w:tcW w:type="dxa" w:w="1440"/>
          </w:tcPr>
          <w:p>
            <w:r>
              <w:rPr>
                <w:sz w:val="18"/>
              </w:rPr>
              <w:t>1.05</w:t>
            </w:r>
          </w:p>
        </w:tc>
        <w:tc>
          <w:tcPr>
            <w:tcW w:type="dxa" w:w="1440"/>
          </w:tcPr>
          <w:p>
            <w:r>
              <w:rPr>
                <w:sz w:val="18"/>
              </w:rPr>
            </w:r>
          </w:p>
        </w:tc>
      </w:tr>
      <w:tr>
        <w:tc>
          <w:tcPr>
            <w:tcW w:type="dxa" w:w="1440"/>
          </w:tcPr>
          <w:p>
            <w:r>
              <w:rPr>
                <w:sz w:val="18"/>
              </w:rPr>
              <w:t>Pioneer, 2016-09-02</w:t>
            </w:r>
          </w:p>
        </w:tc>
        <w:tc>
          <w:tcPr>
            <w:tcW w:type="dxa" w:w="1440"/>
          </w:tcPr>
          <w:p>
            <w:r>
              <w:rPr>
                <w:sz w:val="18"/>
              </w:rPr>
              <w:t>179,977</w:t>
            </w:r>
          </w:p>
        </w:tc>
        <w:tc>
          <w:tcPr>
            <w:tcW w:type="dxa" w:w="1440"/>
          </w:tcPr>
          <w:p>
            <w:r>
              <w:rPr>
                <w:sz w:val="18"/>
              </w:rPr>
              <w:t>180,932</w:t>
            </w:r>
          </w:p>
        </w:tc>
        <w:tc>
          <w:tcPr>
            <w:tcW w:type="dxa" w:w="1440"/>
          </w:tcPr>
          <w:p>
            <w:r>
              <w:rPr>
                <w:sz w:val="18"/>
              </w:rPr>
            </w:r>
          </w:p>
        </w:tc>
        <w:tc>
          <w:tcPr>
            <w:tcW w:type="dxa" w:w="1440"/>
          </w:tcPr>
          <w:p>
            <w:r>
              <w:rPr>
                <w:sz w:val="18"/>
              </w:rPr>
              <w:t>1.01</w:t>
            </w:r>
          </w:p>
        </w:tc>
        <w:tc>
          <w:tcPr>
            <w:tcW w:type="dxa" w:w="1440"/>
          </w:tcPr>
          <w:p>
            <w:r>
              <w:rPr>
                <w:sz w:val="18"/>
              </w:rPr>
            </w:r>
          </w:p>
        </w:tc>
      </w:tr>
      <w:tr>
        <w:tc>
          <w:tcPr>
            <w:tcW w:type="dxa" w:w="1440"/>
          </w:tcPr>
          <w:p>
            <w:r>
              <w:rPr>
                <w:sz w:val="18"/>
              </w:rPr>
              <w:t>Carr, 2018-07-26</w:t>
            </w:r>
          </w:p>
        </w:tc>
        <w:tc>
          <w:tcPr>
            <w:tcW w:type="dxa" w:w="1440"/>
          </w:tcPr>
          <w:p>
            <w:r>
              <w:rPr>
                <w:sz w:val="18"/>
              </w:rPr>
              <w:t>28,763</w:t>
            </w:r>
          </w:p>
        </w:tc>
        <w:tc>
          <w:tcPr>
            <w:tcW w:type="dxa" w:w="1440"/>
          </w:tcPr>
          <w:p>
            <w:r>
              <w:rPr>
                <w:sz w:val="18"/>
              </w:rPr>
              <w:t>44,484</w:t>
            </w:r>
          </w:p>
        </w:tc>
        <w:tc>
          <w:tcPr>
            <w:tcW w:type="dxa" w:w="1440"/>
          </w:tcPr>
          <w:p>
            <w:r>
              <w:rPr>
                <w:sz w:val="18"/>
              </w:rPr>
              <w:t>57,659</w:t>
            </w:r>
          </w:p>
        </w:tc>
        <w:tc>
          <w:tcPr>
            <w:tcW w:type="dxa" w:w="1440"/>
          </w:tcPr>
          <w:p>
            <w:r>
              <w:rPr>
                <w:sz w:val="18"/>
              </w:rPr>
              <w:t>1.55</w:t>
            </w:r>
          </w:p>
        </w:tc>
        <w:tc>
          <w:tcPr>
            <w:tcW w:type="dxa" w:w="1440"/>
          </w:tcPr>
          <w:p>
            <w:r>
              <w:rPr>
                <w:sz w:val="18"/>
              </w:rPr>
              <w:t>2.00</w:t>
            </w:r>
          </w:p>
        </w:tc>
      </w:tr>
      <w:tr>
        <w:tc>
          <w:tcPr>
            <w:tcW w:type="dxa" w:w="1440"/>
          </w:tcPr>
          <w:p>
            <w:r>
              <w:rPr>
                <w:sz w:val="18"/>
              </w:rPr>
              <w:t>Carr, 2018-07-27</w:t>
            </w:r>
          </w:p>
        </w:tc>
        <w:tc>
          <w:tcPr>
            <w:tcW w:type="dxa" w:w="1440"/>
          </w:tcPr>
          <w:p>
            <w:r>
              <w:rPr>
                <w:sz w:val="18"/>
              </w:rPr>
              <w:t>48,312</w:t>
            </w:r>
          </w:p>
        </w:tc>
        <w:tc>
          <w:tcPr>
            <w:tcW w:type="dxa" w:w="1440"/>
          </w:tcPr>
          <w:p>
            <w:r>
              <w:rPr>
                <w:sz w:val="18"/>
              </w:rPr>
              <w:t>80,968</w:t>
            </w:r>
          </w:p>
        </w:tc>
        <w:tc>
          <w:tcPr>
            <w:tcW w:type="dxa" w:w="1440"/>
          </w:tcPr>
          <w:p>
            <w:r>
              <w:rPr>
                <w:sz w:val="18"/>
              </w:rPr>
              <w:t>109,435</w:t>
            </w:r>
          </w:p>
        </w:tc>
        <w:tc>
          <w:tcPr>
            <w:tcW w:type="dxa" w:w="1440"/>
          </w:tcPr>
          <w:p>
            <w:r>
              <w:rPr>
                <w:sz w:val="18"/>
              </w:rPr>
              <w:t>1.68</w:t>
            </w:r>
          </w:p>
        </w:tc>
        <w:tc>
          <w:tcPr>
            <w:tcW w:type="dxa" w:w="1440"/>
          </w:tcPr>
          <w:p>
            <w:r>
              <w:rPr>
                <w:sz w:val="18"/>
              </w:rPr>
              <w:t>2.27</w:t>
            </w:r>
          </w:p>
        </w:tc>
      </w:tr>
      <w:tr>
        <w:tc>
          <w:tcPr>
            <w:tcW w:type="dxa" w:w="1440"/>
          </w:tcPr>
          <w:p>
            <w:r>
              <w:rPr>
                <w:sz w:val="18"/>
              </w:rPr>
              <w:t>Carr, 2018-07-28</w:t>
            </w:r>
          </w:p>
        </w:tc>
        <w:tc>
          <w:tcPr>
            <w:tcW w:type="dxa" w:w="1440"/>
          </w:tcPr>
          <w:p>
            <w:r>
              <w:rPr>
                <w:sz w:val="18"/>
              </w:rPr>
              <w:t>83,800</w:t>
            </w:r>
          </w:p>
        </w:tc>
        <w:tc>
          <w:tcPr>
            <w:tcW w:type="dxa" w:w="1440"/>
          </w:tcPr>
          <w:p>
            <w:r>
              <w:rPr>
                <w:sz w:val="18"/>
              </w:rPr>
              <w:t>95,442</w:t>
            </w:r>
          </w:p>
        </w:tc>
        <w:tc>
          <w:tcPr>
            <w:tcW w:type="dxa" w:w="1440"/>
          </w:tcPr>
          <w:p>
            <w:r>
              <w:rPr>
                <w:sz w:val="18"/>
              </w:rPr>
              <w:t>123,375</w:t>
            </w:r>
          </w:p>
        </w:tc>
        <w:tc>
          <w:tcPr>
            <w:tcW w:type="dxa" w:w="1440"/>
          </w:tcPr>
          <w:p>
            <w:r>
              <w:rPr>
                <w:sz w:val="18"/>
              </w:rPr>
              <w:t>1.14</w:t>
            </w:r>
          </w:p>
        </w:tc>
        <w:tc>
          <w:tcPr>
            <w:tcW w:type="dxa" w:w="1440"/>
          </w:tcPr>
          <w:p>
            <w:r>
              <w:rPr>
                <w:sz w:val="18"/>
              </w:rPr>
              <w:t>1.47</w:t>
            </w:r>
          </w:p>
        </w:tc>
      </w:tr>
      <w:tr>
        <w:tc>
          <w:tcPr>
            <w:tcW w:type="dxa" w:w="1440"/>
          </w:tcPr>
          <w:p>
            <w:r>
              <w:rPr>
                <w:sz w:val="18"/>
              </w:rPr>
              <w:t>Camp, 2018-11-08</w:t>
            </w:r>
          </w:p>
        </w:tc>
        <w:tc>
          <w:tcPr>
            <w:tcW w:type="dxa" w:w="1440"/>
          </w:tcPr>
          <w:p>
            <w:r>
              <w:rPr>
                <w:sz w:val="18"/>
              </w:rPr>
              <w:t>18,000</w:t>
            </w:r>
          </w:p>
        </w:tc>
        <w:tc>
          <w:tcPr>
            <w:tcW w:type="dxa" w:w="1440"/>
          </w:tcPr>
          <w:p>
            <w:r>
              <w:rPr>
                <w:sz w:val="18"/>
              </w:rPr>
              <w:t>70,454</w:t>
            </w:r>
          </w:p>
        </w:tc>
        <w:tc>
          <w:tcPr>
            <w:tcW w:type="dxa" w:w="1440"/>
          </w:tcPr>
          <w:p>
            <w:r>
              <w:rPr>
                <w:sz w:val="18"/>
              </w:rPr>
              <w:t>81,810</w:t>
            </w:r>
          </w:p>
        </w:tc>
        <w:tc>
          <w:tcPr>
            <w:tcW w:type="dxa" w:w="1440"/>
          </w:tcPr>
          <w:p>
            <w:r>
              <w:rPr>
                <w:sz w:val="18"/>
              </w:rPr>
              <w:t>3.91</w:t>
            </w:r>
          </w:p>
        </w:tc>
        <w:tc>
          <w:tcPr>
            <w:tcW w:type="dxa" w:w="1440"/>
          </w:tcPr>
          <w:p>
            <w:r>
              <w:rPr>
                <w:sz w:val="18"/>
              </w:rPr>
              <w:t>4.55</w:t>
            </w:r>
          </w:p>
        </w:tc>
      </w:tr>
      <w:tr>
        <w:tc>
          <w:tcPr>
            <w:tcW w:type="dxa" w:w="1440"/>
          </w:tcPr>
          <w:p>
            <w:r>
              <w:rPr>
                <w:sz w:val="18"/>
              </w:rPr>
              <w:t>Camp, 2018-11-09</w:t>
            </w:r>
          </w:p>
        </w:tc>
        <w:tc>
          <w:tcPr>
            <w:tcW w:type="dxa" w:w="1440"/>
          </w:tcPr>
          <w:p>
            <w:r>
              <w:rPr>
                <w:sz w:val="18"/>
              </w:rPr>
              <w:t>90,000</w:t>
            </w:r>
          </w:p>
        </w:tc>
        <w:tc>
          <w:tcPr>
            <w:tcW w:type="dxa" w:w="1440"/>
          </w:tcPr>
          <w:p>
            <w:r>
              <w:rPr>
                <w:sz w:val="18"/>
              </w:rPr>
              <w:t>111,552</w:t>
            </w:r>
          </w:p>
        </w:tc>
        <w:tc>
          <w:tcPr>
            <w:tcW w:type="dxa" w:w="1440"/>
          </w:tcPr>
          <w:p>
            <w:r>
              <w:rPr>
                <w:sz w:val="18"/>
              </w:rPr>
              <w:t>99,108</w:t>
            </w:r>
          </w:p>
        </w:tc>
        <w:tc>
          <w:tcPr>
            <w:tcW w:type="dxa" w:w="1440"/>
          </w:tcPr>
          <w:p>
            <w:r>
              <w:rPr>
                <w:sz w:val="18"/>
              </w:rPr>
              <w:t>1.24</w:t>
            </w:r>
          </w:p>
        </w:tc>
        <w:tc>
          <w:tcPr>
            <w:tcW w:type="dxa" w:w="1440"/>
          </w:tcPr>
          <w:p>
            <w:r>
              <w:rPr>
                <w:sz w:val="18"/>
              </w:rPr>
              <w:t>1.10</w:t>
            </w:r>
          </w:p>
        </w:tc>
      </w:tr>
      <w:tr>
        <w:tc>
          <w:tcPr>
            <w:tcW w:type="dxa" w:w="1440"/>
          </w:tcPr>
          <w:p>
            <w:r>
              <w:rPr>
                <w:sz w:val="18"/>
              </w:rPr>
              <w:t>Camp, 2018-11-10</w:t>
            </w:r>
          </w:p>
        </w:tc>
        <w:tc>
          <w:tcPr>
            <w:tcW w:type="dxa" w:w="1440"/>
          </w:tcPr>
          <w:p>
            <w:r>
              <w:rPr>
                <w:sz w:val="18"/>
              </w:rPr>
              <w:t>105,000</w:t>
            </w:r>
          </w:p>
        </w:tc>
        <w:tc>
          <w:tcPr>
            <w:tcW w:type="dxa" w:w="1440"/>
          </w:tcPr>
          <w:p>
            <w:r>
              <w:rPr>
                <w:sz w:val="18"/>
              </w:rPr>
              <w:t>114,866</w:t>
            </w:r>
          </w:p>
        </w:tc>
        <w:tc>
          <w:tcPr>
            <w:tcW w:type="dxa" w:w="1440"/>
          </w:tcPr>
          <w:p>
            <w:r>
              <w:rPr>
                <w:sz w:val="18"/>
              </w:rPr>
              <w:t>106,776</w:t>
            </w:r>
          </w:p>
        </w:tc>
        <w:tc>
          <w:tcPr>
            <w:tcW w:type="dxa" w:w="1440"/>
          </w:tcPr>
          <w:p>
            <w:r>
              <w:rPr>
                <w:sz w:val="18"/>
              </w:rPr>
              <w:t>1.09</w:t>
            </w:r>
          </w:p>
        </w:tc>
        <w:tc>
          <w:tcPr>
            <w:tcW w:type="dxa" w:w="1440"/>
          </w:tcPr>
          <w:p>
            <w:r>
              <w:rPr>
                <w:sz w:val="18"/>
              </w:rPr>
              <w:t>1.02</w:t>
            </w:r>
          </w:p>
        </w:tc>
      </w:tr>
      <w:tr>
        <w:tc>
          <w:tcPr>
            <w:tcW w:type="dxa" w:w="1440"/>
          </w:tcPr>
          <w:p>
            <w:r>
              <w:rPr>
                <w:sz w:val="18"/>
              </w:rPr>
              <w:t>LNU, 2020-08-19</w:t>
            </w:r>
          </w:p>
        </w:tc>
        <w:tc>
          <w:tcPr>
            <w:tcW w:type="dxa" w:w="1440"/>
          </w:tcPr>
          <w:p>
            <w:r>
              <w:rPr>
                <w:sz w:val="18"/>
              </w:rPr>
              <w:t>124,100</w:t>
            </w:r>
          </w:p>
        </w:tc>
        <w:tc>
          <w:tcPr>
            <w:tcW w:type="dxa" w:w="1440"/>
          </w:tcPr>
          <w:p>
            <w:r>
              <w:rPr>
                <w:sz w:val="18"/>
              </w:rPr>
            </w:r>
          </w:p>
        </w:tc>
        <w:tc>
          <w:tcPr>
            <w:tcW w:type="dxa" w:w="1440"/>
          </w:tcPr>
          <w:p>
            <w:r>
              <w:rPr>
                <w:sz w:val="18"/>
              </w:rPr>
              <w:t>256,748</w:t>
            </w:r>
          </w:p>
        </w:tc>
        <w:tc>
          <w:tcPr>
            <w:tcW w:type="dxa" w:w="1440"/>
          </w:tcPr>
          <w:p>
            <w:r>
              <w:rPr>
                <w:sz w:val="18"/>
              </w:rPr>
            </w:r>
          </w:p>
        </w:tc>
        <w:tc>
          <w:tcPr>
            <w:tcW w:type="dxa" w:w="1440"/>
          </w:tcPr>
          <w:p>
            <w:r>
              <w:rPr>
                <w:sz w:val="18"/>
              </w:rPr>
              <w:t>2.07</w:t>
            </w:r>
          </w:p>
        </w:tc>
      </w:tr>
      <w:tr>
        <w:tc>
          <w:tcPr>
            <w:tcW w:type="dxa" w:w="1440"/>
          </w:tcPr>
          <w:p>
            <w:r>
              <w:rPr>
                <w:sz w:val="18"/>
              </w:rPr>
              <w:t>LNU, 2020-08-20</w:t>
            </w:r>
          </w:p>
        </w:tc>
        <w:tc>
          <w:tcPr>
            <w:tcW w:type="dxa" w:w="1440"/>
          </w:tcPr>
          <w:p>
            <w:r>
              <w:rPr>
                <w:sz w:val="18"/>
              </w:rPr>
              <w:t>215,000</w:t>
            </w:r>
          </w:p>
        </w:tc>
        <w:tc>
          <w:tcPr>
            <w:tcW w:type="dxa" w:w="1440"/>
          </w:tcPr>
          <w:p>
            <w:r>
              <w:rPr>
                <w:sz w:val="18"/>
              </w:rPr>
            </w:r>
          </w:p>
        </w:tc>
        <w:tc>
          <w:tcPr>
            <w:tcW w:type="dxa" w:w="1440"/>
          </w:tcPr>
          <w:p>
            <w:r>
              <w:rPr>
                <w:sz w:val="18"/>
              </w:rPr>
              <w:t>299,453</w:t>
            </w:r>
          </w:p>
        </w:tc>
        <w:tc>
          <w:tcPr>
            <w:tcW w:type="dxa" w:w="1440"/>
          </w:tcPr>
          <w:p>
            <w:r>
              <w:rPr>
                <w:sz w:val="18"/>
              </w:rPr>
            </w:r>
          </w:p>
        </w:tc>
        <w:tc>
          <w:tcPr>
            <w:tcW w:type="dxa" w:w="1440"/>
          </w:tcPr>
          <w:p>
            <w:r>
              <w:rPr>
                <w:sz w:val="18"/>
              </w:rPr>
              <w:t>1.39</w:t>
            </w:r>
          </w:p>
        </w:tc>
      </w:tr>
      <w:tr>
        <w:tc>
          <w:tcPr>
            <w:tcW w:type="dxa" w:w="1440"/>
          </w:tcPr>
          <w:p>
            <w:r>
              <w:rPr>
                <w:sz w:val="18"/>
              </w:rPr>
              <w:t>LNU, 2020-08-21</w:t>
            </w:r>
          </w:p>
        </w:tc>
        <w:tc>
          <w:tcPr>
            <w:tcW w:type="dxa" w:w="1440"/>
          </w:tcPr>
          <w:p>
            <w:r>
              <w:rPr>
                <w:sz w:val="18"/>
              </w:rPr>
              <w:t>302,388</w:t>
            </w:r>
          </w:p>
        </w:tc>
        <w:tc>
          <w:tcPr>
            <w:tcW w:type="dxa" w:w="1440"/>
          </w:tcPr>
          <w:p>
            <w:r>
              <w:rPr>
                <w:sz w:val="18"/>
              </w:rPr>
            </w:r>
          </w:p>
        </w:tc>
        <w:tc>
          <w:tcPr>
            <w:tcW w:type="dxa" w:w="1440"/>
          </w:tcPr>
          <w:p>
            <w:r>
              <w:rPr>
                <w:sz w:val="18"/>
              </w:rPr>
              <w:t>319,994</w:t>
            </w:r>
          </w:p>
        </w:tc>
        <w:tc>
          <w:tcPr>
            <w:tcW w:type="dxa" w:w="1440"/>
          </w:tcPr>
          <w:p>
            <w:r>
              <w:rPr>
                <w:sz w:val="18"/>
              </w:rPr>
            </w:r>
          </w:p>
        </w:tc>
        <w:tc>
          <w:tcPr>
            <w:tcW w:type="dxa" w:w="1440"/>
          </w:tcPr>
          <w:p>
            <w:r>
              <w:rPr>
                <w:sz w:val="18"/>
              </w:rPr>
              <w:t>1.06</w:t>
            </w:r>
          </w:p>
        </w:tc>
      </w:tr>
    </w:tbl>
    <w:p/>
    <w:p>
      <w:r>
        <w:rPr>
          <w:b w:val="0"/>
          <w:i w:val="0"/>
        </w:rPr>
        <w:t>Camp shows the extreme case. The fire started at about 06:29 on 8 November 2018 (CAL FIRE; NIST places first observations between 06:25 and 06:40 [Maranghides et al 2021, p.19]), and its 19 documented burnovers began at 07:50 the same morning [Maranghides et al 2021, p.197]. The last 209 of that day gave 18,000 acres; the same-day perimeter showed 70,454 and the satellite 81,810, about four times the official number.</w:t>
      </w:r>
    </w:p>
    <w:p>
      <w:r>
        <w:rPr>
          <w:b w:val="0"/>
          <w:i w:val="0"/>
        </w:rPr>
        <w:t>The fatal Carr burnovers happened on the evening of 26 July 2018 (Research Data Index, Margin Timing Anchors: aerial warning to Branch III at 18:38, mayday at 19:40). That day the 209 recorded 28,763 acres, against 44,484 on the perimeter and 57,659 from the satellite. The day crews most needed current information is the day the official number was furthest behind. Part of the satellite excess is pixel bias (Section 4.5), so the perimeter ratio is the more conservative measure of the shortfall.</w:t>
      </w:r>
    </w:p>
    <w:p>
      <w:pPr>
        <w:pStyle w:val="Heading2"/>
      </w:pPr>
      <w:r>
        <w:t>4.4 Growth is concentrated in a few days</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sz w:val="18"/>
              </w:rPr>
            </w:r>
            <w:r>
              <w:rPr>
                <w:b/>
                <w:sz w:val="18"/>
              </w:rPr>
              <w:t>Fire</w:t>
            </w:r>
          </w:p>
        </w:tc>
        <w:tc>
          <w:tcPr>
            <w:tcW w:type="dxa" w:w="1234"/>
          </w:tcPr>
          <w:p>
            <w:r>
              <w:rPr>
                <w:sz w:val="18"/>
              </w:rPr>
            </w:r>
            <w:r>
              <w:rPr>
                <w:b/>
                <w:sz w:val="18"/>
              </w:rPr>
              <w:t>Days with growth</w:t>
            </w:r>
          </w:p>
        </w:tc>
        <w:tc>
          <w:tcPr>
            <w:tcW w:type="dxa" w:w="1234"/>
          </w:tcPr>
          <w:p>
            <w:r>
              <w:rPr>
                <w:sz w:val="18"/>
              </w:rPr>
            </w:r>
            <w:r>
              <w:rPr>
                <w:b/>
                <w:sz w:val="18"/>
              </w:rPr>
              <w:t>Median daily growth (acres)</w:t>
            </w:r>
          </w:p>
        </w:tc>
        <w:tc>
          <w:tcPr>
            <w:tcW w:type="dxa" w:w="1234"/>
          </w:tcPr>
          <w:p>
            <w:r>
              <w:rPr>
                <w:sz w:val="18"/>
              </w:rPr>
            </w:r>
            <w:r>
              <w:rPr>
                <w:b/>
                <w:sz w:val="18"/>
              </w:rPr>
              <w:t>Largest day (acres)</w:t>
            </w:r>
          </w:p>
        </w:tc>
        <w:tc>
          <w:tcPr>
            <w:tcW w:type="dxa" w:w="1234"/>
          </w:tcPr>
          <w:p>
            <w:r>
              <w:rPr>
                <w:sz w:val="18"/>
              </w:rPr>
            </w:r>
            <w:r>
              <w:rPr>
                <w:b/>
                <w:sz w:val="18"/>
              </w:rPr>
              <w:t>Top 3 days, share of final</w:t>
            </w:r>
          </w:p>
        </w:tc>
        <w:tc>
          <w:tcPr>
            <w:tcW w:type="dxa" w:w="1234"/>
          </w:tcPr>
          <w:p>
            <w:r>
              <w:rPr>
                <w:sz w:val="18"/>
              </w:rPr>
            </w:r>
            <w:r>
              <w:rPr>
                <w:b/>
                <w:sz w:val="18"/>
              </w:rPr>
              <w:t>Days from first 209 to 50% / 90% of final</w:t>
            </w:r>
          </w:p>
        </w:tc>
        <w:tc>
          <w:tcPr>
            <w:tcW w:type="dxa" w:w="1234"/>
          </w:tcPr>
          <w:p>
            <w:r>
              <w:rPr>
                <w:sz w:val="18"/>
              </w:rPr>
            </w:r>
            <w:r>
              <w:rPr>
                <w:b/>
                <w:sz w:val="18"/>
              </w:rPr>
              <w:t>NICC personnel on top 3 days (date: people)</w:t>
            </w:r>
          </w:p>
        </w:tc>
      </w:tr>
      <w:tr>
        <w:tc>
          <w:tcPr>
            <w:tcW w:type="dxa" w:w="1234"/>
          </w:tcPr>
          <w:p>
            <w:r>
              <w:rPr>
                <w:sz w:val="18"/>
              </w:rPr>
              <w:t>Pioneer 2016</w:t>
            </w:r>
          </w:p>
        </w:tc>
        <w:tc>
          <w:tcPr>
            <w:tcW w:type="dxa" w:w="1234"/>
          </w:tcPr>
          <w:p>
            <w:r>
              <w:rPr>
                <w:sz w:val="18"/>
              </w:rPr>
              <w:t>61</w:t>
            </w:r>
          </w:p>
        </w:tc>
        <w:tc>
          <w:tcPr>
            <w:tcW w:type="dxa" w:w="1234"/>
          </w:tcPr>
          <w:p>
            <w:r>
              <w:rPr>
                <w:sz w:val="18"/>
              </w:rPr>
              <w:t>1,555</w:t>
            </w:r>
          </w:p>
        </w:tc>
        <w:tc>
          <w:tcPr>
            <w:tcW w:type="dxa" w:w="1234"/>
          </w:tcPr>
          <w:p>
            <w:r>
              <w:rPr>
                <w:sz w:val="18"/>
              </w:rPr>
              <w:t>29,176</w:t>
            </w:r>
          </w:p>
        </w:tc>
        <w:tc>
          <w:tcPr>
            <w:tcW w:type="dxa" w:w="1234"/>
          </w:tcPr>
          <w:p>
            <w:r>
              <w:rPr>
                <w:sz w:val="18"/>
              </w:rPr>
              <w:t>32%</w:t>
            </w:r>
          </w:p>
        </w:tc>
        <w:tc>
          <w:tcPr>
            <w:tcW w:type="dxa" w:w="1234"/>
          </w:tcPr>
          <w:p>
            <w:r>
              <w:rPr>
                <w:sz w:val="18"/>
              </w:rPr>
              <w:t>34 / 45</w:t>
            </w:r>
          </w:p>
        </w:tc>
        <w:tc>
          <w:tcPr>
            <w:tcW w:type="dxa" w:w="1234"/>
          </w:tcPr>
          <w:p>
            <w:r>
              <w:rPr>
                <w:sz w:val="18"/>
              </w:rPr>
              <w:t>08-30: 1,105; 08-31: 1,079; 09-02: 1,053</w:t>
            </w:r>
          </w:p>
        </w:tc>
      </w:tr>
      <w:tr>
        <w:tc>
          <w:tcPr>
            <w:tcW w:type="dxa" w:w="1234"/>
          </w:tcPr>
          <w:p>
            <w:r>
              <w:rPr>
                <w:sz w:val="18"/>
              </w:rPr>
              <w:t>Carr 2018</w:t>
            </w:r>
          </w:p>
        </w:tc>
        <w:tc>
          <w:tcPr>
            <w:tcW w:type="dxa" w:w="1234"/>
          </w:tcPr>
          <w:p>
            <w:r>
              <w:rPr>
                <w:sz w:val="18"/>
              </w:rPr>
              <w:t>28</w:t>
            </w:r>
          </w:p>
        </w:tc>
        <w:tc>
          <w:tcPr>
            <w:tcW w:type="dxa" w:w="1234"/>
          </w:tcPr>
          <w:p>
            <w:r>
              <w:rPr>
                <w:sz w:val="18"/>
              </w:rPr>
              <w:t>6,438</w:t>
            </w:r>
          </w:p>
        </w:tc>
        <w:tc>
          <w:tcPr>
            <w:tcW w:type="dxa" w:w="1234"/>
          </w:tcPr>
          <w:p>
            <w:r>
              <w:rPr>
                <w:sz w:val="18"/>
              </w:rPr>
              <w:t>35,488</w:t>
            </w:r>
          </w:p>
        </w:tc>
        <w:tc>
          <w:tcPr>
            <w:tcW w:type="dxa" w:w="1234"/>
          </w:tcPr>
          <w:p>
            <w:r>
              <w:rPr>
                <w:sz w:val="18"/>
              </w:rPr>
              <w:t>34%</w:t>
            </w:r>
          </w:p>
        </w:tc>
        <w:tc>
          <w:tcPr>
            <w:tcW w:type="dxa" w:w="1234"/>
          </w:tcPr>
          <w:p>
            <w:r>
              <w:rPr>
                <w:sz w:val="18"/>
              </w:rPr>
              <w:t>9 / 21</w:t>
            </w:r>
          </w:p>
        </w:tc>
        <w:tc>
          <w:tcPr>
            <w:tcW w:type="dxa" w:w="1234"/>
          </w:tcPr>
          <w:p>
            <w:r>
              <w:rPr>
                <w:sz w:val="18"/>
              </w:rPr>
              <w:t>07-28: 3,388; 07-26: 1,748; 07-27: 3,410</w:t>
            </w:r>
          </w:p>
        </w:tc>
      </w:tr>
      <w:tr>
        <w:tc>
          <w:tcPr>
            <w:tcW w:type="dxa" w:w="1234"/>
          </w:tcPr>
          <w:p>
            <w:r>
              <w:rPr>
                <w:sz w:val="18"/>
              </w:rPr>
              <w:t>Camp 2018</w:t>
            </w:r>
          </w:p>
        </w:tc>
        <w:tc>
          <w:tcPr>
            <w:tcW w:type="dxa" w:w="1234"/>
          </w:tcPr>
          <w:p>
            <w:r>
              <w:rPr>
                <w:sz w:val="18"/>
              </w:rPr>
              <w:t>13</w:t>
            </w:r>
          </w:p>
        </w:tc>
        <w:tc>
          <w:tcPr>
            <w:tcW w:type="dxa" w:w="1234"/>
          </w:tcPr>
          <w:p>
            <w:r>
              <w:rPr>
                <w:sz w:val="18"/>
              </w:rPr>
              <w:t>5,000</w:t>
            </w:r>
          </w:p>
        </w:tc>
        <w:tc>
          <w:tcPr>
            <w:tcW w:type="dxa" w:w="1234"/>
          </w:tcPr>
          <w:p>
            <w:r>
              <w:rPr>
                <w:sz w:val="18"/>
              </w:rPr>
              <w:t>72,000</w:t>
            </w:r>
          </w:p>
        </w:tc>
        <w:tc>
          <w:tcPr>
            <w:tcW w:type="dxa" w:w="1234"/>
          </w:tcPr>
          <w:p>
            <w:r>
              <w:rPr>
                <w:sz w:val="18"/>
              </w:rPr>
              <w:t>65%</w:t>
            </w:r>
          </w:p>
        </w:tc>
        <w:tc>
          <w:tcPr>
            <w:tcW w:type="dxa" w:w="1234"/>
          </w:tcPr>
          <w:p>
            <w:r>
              <w:rPr>
                <w:sz w:val="18"/>
              </w:rPr>
              <w:t>1 / 7</w:t>
            </w:r>
          </w:p>
        </w:tc>
        <w:tc>
          <w:tcPr>
            <w:tcW w:type="dxa" w:w="1234"/>
          </w:tcPr>
          <w:p>
            <w:r>
              <w:rPr>
                <w:sz w:val="18"/>
              </w:rPr>
              <w:t>11-13: 5,615</w:t>
            </w:r>
          </w:p>
        </w:tc>
      </w:tr>
      <w:tr>
        <w:tc>
          <w:tcPr>
            <w:tcW w:type="dxa" w:w="1234"/>
          </w:tcPr>
          <w:p>
            <w:r>
              <w:rPr>
                <w:sz w:val="18"/>
              </w:rPr>
              <w:t>LNU 2020</w:t>
            </w:r>
          </w:p>
        </w:tc>
        <w:tc>
          <w:tcPr>
            <w:tcW w:type="dxa" w:w="1234"/>
          </w:tcPr>
          <w:p>
            <w:r>
              <w:rPr>
                <w:sz w:val="18"/>
              </w:rPr>
              <w:t>11</w:t>
            </w:r>
          </w:p>
        </w:tc>
        <w:tc>
          <w:tcPr>
            <w:tcW w:type="dxa" w:w="1234"/>
          </w:tcPr>
          <w:p>
            <w:r>
              <w:rPr>
                <w:sz w:val="18"/>
              </w:rPr>
              <w:t>4,542</w:t>
            </w:r>
          </w:p>
        </w:tc>
        <w:tc>
          <w:tcPr>
            <w:tcW w:type="dxa" w:w="1234"/>
          </w:tcPr>
          <w:p>
            <w:r>
              <w:rPr>
                <w:sz w:val="18"/>
              </w:rPr>
              <w:t>90,900</w:t>
            </w:r>
          </w:p>
        </w:tc>
        <w:tc>
          <w:tcPr>
            <w:tcW w:type="dxa" w:w="1234"/>
          </w:tcPr>
          <w:p>
            <w:r>
              <w:rPr>
                <w:sz w:val="18"/>
              </w:rPr>
              <w:t>55%</w:t>
            </w:r>
          </w:p>
        </w:tc>
        <w:tc>
          <w:tcPr>
            <w:tcW w:type="dxa" w:w="1234"/>
          </w:tcPr>
          <w:p>
            <w:r>
              <w:rPr>
                <w:sz w:val="18"/>
              </w:rPr>
              <w:t>1 / 4</w:t>
            </w:r>
          </w:p>
        </w:tc>
        <w:tc>
          <w:tcPr>
            <w:tcW w:type="dxa" w:w="1234"/>
          </w:tcPr>
          <w:p>
            <w:r>
              <w:rPr>
                <w:sz w:val="18"/>
              </w:rPr>
              <w:t>08-20: 1,059; 08-21: 1,429; 08-22: 1,704</w:t>
            </w:r>
          </w:p>
        </w:tc>
      </w:tr>
    </w:tbl>
    <w:p/>
    <w:p>
      <w:r>
        <w:rPr>
          <w:b w:val="0"/>
          <w:i w:val="0"/>
        </w:rPr>
        <w:t>The four fires span distinct regimes: a long timber fire with late runs (Pioneer), a wind-driven run early in a WUI fire (Carr), a wind-driven WUI fire that reached half its final size on its second day (Camp), and a lightning complex that reached half its final size one day after its first 209, four days after ignition (LNU). Daily growth is heavy tailed, so an ensemble that matches the median day can still miss the days that matter for crew safety. The T_fire term of the safety margin should be evaluated separately on blowup days, and validation scores should be reported by regime, not pooled (proposed).</w:t>
      </w:r>
    </w:p>
    <w:p>
      <w:pPr>
        <w:pStyle w:val="Heading2"/>
      </w:pPr>
      <w:r>
        <w:t>4.5 How much do the records disagree about size?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sz w:val="18"/>
              </w:rPr>
            </w:r>
            <w:r>
              <w:rPr>
                <w:b/>
                <w:sz w:val="18"/>
              </w:rPr>
              <w:t>Record</w:t>
            </w:r>
          </w:p>
        </w:tc>
        <w:tc>
          <w:tcPr>
            <w:tcW w:type="dxa" w:w="1728"/>
          </w:tcPr>
          <w:p>
            <w:r>
              <w:rPr>
                <w:sz w:val="18"/>
              </w:rPr>
            </w:r>
            <w:r>
              <w:rPr>
                <w:b/>
                <w:sz w:val="18"/>
              </w:rPr>
              <w:t>Pioneer</w:t>
            </w:r>
          </w:p>
        </w:tc>
        <w:tc>
          <w:tcPr>
            <w:tcW w:type="dxa" w:w="1728"/>
          </w:tcPr>
          <w:p>
            <w:r>
              <w:rPr>
                <w:sz w:val="18"/>
              </w:rPr>
            </w:r>
            <w:r>
              <w:rPr>
                <w:b/>
                <w:sz w:val="18"/>
              </w:rPr>
              <w:t>Carr</w:t>
            </w:r>
          </w:p>
        </w:tc>
        <w:tc>
          <w:tcPr>
            <w:tcW w:type="dxa" w:w="1728"/>
          </w:tcPr>
          <w:p>
            <w:r>
              <w:rPr>
                <w:sz w:val="18"/>
              </w:rPr>
            </w:r>
            <w:r>
              <w:rPr>
                <w:b/>
                <w:sz w:val="18"/>
              </w:rPr>
              <w:t>Camp</w:t>
            </w:r>
          </w:p>
        </w:tc>
        <w:tc>
          <w:tcPr>
            <w:tcW w:type="dxa" w:w="1728"/>
          </w:tcPr>
          <w:p>
            <w:r>
              <w:rPr>
                <w:sz w:val="18"/>
              </w:rPr>
            </w:r>
            <w:r>
              <w:rPr>
                <w:b/>
                <w:sz w:val="18"/>
              </w:rPr>
              <w:t>LNU</w:t>
            </w:r>
          </w:p>
        </w:tc>
      </w:tr>
      <w:tr>
        <w:tc>
          <w:tcPr>
            <w:tcW w:type="dxa" w:w="1728"/>
          </w:tcPr>
          <w:p>
            <w:r>
              <w:rPr>
                <w:sz w:val="18"/>
              </w:rPr>
              <w:t>Official final sizes (209, NICC, agency perimeters)</w:t>
            </w:r>
          </w:p>
        </w:tc>
        <w:tc>
          <w:tcPr>
            <w:tcW w:type="dxa" w:w="1728"/>
          </w:tcPr>
          <w:p>
            <w:r>
              <w:rPr>
                <w:sz w:val="18"/>
              </w:rPr>
              <w:t>within 0.05%</w:t>
            </w:r>
          </w:p>
        </w:tc>
        <w:tc>
          <w:tcPr>
            <w:tcW w:type="dxa" w:w="1728"/>
          </w:tcPr>
          <w:p>
            <w:r>
              <w:rPr>
                <w:sz w:val="18"/>
              </w:rPr>
              <w:t>229,475 to 229,686 acres, within 0.1%</w:t>
            </w:r>
          </w:p>
        </w:tc>
        <w:tc>
          <w:tcPr>
            <w:tcW w:type="dxa" w:w="1728"/>
          </w:tcPr>
          <w:p>
            <w:r>
              <w:rPr>
                <w:sz w:val="18"/>
              </w:rPr>
              <w:t>153,335 to 153,336 (209, NICC, CAL FIRE, BLM)</w:t>
            </w:r>
          </w:p>
        </w:tc>
        <w:tc>
          <w:tcPr>
            <w:tcW w:type="dxa" w:w="1728"/>
          </w:tcPr>
          <w:p>
            <w:r>
              <w:rPr>
                <w:sz w:val="18"/>
              </w:rPr>
              <w:t>362,921 (3 CAL FIRE perimeters) vs 363,220, within 0.1%</w:t>
            </w:r>
          </w:p>
        </w:tc>
      </w:tr>
      <w:tr>
        <w:tc>
          <w:tcPr>
            <w:tcW w:type="dxa" w:w="1728"/>
          </w:tcPr>
          <w:p>
            <w:r>
              <w:rPr>
                <w:sz w:val="18"/>
              </w:rPr>
              <w:t>Satellite (FEDS) after growth stopped</w:t>
            </w:r>
          </w:p>
        </w:tc>
        <w:tc>
          <w:tcPr>
            <w:tcW w:type="dxa" w:w="1728"/>
          </w:tcPr>
          <w:p>
            <w:r>
              <w:rPr>
                <w:sz w:val="18"/>
              </w:rPr>
              <w:t>n/a</w:t>
            </w:r>
          </w:p>
        </w:tc>
        <w:tc>
          <w:tcPr>
            <w:tcW w:type="dxa" w:w="1728"/>
          </w:tcPr>
          <w:p>
            <w:r>
              <w:rPr>
                <w:sz w:val="18"/>
              </w:rPr>
              <w:t>249,434, about +9%</w:t>
            </w:r>
          </w:p>
        </w:tc>
        <w:tc>
          <w:tcPr>
            <w:tcW w:type="dxa" w:w="1728"/>
          </w:tcPr>
          <w:p>
            <w:r>
              <w:rPr>
                <w:sz w:val="18"/>
              </w:rPr>
              <w:t>150,087, about -2.1% (below)</w:t>
            </w:r>
          </w:p>
        </w:tc>
        <w:tc>
          <w:tcPr>
            <w:tcW w:type="dxa" w:w="1728"/>
          </w:tcPr>
          <w:p>
            <w:r>
              <w:rPr>
                <w:sz w:val="18"/>
              </w:rPr>
              <w:t>369,711 on 16 Sep, about +1.8%; later overpasses drop to 312,526 (not explained, treat as artifact)</w:t>
            </w:r>
          </w:p>
        </w:tc>
      </w:tr>
      <w:tr>
        <w:tc>
          <w:tcPr>
            <w:tcW w:type="dxa" w:w="1728"/>
          </w:tcPr>
          <w:p>
            <w:r>
              <w:rPr>
                <w:sz w:val="18"/>
              </w:rPr>
              <w:t>Same-day perimeter vs 209, median (p90)</w:t>
            </w:r>
          </w:p>
        </w:tc>
        <w:tc>
          <w:tcPr>
            <w:tcW w:type="dxa" w:w="1728"/>
          </w:tcPr>
          <w:p>
            <w:r>
              <w:rPr>
                <w:sz w:val="18"/>
              </w:rPr>
              <w:t>+2.3% (+26%)</w:t>
            </w:r>
          </w:p>
        </w:tc>
        <w:tc>
          <w:tcPr>
            <w:tcW w:type="dxa" w:w="1728"/>
          </w:tcPr>
          <w:p>
            <w:r>
              <w:rPr>
                <w:sz w:val="18"/>
              </w:rPr>
              <w:t>+3.2% (+13%)</w:t>
            </w:r>
          </w:p>
        </w:tc>
        <w:tc>
          <w:tcPr>
            <w:tcW w:type="dxa" w:w="1728"/>
          </w:tcPr>
          <w:p>
            <w:r>
              <w:rPr>
                <w:sz w:val="18"/>
              </w:rPr>
              <w:t>+3.5% (+21%)</w:t>
            </w:r>
          </w:p>
        </w:tc>
        <w:tc>
          <w:tcPr>
            <w:tcW w:type="dxa" w:w="1728"/>
          </w:tcPr>
          <w:p>
            <w:r>
              <w:rPr>
                <w:sz w:val="18"/>
              </w:rPr>
              <w:t>no GeoMAC</w:t>
            </w:r>
          </w:p>
        </w:tc>
      </w:tr>
      <w:tr>
        <w:tc>
          <w:tcPr>
            <w:tcW w:type="dxa" w:w="1728"/>
          </w:tcPr>
          <w:p>
            <w:r>
              <w:rPr>
                <w:sz w:val="18"/>
              </w:rPr>
              <w:t>Operational downward revision</w:t>
            </w:r>
          </w:p>
        </w:tc>
        <w:tc>
          <w:tcPr>
            <w:tcW w:type="dxa" w:w="1728"/>
          </w:tcPr>
          <w:p>
            <w:r>
              <w:rPr>
                <w:sz w:val="18"/>
              </w:rPr>
              <w:t>none</w:t>
            </w:r>
          </w:p>
        </w:tc>
        <w:tc>
          <w:tcPr>
            <w:tcW w:type="dxa" w:w="1728"/>
          </w:tcPr>
          <w:p>
            <w:r>
              <w:rPr>
                <w:sz w:val="18"/>
              </w:rPr>
              <w:t>none</w:t>
            </w:r>
          </w:p>
        </w:tc>
        <w:tc>
          <w:tcPr>
            <w:tcW w:type="dxa" w:w="1728"/>
          </w:tcPr>
          <w:p>
            <w:r>
              <w:rPr>
                <w:sz w:val="18"/>
              </w:rPr>
              <w:t>none (fatalities revised 87 to 85)</w:t>
            </w:r>
          </w:p>
        </w:tc>
        <w:tc>
          <w:tcPr>
            <w:tcW w:type="dxa" w:w="1728"/>
          </w:tcPr>
          <w:p>
            <w:r>
              <w:rPr>
                <w:sz w:val="18"/>
              </w:rPr>
              <w:t>375,209 to 363,220 (-3.2%) on 8 to 9 Sep, "more accurate mapping" (NICC narrative)</w:t>
            </w:r>
          </w:p>
        </w:tc>
      </w:tr>
    </w:tbl>
    <w:p/>
    <w:p>
      <w:r>
        <w:rPr>
          <w:b w:val="0"/>
          <w:i w:val="0"/>
        </w:rPr>
        <w:t>Final sizes agree closely once the fire is out. During the fire, the disagreement is mostly timing (the lag of 4.2) plus a satellite area bias that depends on fire and resolution. For model validation this means scoring against a time-matched perimeter, not against the 209 size of the same date, and treating FEDS area as biased by an amount and direction that have to be estimated per fire: high on Carr and LNU, slightly low on Camp (proposed).</w:t>
      </w:r>
    </w:p>
    <w:p>
      <w:pPr>
        <w:pStyle w:val="Heading2"/>
      </w:pPr>
      <w:r>
        <w:t>4.6 Data quality register (summary)</w:t>
      </w:r>
    </w:p>
    <w:p>
      <w:pPr>
        <w:pStyle w:val="ListBullet"/>
      </w:pPr>
      <w:r>
        <w:t>ICS-209-PLUS ACRES is cleaned and capped at the final size; on LNU 26 of 61 reports differ from the as-reported CURR_INCIDENT_AREA, hiding the 375,209 acre peak. Use the as-reported field for anything about real-time knowledge.</w:t>
      </w:r>
    </w:p>
    <w:p>
      <w:pPr>
        <w:pStyle w:val="ListBullet"/>
      </w:pPr>
      <w:r>
        <w:t>Personnel has two incompatible definitions: NICC counts all assigned people (peaks 2,065, 4,766, 5,615, 2,839 for Pioneer, Carr, Camp, LNU); the ICS-209-PLUS derived field is 3.4, 3.6, 2.3 and 2.8 times smaller at peak.</w:t>
      </w:r>
    </w:p>
    <w:p>
      <w:pPr>
        <w:pStyle w:val="ListBullet"/>
      </w:pPr>
      <w:r>
        <w:t>Cause disagrees across records: all four are U (undetermined or under investigation) in the 209s and NICC, while the Boise dispatch annual report gives Pioneer as human-caused and CAL FIRE codes all three LNU fires as lightning.</w:t>
      </w:r>
    </w:p>
    <w:p>
      <w:pPr>
        <w:pStyle w:val="ListBullet"/>
      </w:pPr>
      <w:r>
        <w:t>Structures damaged totals track structures destroyed almost exactly on Carr, Camp and LNU while residential damaged is far lower; treat the damaged totals as suspect.</w:t>
      </w:r>
    </w:p>
    <w:p>
      <w:pPr>
        <w:pStyle w:val="ListBullet"/>
      </w:pPr>
      <w:r>
        <w:t>Reporting gaps: the LNU 209 series jumps from 16 to 30 September; Pioneer has a 169 h gap in October. Transcription errors exist in NICC PDFs (personnel printed as 1.506 and 3.831).</w:t>
      </w:r>
    </w:p>
    <w:p>
      <w:pPr>
        <w:pStyle w:val="ListBullet"/>
      </w:pPr>
      <w:r>
        <w:t>Camp's 209 discovery time is 08:29, two hours after the 06:29 start CAL FIRE reports; NIST places first observations between 06:25 and 06:40 [Maranghides et al 2021, p.19]. A T_detect anchor taken from the 209 would be two hours late.</w:t>
      </w:r>
    </w:p>
    <w:p>
      <w:pPr>
        <w:pStyle w:val="ListBullet"/>
      </w:pPr>
      <w:r>
        <w:t>Structure loss is reported with a lag of days to weeks: NICC listed 0 structures lost for Camp on 9 November and reached 18,804 only on 30 November as damage inspection caught up. Structure counts are not usable as a real-time signal.</w:t>
      </w:r>
    </w:p>
    <w:p>
      <w:pPr>
        <w:pStyle w:val="Heading1"/>
      </w:pPr>
      <w:r>
        <w:t>5. Quantities of interest</w:t>
      </w:r>
    </w:p>
    <w:p>
      <w:pPr>
        <w:pStyle w:val="Heading2"/>
      </w:pPr>
      <w:r>
        <w:t>5.1 Crew safety (M3)</w:t>
      </w:r>
    </w:p>
    <w:p>
      <w:pPr>
        <w:pStyle w:val="ListBullet"/>
      </w:pPr>
      <w:r>
        <w:t>Safety margin M = T_fire - (T_detect + T_notify + T_egress) (proposed definition, unchanged from v0.1).</w:t>
      </w:r>
    </w:p>
    <w:p>
      <w:pPr>
        <w:pStyle w:val="ListBullet"/>
      </w:pPr>
      <w:r>
        <w:t>Primary metric P(M &lt; 0); secondary the 5th percentile of M and expected warning lead time.</w:t>
      </w:r>
    </w:p>
    <w:p>
      <w:pPr>
        <w:pStyle w:val="ListBullet"/>
      </w:pPr>
      <w:r>
        <w:t>New: information age at decision, the age of the newest fire size or perimeter available to the crew boss, with the case study baseline of roughly one day for official size and a median 17 to 19 h between perimeters.</w:t>
      </w:r>
    </w:p>
    <w:p>
      <w:pPr>
        <w:pStyle w:val="Heading2"/>
      </w:pPr>
      <w:r>
        <w:t>5.2 Logistics (M5)</w:t>
      </w:r>
    </w:p>
    <w:p>
      <w:pPr>
        <w:pStyle w:val="ListBullet"/>
      </w:pPr>
      <w:r>
        <w:t>P(on time), sortie turnaround p50 and p90, P(abort), link-loss minutes per sortie (unchanged).</w:t>
      </w:r>
    </w:p>
    <w:p>
      <w:pPr>
        <w:pStyle w:val="ListBullet"/>
      </w:pPr>
      <w:r>
        <w:t>New: demand scale from recorded resources (NICC, Pioneer / Carr / Camp / LNU). Median assigned personnel 1,065 / 3,388 / 4,736 / 1,573; median crews 26 / 54 / 86 / 18; median helicopters 9 / 12 / 21 / 8. Crews per helicopter, a first proxy for how many crews one aerial delivery asset would serve, had medians of 2.7 / 4.5 / 4.0 / 2.0.</w:t>
      </w:r>
    </w:p>
    <w:p>
      <w:pPr>
        <w:pStyle w:val="Heading2"/>
      </w:pPr>
      <w:r>
        <w:t>5.3 Suppression (M4)</w:t>
      </w:r>
    </w:p>
    <w:p>
      <w:r>
        <w:rPr>
          <w:b w:val="0"/>
          <w:i w:val="0"/>
        </w:rPr>
        <w:t>Still out of scope: no drone in the library has flown water drops [Boroujeni et al 2024, p.38]. The NICC records give helicopter-days on each incident (Pioneer 634, Carr 395, Camp 193, LNU 273) as a scale for any future M4 comparison.</w:t>
      </w:r>
    </w:p>
    <w:p>
      <w:pPr>
        <w:pStyle w:val="Heading1"/>
      </w:pPr>
      <w:r>
        <w:t>6. Methods</w:t>
      </w:r>
    </w:p>
    <w:p>
      <w:r>
        <w:rPr>
          <w:b w:val="0"/>
          <w:i w:val="0"/>
        </w:rPr>
        <w:t>Sections 6.1 to 6.6 keep the v0.1 methods; changes are noted.</w:t>
      </w:r>
    </w:p>
    <w:p>
      <w:pPr>
        <w:pStyle w:val="Heading2"/>
      </w:pPr>
      <w:r>
        <w:t>6.1 Ensemble fire spread with correlated perturbations</w:t>
      </w:r>
    </w:p>
    <w:p>
      <w:r>
        <w:rPr>
          <w:b w:val="0"/>
          <w:i w:val="0"/>
        </w:rPr>
        <w:t>Ensembles in ELMFIRE or GridFire with spatially correlated perturbations of fuel, wind and moisture [Pyregence Consortium n.d. GridFire, p.113]; ELMFIRE and GridFire suit extended attack, FARSITE short horizons [Altintas 2025, p.8]. Change: ensembles are scored separately on blowup days (Section 4.4).</w:t>
      </w:r>
    </w:p>
    <w:p>
      <w:pPr>
        <w:pStyle w:val="Heading2"/>
      </w:pPr>
      <w:r>
        <w:t>6.2 Empirical model-error and observation-error layers</w:t>
      </w:r>
    </w:p>
    <w:p>
      <w:r>
        <w:rPr>
          <w:b w:val="0"/>
          <w:i w:val="0"/>
        </w:rPr>
        <w:t>v0.1 added a model residual by fuel group using Cardil's MAE, MBE and MAPE [Cardil et al 2023, pp.5-6], with the timber underprediction bias carried forward [Cardil et al 2023, p.7]. v0.2 added a separate observation-error layer for the records used to score the model: a lag (one reporting cycle), a blowup-day shortfall, and a satellite area bias, each with the empirical ranges in the Uncertainty Register (U12 to U15). Keeping the two layers separate is what RQ5 asks for (proposed).</w:t>
      </w:r>
    </w:p>
    <w:p>
      <w:pPr>
        <w:pStyle w:val="Heading2"/>
      </w:pPr>
      <w:r>
        <w:t>6.3 Data assimilation as the lever for RQ4</w:t>
      </w:r>
    </w:p>
    <w:p>
      <w:r>
        <w:rPr>
          <w:b w:val="0"/>
          <w:i w:val="0"/>
        </w:rPr>
        <w:t>Particle filters assimilate observations into spread models [Boroujeni et al 2024, p.46], and perimeter initialisation strongly affects forecast error [Kochanski et al 2023, p.12]. Change: the cadence levels are now the observed ones. Baseline A is the official record (one day of lag); baseline B is the perimeter record (median 17 to 19 h, a quarter of gaps over a day on Pioneer); baseline C is satellite (12 h, biased area); the 24/7 aerial case is 30 minutes. The experiment measures how much the spread of T_fire shrinks from A to the aerial case.</w:t>
      </w:r>
    </w:p>
    <w:p>
      <w:pPr>
        <w:pStyle w:val="Heading2"/>
      </w:pPr>
      <w:r>
        <w:t>6.4 Stochastic operations simulation for logistics</w:t>
      </w:r>
    </w:p>
    <w:p>
      <w:r>
        <w:rPr>
          <w:b w:val="0"/>
          <w:i w:val="0"/>
        </w:rPr>
        <w:t>Discrete-event sorties (dispatch, transit, rendezvous, drop, return, recharge) with random wind availability, link success from PAMS [Wu et al 2025, pp.9-10] and reroute requests from the ConOps logic [NASA ACERO ConOps 2026, p.19]. Change: the demand side is driven by the recorded daily crew counts from the NICC sheets, so the simulation runs against a real incident's ramp up and ramp down instead of a constant crew number.</w:t>
      </w:r>
    </w:p>
    <w:p>
      <w:pPr>
        <w:pStyle w:val="Heading2"/>
      </w:pPr>
      <w:r>
        <w:t>6.5 Expert elicitation</w:t>
      </w:r>
    </w:p>
    <w:p>
      <w:r>
        <w:rPr>
          <w:b w:val="0"/>
          <w:i w:val="0"/>
        </w:rPr>
        <w:t>PERT distributions from practitioner minimum, most likely and maximum [Hope et al 2024, pp.7-8]. Still needed for notification latency, delivery window tolerance and human factor delays. Egress now has published travel-rate models in the research data (Sullivan 2020; Campbell 2017 and 2019), so elicitation for egress becomes a check.</w:t>
      </w:r>
    </w:p>
    <w:p>
      <w:pPr>
        <w:pStyle w:val="Heading2"/>
      </w:pPr>
      <w:r>
        <w:t>6.6 Sensitivity analysis</w:t>
      </w:r>
    </w:p>
    <w:p>
      <w:r>
        <w:rPr>
          <w:b w:val="0"/>
          <w:i w:val="0"/>
        </w:rPr>
        <w:t>One-at-a-time first pass, then Sobol indices with an emulator (general practice). Prior ordering for ROS: fuel type, wind, moisture [Cardil et al 2023, p.6]. New check: whether information age (U5, U12) outranks fuel type for P(M&lt;0) on blowup days.</w:t>
      </w:r>
    </w:p>
    <w:p>
      <w:pPr>
        <w:pStyle w:val="Heading1"/>
      </w:pPr>
      <w:r>
        <w:t>7. Experiment and simulation design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sz w:val="18"/>
              </w:rPr>
            </w:r>
            <w:r>
              <w:rPr>
                <w:b/>
                <w:sz w:val="18"/>
              </w:rPr>
              <w:t>Factor</w:t>
            </w:r>
          </w:p>
        </w:tc>
        <w:tc>
          <w:tcPr>
            <w:tcW w:type="dxa" w:w="2880"/>
          </w:tcPr>
          <w:p>
            <w:r>
              <w:rPr>
                <w:sz w:val="18"/>
              </w:rPr>
            </w:r>
            <w:r>
              <w:rPr>
                <w:b/>
                <w:sz w:val="18"/>
              </w:rPr>
              <w:t>Levels</w:t>
            </w:r>
          </w:p>
        </w:tc>
        <w:tc>
          <w:tcPr>
            <w:tcW w:type="dxa" w:w="2880"/>
          </w:tcPr>
          <w:p>
            <w:r>
              <w:rPr>
                <w:sz w:val="18"/>
              </w:rPr>
            </w:r>
            <w:r>
              <w:rPr>
                <w:b/>
                <w:sz w:val="18"/>
              </w:rPr>
              <w:t>Basis</w:t>
            </w:r>
          </w:p>
        </w:tc>
      </w:tr>
      <w:tr>
        <w:tc>
          <w:tcPr>
            <w:tcW w:type="dxa" w:w="2880"/>
          </w:tcPr>
          <w:p>
            <w:r>
              <w:rPr>
                <w:sz w:val="18"/>
              </w:rPr>
              <w:t>Fire case</w:t>
            </w:r>
          </w:p>
        </w:tc>
        <w:tc>
          <w:tcPr>
            <w:tcW w:type="dxa" w:w="2880"/>
          </w:tcPr>
          <w:p>
            <w:r>
              <w:rPr>
                <w:sz w:val="18"/>
              </w:rPr>
              <w:t>Camp 2018 (validation); Carr 2018 (validation); Pioneer 2016 (long timber); LNU 2020 (complex, extreme early growth)</w:t>
            </w:r>
          </w:p>
        </w:tc>
        <w:tc>
          <w:tcPr>
            <w:tcW w:type="dxa" w:w="2880"/>
          </w:tcPr>
          <w:p>
            <w:r>
              <w:rPr>
                <w:sz w:val="18"/>
              </w:rPr>
              <w:t>Case study roles, Section 4.4</w:t>
            </w:r>
          </w:p>
        </w:tc>
      </w:tr>
      <w:tr>
        <w:tc>
          <w:tcPr>
            <w:tcW w:type="dxa" w:w="2880"/>
          </w:tcPr>
          <w:p>
            <w:r>
              <w:rPr>
                <w:sz w:val="18"/>
              </w:rPr>
              <w:t>Time of day / visibility</w:t>
            </w:r>
          </w:p>
        </w:tc>
        <w:tc>
          <w:tcPr>
            <w:tcW w:type="dxa" w:w="2880"/>
          </w:tcPr>
          <w:p>
            <w:r>
              <w:rPr>
                <w:sz w:val="18"/>
              </w:rPr>
              <w:t>Day VMC; night DVE; smoke DVE</w:t>
            </w:r>
          </w:p>
        </w:tc>
        <w:tc>
          <w:tcPr>
            <w:tcW w:type="dxa" w:w="2880"/>
          </w:tcPr>
          <w:p>
            <w:r>
              <w:rPr>
                <w:sz w:val="18"/>
              </w:rPr>
              <w:t>Crewed window about 30% of 24 h [NASA ACERO ConOps 2026, pp.30-31]</w:t>
            </w:r>
          </w:p>
        </w:tc>
      </w:tr>
      <w:tr>
        <w:tc>
          <w:tcPr>
            <w:tcW w:type="dxa" w:w="2880"/>
          </w:tcPr>
          <w:p>
            <w:r>
              <w:rPr>
                <w:sz w:val="18"/>
              </w:rPr>
              <w:t>Information cadence</w:t>
            </w:r>
          </w:p>
        </w:tc>
        <w:tc>
          <w:tcPr>
            <w:tcW w:type="dxa" w:w="2880"/>
          </w:tcPr>
          <w:p>
            <w:r>
              <w:rPr>
                <w:sz w:val="18"/>
              </w:rPr>
              <w:t>Official record (about 24 h lag); perimeter record (median 17 to 19 h); satellite 12 h; aerial 30 min</w:t>
            </w:r>
          </w:p>
        </w:tc>
        <w:tc>
          <w:tcPr>
            <w:tcW w:type="dxa" w:w="2880"/>
          </w:tcPr>
          <w:p>
            <w:r>
              <w:rPr>
                <w:sz w:val="18"/>
              </w:rPr>
              <w:t>Section 4.2 and cadence sheet</w:t>
            </w:r>
          </w:p>
        </w:tc>
      </w:tr>
      <w:tr>
        <w:tc>
          <w:tcPr>
            <w:tcW w:type="dxa" w:w="2880"/>
          </w:tcPr>
          <w:p>
            <w:r>
              <w:rPr>
                <w:sz w:val="18"/>
              </w:rPr>
              <w:t>Network reliability</w:t>
            </w:r>
          </w:p>
        </w:tc>
        <w:tc>
          <w:tcPr>
            <w:tcW w:type="dxa" w:w="2880"/>
          </w:tcPr>
          <w:p>
            <w:r>
              <w:rPr>
                <w:sz w:val="18"/>
              </w:rPr>
              <w:t>52%; 87%; 95% message success</w:t>
            </w:r>
          </w:p>
        </w:tc>
        <w:tc>
          <w:tcPr>
            <w:tcW w:type="dxa" w:w="2880"/>
          </w:tcPr>
          <w:p>
            <w:r>
              <w:rPr>
                <w:sz w:val="18"/>
              </w:rPr>
              <w:t>[Wu et al 2025, pp.9-10]</w:t>
            </w:r>
          </w:p>
        </w:tc>
      </w:tr>
      <w:tr>
        <w:tc>
          <w:tcPr>
            <w:tcW w:type="dxa" w:w="2880"/>
          </w:tcPr>
          <w:p>
            <w:r>
              <w:rPr>
                <w:sz w:val="18"/>
              </w:rPr>
              <w:t>Model</w:t>
            </w:r>
          </w:p>
        </w:tc>
        <w:tc>
          <w:tcPr>
            <w:tcW w:type="dxa" w:w="2880"/>
          </w:tcPr>
          <w:p>
            <w:r>
              <w:rPr>
                <w:sz w:val="18"/>
              </w:rPr>
              <w:t>ELMFIRE; GridFire</w:t>
            </w:r>
          </w:p>
        </w:tc>
        <w:tc>
          <w:tcPr>
            <w:tcW w:type="dxa" w:w="2880"/>
          </w:tcPr>
          <w:p>
            <w:r>
              <w:rPr>
                <w:sz w:val="18"/>
              </w:rPr>
              <w:t>[Altintas 2025, p.8]</w:t>
            </w:r>
          </w:p>
        </w:tc>
      </w:tr>
      <w:tr>
        <w:tc>
          <w:tcPr>
            <w:tcW w:type="dxa" w:w="2880"/>
          </w:tcPr>
          <w:p>
            <w:r>
              <w:rPr>
                <w:sz w:val="18"/>
              </w:rPr>
              <w:t>Demand profile (M5)</w:t>
            </w:r>
          </w:p>
        </w:tc>
        <w:tc>
          <w:tcPr>
            <w:tcW w:type="dxa" w:w="2880"/>
          </w:tcPr>
          <w:p>
            <w:r>
              <w:rPr>
                <w:sz w:val="18"/>
              </w:rPr>
              <w:t>Recorded daily crews per fire</w:t>
            </w:r>
          </w:p>
        </w:tc>
        <w:tc>
          <w:tcPr>
            <w:tcW w:type="dxa" w:w="2880"/>
          </w:tcPr>
          <w:p>
            <w:r>
              <w:rPr>
                <w:sz w:val="18"/>
              </w:rPr>
              <w:t>NICC Daily IMSR sheets</w:t>
            </w:r>
          </w:p>
        </w:tc>
      </w:tr>
    </w:tbl>
    <w:p/>
    <w:p>
      <w:r>
        <w:rPr>
          <w:b w:val="0"/>
          <w:i w:val="0"/>
        </w:rPr>
        <w:t>A full factorial is 4 x 3 x 4 x 3 x 2 = 288 cells before demand profiles. Start with a fractional design or Latin hypercube (general practice), running Carr 26 July and Camp 8 November first, since both have timed entrapment events.</w:t>
      </w:r>
    </w:p>
    <w:p>
      <w:pPr>
        <w:pStyle w:val="Heading2"/>
      </w:pPr>
      <w:r>
        <w:t>7.1 Validation</w:t>
      </w:r>
    </w:p>
    <w:p>
      <w:r>
        <w:rPr>
          <w:b w:val="0"/>
          <w:i w:val="0"/>
        </w:rPr>
        <w:t>Camp: NIST minute-level progression and 19 burnovers [Maranghides et al 2021, p.148]. Carr: timed aerial warning (18:38) and mayday (19:40) on 26 July from the CAL FIRE Green Sheet, plus 63 GeoMAC and 88 FEDS perimeters. Pioneer and LNU have no firefighter entrapment in one day's search (Research Data Index), so they validate spread and information age, not P(M&lt;0). Forecasts are scored against time-matched perimeters with the observation-error layer applied, and P(M&lt;0) is checked for elevation where burnovers occurred.</w:t>
      </w:r>
    </w:p>
    <w:p>
      <w:pPr>
        <w:pStyle w:val="Heading1"/>
      </w:pPr>
      <w:r>
        <w:t>8. Preliminary feasibility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sz w:val="18"/>
              </w:rPr>
            </w:r>
            <w:r>
              <w:rPr>
                <w:b/>
                <w:sz w:val="18"/>
              </w:rPr>
              <w:t>Component</w:t>
            </w:r>
          </w:p>
        </w:tc>
        <w:tc>
          <w:tcPr>
            <w:tcW w:type="dxa" w:w="2160"/>
          </w:tcPr>
          <w:p>
            <w:r>
              <w:rPr>
                <w:sz w:val="18"/>
              </w:rPr>
            </w:r>
            <w:r>
              <w:rPr>
                <w:b/>
                <w:sz w:val="18"/>
              </w:rPr>
              <w:t>Data and tools on hand</w:t>
            </w:r>
          </w:p>
        </w:tc>
        <w:tc>
          <w:tcPr>
            <w:tcW w:type="dxa" w:w="2160"/>
          </w:tcPr>
          <w:p>
            <w:r>
              <w:rPr>
                <w:sz w:val="18"/>
              </w:rPr>
            </w:r>
            <w:r>
              <w:rPr>
                <w:b/>
                <w:sz w:val="18"/>
              </w:rPr>
              <w:t>Main risk</w:t>
            </w:r>
          </w:p>
        </w:tc>
        <w:tc>
          <w:tcPr>
            <w:tcW w:type="dxa" w:w="2160"/>
          </w:tcPr>
          <w:p>
            <w:r>
              <w:rPr>
                <w:sz w:val="18"/>
              </w:rPr>
            </w:r>
            <w:r>
              <w:rPr>
                <w:b/>
                <w:sz w:val="18"/>
              </w:rPr>
              <w:t>Verdict</w:t>
            </w:r>
          </w:p>
        </w:tc>
      </w:tr>
      <w:tr>
        <w:tc>
          <w:tcPr>
            <w:tcW w:type="dxa" w:w="2160"/>
          </w:tcPr>
          <w:p>
            <w:r>
              <w:rPr>
                <w:sz w:val="18"/>
              </w:rPr>
              <w:t>Ensemble spread</w:t>
            </w:r>
          </w:p>
        </w:tc>
        <w:tc>
          <w:tcPr>
            <w:tcW w:type="dxa" w:w="2160"/>
          </w:tcPr>
          <w:p>
            <w:r>
              <w:rPr>
                <w:sz w:val="18"/>
              </w:rPr>
              <w:t>ELMFIRE, GridFire; perimeters for all four fires</w:t>
            </w:r>
          </w:p>
        </w:tc>
        <w:tc>
          <w:tcPr>
            <w:tcW w:type="dxa" w:w="2160"/>
          </w:tcPr>
          <w:p>
            <w:r>
              <w:rPr>
                <w:sz w:val="18"/>
              </w:rPr>
              <w:t>Compute cost; restart support unconfirmed</w:t>
            </w:r>
          </w:p>
        </w:tc>
        <w:tc>
          <w:tcPr>
            <w:tcW w:type="dxa" w:w="2160"/>
          </w:tcPr>
          <w:p>
            <w:r>
              <w:rPr>
                <w:sz w:val="18"/>
              </w:rPr>
              <w:t>Feasible now</w:t>
            </w:r>
          </w:p>
        </w:tc>
      </w:tr>
      <w:tr>
        <w:tc>
          <w:tcPr>
            <w:tcW w:type="dxa" w:w="2160"/>
          </w:tcPr>
          <w:p>
            <w:r>
              <w:rPr>
                <w:sz w:val="18"/>
              </w:rPr>
              <w:t>Model-error layer</w:t>
            </w:r>
          </w:p>
        </w:tc>
        <w:tc>
          <w:tcPr>
            <w:tcW w:type="dxa" w:w="2160"/>
          </w:tcPr>
          <w:p>
            <w:r>
              <w:rPr>
                <w:sz w:val="18"/>
              </w:rPr>
              <w:t>Cardil residuals by fuel group</w:t>
            </w:r>
          </w:p>
        </w:tc>
        <w:tc>
          <w:tcPr>
            <w:tcW w:type="dxa" w:w="2160"/>
          </w:tcPr>
          <w:p>
            <w:r>
              <w:rPr>
                <w:sz w:val="18"/>
              </w:rPr>
              <w:t>California sample; Pioneer is Idaho timber</w:t>
            </w:r>
          </w:p>
        </w:tc>
        <w:tc>
          <w:tcPr>
            <w:tcW w:type="dxa" w:w="2160"/>
          </w:tcPr>
          <w:p>
            <w:r>
              <w:rPr>
                <w:sz w:val="18"/>
              </w:rPr>
              <w:t>Feasible now</w:t>
            </w:r>
          </w:p>
        </w:tc>
      </w:tr>
      <w:tr>
        <w:tc>
          <w:tcPr>
            <w:tcW w:type="dxa" w:w="2160"/>
          </w:tcPr>
          <w:p>
            <w:r>
              <w:rPr>
                <w:sz w:val="18"/>
              </w:rPr>
              <w:t>Observation-error layer</w:t>
            </w:r>
          </w:p>
        </w:tc>
        <w:tc>
          <w:tcPr>
            <w:tcW w:type="dxa" w:w="2160"/>
          </w:tcPr>
          <w:p>
            <w:r>
              <w:rPr>
                <w:sz w:val="18"/>
              </w:rPr>
              <w:t>This evaluation: lag, shortfall, satellite bias</w:t>
            </w:r>
          </w:p>
        </w:tc>
        <w:tc>
          <w:tcPr>
            <w:tcW w:type="dxa" w:w="2160"/>
          </w:tcPr>
          <w:p>
            <w:r>
              <w:rPr>
                <w:sz w:val="18"/>
              </w:rPr>
              <w:t>Four fires only; no GeoMAC for LNU</w:t>
            </w:r>
          </w:p>
        </w:tc>
        <w:tc>
          <w:tcPr>
            <w:tcW w:type="dxa" w:w="2160"/>
          </w:tcPr>
          <w:p>
            <w:r>
              <w:rPr>
                <w:sz w:val="18"/>
              </w:rPr>
              <w:t>Feasible now</w:t>
            </w:r>
          </w:p>
        </w:tc>
      </w:tr>
      <w:tr>
        <w:tc>
          <w:tcPr>
            <w:tcW w:type="dxa" w:w="2160"/>
          </w:tcPr>
          <w:p>
            <w:r>
              <w:rPr>
                <w:sz w:val="18"/>
              </w:rPr>
              <w:t>Data assimilation</w:t>
            </w:r>
          </w:p>
        </w:tc>
        <w:tc>
          <w:tcPr>
            <w:tcW w:type="dxa" w:w="2160"/>
          </w:tcPr>
          <w:p>
            <w:r>
              <w:rPr>
                <w:sz w:val="18"/>
              </w:rPr>
              <w:t>Perimeter histories at observed cadence</w:t>
            </w:r>
          </w:p>
        </w:tc>
        <w:tc>
          <w:tcPr>
            <w:tcW w:type="dxa" w:w="2160"/>
          </w:tcPr>
          <w:p>
            <w:r>
              <w:rPr>
                <w:sz w:val="18"/>
              </w:rPr>
              <w:t>Engineering effort</w:t>
            </w:r>
          </w:p>
        </w:tc>
        <w:tc>
          <w:tcPr>
            <w:tcW w:type="dxa" w:w="2160"/>
          </w:tcPr>
          <w:p>
            <w:r>
              <w:rPr>
                <w:sz w:val="18"/>
              </w:rPr>
              <w:t>Feasible, higher effort</w:t>
            </w:r>
          </w:p>
        </w:tc>
      </w:tr>
      <w:tr>
        <w:tc>
          <w:tcPr>
            <w:tcW w:type="dxa" w:w="2160"/>
          </w:tcPr>
          <w:p>
            <w:r>
              <w:rPr>
                <w:sz w:val="18"/>
              </w:rPr>
              <w:t>Logistics DES</w:t>
            </w:r>
          </w:p>
        </w:tc>
        <w:tc>
          <w:tcPr>
            <w:tcW w:type="dxa" w:w="2160"/>
          </w:tcPr>
          <w:p>
            <w:r>
              <w:rPr>
                <w:sz w:val="18"/>
              </w:rPr>
              <w:t>NICC daily crews and helicopters; PAMS link priors</w:t>
            </w:r>
          </w:p>
        </w:tc>
        <w:tc>
          <w:tcPr>
            <w:tcW w:type="dxa" w:w="2160"/>
          </w:tcPr>
          <w:p>
            <w:r>
              <w:rPr>
                <w:sz w:val="18"/>
              </w:rPr>
              <w:t>No flown delivery data</w:t>
            </w:r>
          </w:p>
        </w:tc>
        <w:tc>
          <w:tcPr>
            <w:tcW w:type="dxa" w:w="2160"/>
          </w:tcPr>
          <w:p>
            <w:r>
              <w:rPr>
                <w:sz w:val="18"/>
              </w:rPr>
              <w:t>Feasible with elicited priors</w:t>
            </w:r>
          </w:p>
        </w:tc>
      </w:tr>
      <w:tr>
        <w:tc>
          <w:tcPr>
            <w:tcW w:type="dxa" w:w="2160"/>
          </w:tcPr>
          <w:p>
            <w:r>
              <w:rPr>
                <w:sz w:val="18"/>
              </w:rPr>
              <w:t>Validation of P(M&lt;0)</w:t>
            </w:r>
          </w:p>
        </w:tc>
        <w:tc>
          <w:tcPr>
            <w:tcW w:type="dxa" w:w="2160"/>
          </w:tcPr>
          <w:p>
            <w:r>
              <w:rPr>
                <w:sz w:val="18"/>
              </w:rPr>
              <w:t>Camp burnovers; Carr timed warning and mayday</w:t>
            </w:r>
          </w:p>
        </w:tc>
        <w:tc>
          <w:tcPr>
            <w:tcW w:type="dxa" w:w="2160"/>
          </w:tcPr>
          <w:p>
            <w:r>
              <w:rPr>
                <w:sz w:val="18"/>
              </w:rPr>
              <w:t>Two events with full timing</w:t>
            </w:r>
          </w:p>
        </w:tc>
        <w:tc>
          <w:tcPr>
            <w:tcW w:type="dxa" w:w="2160"/>
          </w:tcPr>
          <w:p>
            <w:r>
              <w:rPr>
                <w:sz w:val="18"/>
              </w:rPr>
              <w:t>Feasible, thin</w:t>
            </w:r>
          </w:p>
        </w:tc>
      </w:tr>
      <w:tr>
        <w:tc>
          <w:tcPr>
            <w:tcW w:type="dxa" w:w="2160"/>
          </w:tcPr>
          <w:p>
            <w:r>
              <w:rPr>
                <w:sz w:val="18"/>
              </w:rPr>
              <w:t>Archive quality</w:t>
            </w:r>
          </w:p>
        </w:tc>
        <w:tc>
          <w:tcPr>
            <w:tcW w:type="dxa" w:w="2160"/>
          </w:tcPr>
          <w:p>
            <w:r>
              <w:rPr>
                <w:sz w:val="18"/>
              </w:rPr>
              <w:t>Errors found and logged</w:t>
            </w:r>
          </w:p>
        </w:tc>
        <w:tc>
          <w:tcPr>
            <w:tcW w:type="dxa" w:w="2160"/>
          </w:tcPr>
          <w:p>
            <w:r>
              <w:rPr>
                <w:sz w:val="18"/>
              </w:rPr>
              <w:t>Silent errors in cleaned fields</w:t>
            </w:r>
          </w:p>
        </w:tc>
        <w:tc>
          <w:tcPr>
            <w:tcW w:type="dxa" w:w="2160"/>
          </w:tcPr>
          <w:p>
            <w:r>
              <w:rPr>
                <w:sz w:val="18"/>
              </w:rPr>
              <w:t>Fix database before analysis</w:t>
            </w:r>
          </w:p>
        </w:tc>
      </w:tr>
    </w:tbl>
    <w:p/>
    <w:p>
      <w:pPr>
        <w:pStyle w:val="Heading1"/>
      </w:pPr>
      <w:r>
        <w:t>9. Limitations</w:t>
      </w:r>
    </w:p>
    <w:p>
      <w:pPr>
        <w:pStyle w:val="ListBullet"/>
      </w:pPr>
      <w:r>
        <w:t>Four fires is a small sample; the lag and shortfall figures describe these incidents, not a national rate.</w:t>
      </w:r>
    </w:p>
    <w:p>
      <w:pPr>
        <w:pStyle w:val="ListBullet"/>
      </w:pPr>
      <w:r>
        <w:t>The national situation report is derived from the 209, so the sources are not independent; true size uncertainty during growth is only bounded by the perimeter and satellite records, which have their own errors.</w:t>
      </w:r>
    </w:p>
    <w:p>
      <w:pPr>
        <w:pStyle w:val="ListBullet"/>
      </w:pPr>
      <w:r>
        <w:t>FEDS satellite perimeters are biased by pixel size and show an unexplained late drop on LNU.</w:t>
      </w:r>
    </w:p>
    <w:p>
      <w:pPr>
        <w:pStyle w:val="ListBullet"/>
      </w:pPr>
      <w:r>
        <w:t>The latency analysis compares calendar-day records in local time; exact report times would sharpen it.</w:t>
      </w:r>
    </w:p>
    <w:p>
      <w:pPr>
        <w:pStyle w:val="ListBullet"/>
      </w:pPr>
      <w:r>
        <w:t>The "no entrapment found" results for Pioneer and LNU come from one day of searching (30 September 2026).</w:t>
      </w:r>
    </w:p>
    <w:p>
      <w:pPr>
        <w:pStyle w:val="ListBullet"/>
      </w:pPr>
      <w:r>
        <w:t>Novelty is not assessed. Run the dated literature gate before any proposal language says this is new.</w:t>
      </w:r>
    </w:p>
    <w:p>
      <w:pPr>
        <w:pStyle w:val="Heading1"/>
      </w:pPr>
      <w:r>
        <w:t>10. Next steps</w:t>
      </w:r>
    </w:p>
    <w:p>
      <w:pPr>
        <w:pStyle w:val="ListNumber"/>
      </w:pPr>
      <w:r>
        <w:t>Team agrees on P(M&lt;0) and P(on time) as headline metrics and on information age as a reported covariate.</w:t>
      </w:r>
    </w:p>
    <w:p>
      <w:pPr>
        <w:pStyle w:val="ListNumber"/>
      </w:pPr>
      <w:r>
        <w:t>Build the observation-error layer from the Uncertainty Register (U12 to U15) and apply it to Camp and Carr scoring.</w:t>
      </w:r>
    </w:p>
    <w:p>
      <w:pPr>
        <w:pStyle w:val="ListNumber"/>
      </w:pPr>
      <w:r>
        <w:t>Run a 100-member ELMFIRE ensemble for Carr 26 July and Camp 8 November, day and night, at the four cadence levels.</w:t>
      </w:r>
    </w:p>
    <w:p>
      <w:pPr>
        <w:pStyle w:val="ListNumber"/>
      </w:pPr>
      <w:r>
        <w:t>Drive the logistics DES with Carr's recorded daily crew counts; compare 52% and 95% link success.</w:t>
      </w:r>
    </w:p>
    <w:p>
      <w:pPr>
        <w:pStyle w:val="ListNumber"/>
      </w:pPr>
      <w:r>
        <w:t>Pursue the FOIA request for Pioneer dispatch and radio records for T_notify evidence; request NIROPS access for night perimeters.</w:t>
      </w:r>
    </w:p>
    <w:p>
      <w:pPr>
        <w:pStyle w:val="ListNumber"/>
      </w:pPr>
      <w:r>
        <w:t>Run the literature gate on observation error in operational fire records before any novelty claim.</w:t>
      </w:r>
    </w:p>
    <w:p>
      <w:pPr>
        <w:pStyle w:val="Heading1"/>
      </w:pPr>
      <w:r>
        <w:t>References (project library)</w:t>
      </w:r>
    </w:p>
    <w:p>
      <w:pPr>
        <w:pStyle w:val="ListBullet"/>
      </w:pPr>
      <w:r>
        <w:t>Altintas 2025. Actionable fire modeling in Firemap for extended attack decision support.</w:t>
      </w:r>
    </w:p>
    <w:p>
      <w:pPr>
        <w:pStyle w:val="ListBullet"/>
      </w:pPr>
      <w:r>
        <w:t>Boroujeni et al 2024. A comprehensive survey of research towards AI-enabled unmanned aerial systems in pre-, active-, and post-wildfire management.</w:t>
      </w:r>
    </w:p>
    <w:p>
      <w:pPr>
        <w:pStyle w:val="ListBullet"/>
      </w:pPr>
      <w:r>
        <w:t>Cardil et al 2023. Performance of operational fire spread models in California. International Journal of Wildland Fire.</w:t>
      </w:r>
    </w:p>
    <w:p>
      <w:pPr>
        <w:pStyle w:val="ListBullet"/>
      </w:pPr>
      <w:r>
        <w:t>Hope et al 2024. A cost-benefit analysis of WildFireSat, a wildfire monitoring satellite mission for Canada. PLOS ONE.</w:t>
      </w:r>
    </w:p>
    <w:p>
      <w:pPr>
        <w:pStyle w:val="ListBullet"/>
      </w:pPr>
      <w:r>
        <w:t>Kochanski et al 2023. Analysis of methods for assimilating fire perimeters into a coupled fire-atmosphere model.</w:t>
      </w:r>
    </w:p>
    <w:p>
      <w:pPr>
        <w:pStyle w:val="ListBullet"/>
      </w:pPr>
      <w:r>
        <w:t>Maranghides et al 2021. A case study of the Camp Fire: Fire progression timeline. NIST TN 2135.</w:t>
      </w:r>
    </w:p>
    <w:p>
      <w:pPr>
        <w:pStyle w:val="ListBullet"/>
      </w:pPr>
      <w:r>
        <w:t>NASA ACERO ConOps 2026. Kopardekar et al. 24/7 Wildland Fire Aerial Operations Airspace Management System ConOps.</w:t>
      </w:r>
    </w:p>
    <w:p>
      <w:pPr>
        <w:pStyle w:val="ListBullet"/>
      </w:pPr>
      <w:r>
        <w:t>NWCG 2025. Standards for fire unmanned aircraft systems operations.</w:t>
      </w:r>
    </w:p>
    <w:p>
      <w:pPr>
        <w:pStyle w:val="ListBullet"/>
      </w:pPr>
      <w:r>
        <w:t>Pyregence Consortium n.d. GridFire documentation.</w:t>
      </w:r>
    </w:p>
    <w:p>
      <w:pPr>
        <w:pStyle w:val="ListBullet"/>
      </w:pPr>
      <w:r>
        <w:t>Wu et al 2025. Development of a portable airspace management system for wildland fire operations.</w:t>
      </w:r>
    </w:p>
    <w:p>
      <w:pPr>
        <w:pStyle w:val="Heading1"/>
      </w:pPr>
      <w:r>
        <w:t>Data sources (case study evaluation)</w:t>
      </w:r>
    </w:p>
    <w:p>
      <w:pPr>
        <w:pStyle w:val="ListBullet"/>
      </w:pPr>
      <w:r>
        <w:t>St. Denis et al. 2023. All-hazards dataset mined from the US National Incident Management System 1999 to 2020 (ICS-209-PLUS). Scientific Data.</w:t>
      </w:r>
    </w:p>
    <w:p>
      <w:pPr>
        <w:pStyle w:val="ListBullet"/>
      </w:pPr>
      <w:r>
        <w:t>NICC Incident Management Situation Reports, 2016, 2018, 2020 (Internet Archive copies of famprod.nwcg.gov).</w:t>
      </w:r>
    </w:p>
    <w:p>
      <w:pPr>
        <w:pStyle w:val="ListBullet"/>
      </w:pPr>
      <w:r>
        <w:t>NICC Wildland Fire Summary and Statistics Annual Reports 2016, 2018, 2020.</w:t>
      </w:r>
    </w:p>
    <w:p>
      <w:pPr>
        <w:pStyle w:val="ListBullet"/>
      </w:pPr>
      <w:r>
        <w:t>NIFC InterAgencyFirePerimeterHistory and Historic GeoMAC Perimeters; CAL FIRE FRAP 2020 California Fire Perimeters.</w:t>
      </w:r>
    </w:p>
    <w:p>
      <w:pPr>
        <w:pStyle w:val="ListBullet"/>
      </w:pPr>
      <w:r>
        <w:t>NASA FEDS 12-hourly VIIRS perimeters (Chen et al. 2022 algorithm), via NASA VEDA.</w:t>
      </w:r>
    </w:p>
    <w:p>
      <w:pPr>
        <w:pStyle w:val="ListBullet"/>
      </w:pPr>
      <w:r>
        <w:t>Boise Interagency Dispatch Center 2016 Annual Report; CAL FIRE Carr Fire Green Sheet (in research_data/entrapments).</w:t>
      </w:r>
    </w:p>
    <w:p>
      <w:r>
        <w:rPr>
          <w:b w:val="0"/>
          <w:i/>
        </w:rPr>
        <w:t>Page numbers in library citations are PDF page numbers as indexed by the project RAG.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