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new-hyp理论定义命题与当前证据说明"/>
    <w:p>
      <w:pPr>
        <w:pStyle w:val="Heading1"/>
      </w:pPr>
      <w:r>
        <w:t xml:space="preserve">new HYP：理论定义、命题与当前证据说明</w:t>
      </w:r>
    </w:p>
    <w:p>
      <w:pPr>
        <w:pStyle w:val="FirstParagraph"/>
      </w:pPr>
      <w:r>
        <w:t xml:space="preserve">归档日期：2026-09-19。本文件把理论定义、五条形式化性质、决策目标及当前证据放在一起，完整历史原文另附于</w:t>
      </w:r>
      <w:r>
        <w:t xml:space="preserve"> </w:t>
      </w:r>
      <w:r>
        <w:rPr>
          <w:rStyle w:val="VerbatimChar"/>
        </w:rPr>
        <w:t xml:space="preserve">theory_sources/</w:t>
      </w:r>
      <w:r>
        <w:t xml:space="preserve">，其SHA与仓库原件一致。</w:t>
      </w:r>
    </w:p>
    <w:p>
      <w:pPr>
        <w:pStyle w:val="BodyText"/>
      </w:pPr>
      <w:r>
        <w:rPr>
          <w:bCs/>
          <w:b/>
        </w:rPr>
        <w:t xml:space="preserve">当前名称为 new HYP — Reference-conditioned Joint Evidence Calibration for Fine-grained Retrieval。</w:t>
      </w:r>
      <w:r>
        <w:t xml:space="preserve"> </w:t>
      </w:r>
      <w:r>
        <w:t xml:space="preserve">研究对象是候选reference条件下的身份判断；旧空间/superregion Reference HYP的失败保留，ownership不属于当前已经完成的主张。实现仍须披露RoMa、ColNomic和共享七参数头，不能把抽象命名等同于跨编码器证明。</w:t>
      </w:r>
    </w:p>
    <w:p>
      <w:pPr>
        <w:pStyle w:val="BodyText"/>
      </w:pPr>
      <w:r>
        <w:t xml:space="preserve">任务训练只用query/reference身份或正负检索关系，冻结基础模型的预训练另行披露。五条性质是带条件的结构、信息或代数结论，不是普遍识别保证，也不把基础代数或共享参数可扩展性宣称为首次发现。</w:t>
      </w:r>
    </w:p>
    <w:p>
      <w:pPr>
        <w:pStyle w:val="BodyText"/>
      </w:pPr>
      <w:r>
        <w:t xml:space="preserve">以下“定义与性质”完整摘入2026-09-10 V2第1–6节；其中实验语句保留其历史时点。随后列出已完成的新证据，避免把旧文中的“当前”</w:t>
      </w:r>
      <w:r>
        <w:t xml:space="preserve">“</w:t>
      </w:r>
      <w:r>
        <w:t xml:space="preserve">尚未完成</w:t>
      </w:r>
      <w:r>
        <w:t xml:space="preserve">”</w:t>
      </w:r>
      <w:r>
        <w:t xml:space="preserve">当成2026-09-19状态。</w:t>
      </w:r>
    </w:p>
    <w:bookmarkStart w:id="20" w:name="定义与实际实现"/>
    <w:p>
      <w:pPr>
        <w:pStyle w:val="Heading2"/>
      </w:pPr>
      <w:r>
        <w:t xml:space="preserve">1. 定义与实际实现</w:t>
      </w:r>
    </w:p>
    <w:p>
      <w:pPr>
        <w:pStyle w:val="FirstParagraph"/>
      </w:pPr>
      <w:r>
        <w:t xml:space="preserve">给定query q、自然候选集C、reference R_g，质量通道G产生候选条件的</w:t>
      </w:r>
      <w:r>
        <w:t xml:space="preserve"> </w:t>
      </w:r>
      <w:r>
        <w:t xml:space="preserve">匹配可靠性，内容通道C_content产生内容相容性。联合证据经共享校准</w:t>
      </w:r>
      <w:r>
        <w:t xml:space="preserve"> </w:t>
      </w:r>
      <w:r>
        <w:t xml:space="preserve">函数A_theta与基础检索先验B决定候选。theta不含identity专属参数。</w:t>
      </w:r>
    </w:p>
    <w:p>
      <w:pPr>
        <w:pStyle w:val="BodyText"/>
      </w:pPr>
      <w:r>
        <w:t xml:space="preserve">当前实现的状态可完整记录为E_g=(M_g,S_g,S_g</w:t>
      </w:r>
      <w:r>
        <w:rPr>
          <w:vertAlign w:val="superscript"/>
        </w:rPr>
        <w:t xml:space="preserve">Q,S_g</w:t>
      </w:r>
      <w:r>
        <w:t xml:space="preserve">R)，其中</w:t>
      </w:r>
      <w:r>
        <w:t xml:space="preserve"> </w:t>
      </w:r>
      <w:r>
        <w:t xml:space="preserve">L_g=S_g/max(M_g,epsilon)。在数学上忽略浮点归约差异且分母高于数值保护下限时：</w:t>
      </w:r>
    </w:p>
    <w:p>
      <w:pPr>
        <w:pStyle w:val="SourceCode"/>
      </w:pPr>
      <w:r>
        <w:rPr>
          <w:rStyle w:val="VerbatimChar"/>
        </w:rPr>
        <w:t xml:space="preserve">local_i = max_j [v_j * c_ij]</w:t>
      </w:r>
      <w:r>
        <w:br/>
      </w:r>
      <w:r>
        <w:rPr>
          <w:rStyle w:val="VerbatimChar"/>
        </w:rPr>
        <w:t xml:space="preserve">M = sqrt(mean(u) * mean(v))</w:t>
      </w:r>
      <w:r>
        <w:br/>
      </w:r>
      <w:r>
        <w:rPr>
          <w:rStyle w:val="VerbatimChar"/>
        </w:rPr>
        <w:t xml:space="preserve">L = sum_i u_i*local_i / sum_i u_i</w:t>
      </w:r>
      <w:r>
        <w:br/>
      </w:r>
      <w:r>
        <w:rPr>
          <w:rStyle w:val="VerbatimChar"/>
        </w:rPr>
        <w:t xml:space="preserve">S = M*L</w:t>
      </w:r>
    </w:p>
    <w:p>
      <w:pPr>
        <w:pStyle w:val="FirstParagraph"/>
      </w:pPr>
      <w:r>
        <w:t xml:space="preserve">实际实现采用冻结的完整FP64次序，不能用代数等价擅自替换。RoMa和</w:t>
      </w:r>
      <w:r>
        <w:t xml:space="preserve"> </w:t>
      </w:r>
      <w:r>
        <w:t xml:space="preserve">ColNomic分别是当前G与内容通道的实现，方法部分必须披露。new HYP</w:t>
      </w:r>
      <w:r>
        <w:t xml:space="preserve"> </w:t>
      </w:r>
      <w:r>
        <w:t xml:space="preserve">本身不要求二维连通区域，也不声称具有独立的新假设生成网络。</w:t>
      </w:r>
    </w:p>
    <w:p>
      <w:pPr>
        <w:pStyle w:val="BodyText"/>
      </w:pPr>
      <w:r>
        <w:t xml:space="preserve">任务训练监督只有query-reference身份/正负检索关系。冻结基础模型的</w:t>
      </w:r>
      <w:r>
        <w:t xml:space="preserve"> </w:t>
      </w:r>
      <w:r>
        <w:t xml:space="preserve">预训练来源单独披露；不使用本任务mask、box、point、人工crop或分割</w:t>
      </w:r>
      <w:r>
        <w:t xml:space="preserve"> </w:t>
      </w:r>
      <w:r>
        <w:t xml:space="preserve">teacher。HOLD表示保留RAW winner，不表示reference不存在。</w:t>
      </w:r>
    </w:p>
    <w:bookmarkEnd w:id="20"/>
    <w:bookmarkStart w:id="21" w:name="性质一reference登记与任务参数学习可分离"/>
    <w:p>
      <w:pPr>
        <w:pStyle w:val="Heading2"/>
      </w:pPr>
      <w:r>
        <w:t xml:space="preserve">2. 性质一：reference登记与任务参数学习可分离</w:t>
      </w:r>
    </w:p>
    <w:p>
      <w:pPr>
        <w:pStyle w:val="FirstParagraph"/>
      </w:pPr>
      <w:r>
        <w:t xml:space="preserve">假设G、内容编码器、校准函数均共享参数，reference身份只作为资源</w:t>
      </w:r>
      <w:r>
        <w:t xml:space="preserve"> </w:t>
      </w:r>
      <w:r>
        <w:t xml:space="preserve">索引，不进入identity专属可训练参数。则登记一个新的reference、</w:t>
      </w:r>
      <w:r>
        <w:t xml:space="preserve"> </w:t>
      </w:r>
      <w:r>
        <w:t xml:space="preserve">计算其表示并纳入候选后，原theta仍可直接用于评分。</w:t>
      </w:r>
    </w:p>
    <w:p>
      <w:pPr>
        <w:pStyle w:val="BodyText"/>
      </w:pPr>
      <w:r>
        <w:t xml:space="preserve">证明：将新reference代入同一个共享函数即可，参数维度和定义不变。</w:t>
      </w:r>
      <w:r>
        <w:t xml:space="preserve"> </w:t>
      </w:r>
      <w:r>
        <w:t xml:space="preserve">这是结构上的可执行性，不保证新reference会被召回、正确排名或在</w:t>
      </w:r>
      <w:r>
        <w:t xml:space="preserve"> </w:t>
      </w:r>
      <w:r>
        <w:t xml:space="preserve">任意遮挡下可辨认，也不是本文独创的数学定律。它给出“外部reference</w:t>
      </w:r>
      <w:r>
        <w:t xml:space="preserve"> </w:t>
      </w:r>
      <w:r>
        <w:t xml:space="preserve">记忆可扩展”的技术基础，不能直接等同于普遍的过目不忘保证。</w:t>
      </w:r>
    </w:p>
    <w:bookmarkEnd w:id="21"/>
    <w:bookmarkStart w:id="22" w:name="性质二丢失必要统计量的接口不能普遍恢复原评分"/>
    <w:p>
      <w:pPr>
        <w:pStyle w:val="Heading2"/>
      </w:pPr>
      <w:r>
        <w:t xml:space="preserve">3. 性质二：丢失必要统计量的接口不能普遍恢复原评分</w:t>
      </w:r>
    </w:p>
    <w:p>
      <w:pPr>
        <w:pStyle w:val="FirstParagraph"/>
      </w:pPr>
      <w:r>
        <w:t xml:space="preserve">设完整状态E、原评分f(E)、压缩接口T(E)。若存在E1/E2满足</w:t>
      </w:r>
      <w:r>
        <w:t xml:space="preserve"> </w:t>
      </w:r>
      <w:r>
        <w:t xml:space="preserve">T(E1)=T(E2)但f(E1)不等于f(E2)，则不存在只读取T的函数能对所有E</w:t>
      </w:r>
      <w:r>
        <w:t xml:space="preserve"> </w:t>
      </w:r>
      <w:r>
        <w:t xml:space="preserve">重建原f。否则同一个输入值须输出两个不同值，矛盾。</w:t>
      </w:r>
    </w:p>
    <w:p>
      <w:pPr>
        <w:pStyle w:val="BodyText"/>
      </w:pPr>
      <w:r>
        <w:t xml:space="preserve">具体构造：一个query token、两个reference tokens，c=(1,0)，</w:t>
      </w:r>
      <w:r>
        <w:t xml:space="preserve"> </w:t>
      </w:r>
      <w:r>
        <w:t xml:space="preserve">u=(1)，v=(1,a)，0&lt;=a&lt;=1。若接口只保存获胜的第一个reference位置，</w:t>
      </w:r>
      <w:r>
        <w:t xml:space="preserve"> </w:t>
      </w:r>
      <w:r>
        <w:t xml:space="preserve">它不随a改变；但L=1，M=sqrt((1+a)/2)，S=M随a改变。因此仅保存那个</w:t>
      </w:r>
      <w:r>
        <w:t xml:space="preserve"> </w:t>
      </w:r>
      <w:r>
        <w:t xml:space="preserve">局部匹配不充分。该构造证明评分可恢复性的问题，不证明预测一定变差。</w:t>
      </w:r>
    </w:p>
    <w:p>
      <w:pPr>
        <w:pStyle w:val="BodyText"/>
      </w:pPr>
      <w:r>
        <w:t xml:space="preserve">当前项目已发现旧P压缩缺少完整reference质量统计，并通过无损接口</w:t>
      </w:r>
      <w:r>
        <w:t xml:space="preserve"> </w:t>
      </w:r>
      <w:r>
        <w:t xml:space="preserve">恢复了原标量和决策。恢复统计量不自动保证new HYP解释或识别增益。</w:t>
      </w:r>
    </w:p>
    <w:bookmarkEnd w:id="22"/>
    <w:bookmarkStart w:id="23" w:name="性质三相对比较对共同尺度近似不敏感"/>
    <w:p>
      <w:pPr>
        <w:pStyle w:val="Heading2"/>
      </w:pPr>
      <w:r>
        <w:t xml:space="preserve">4. 性质三：相对比较对共同尺度近似不敏感</w:t>
      </w:r>
    </w:p>
    <w:p>
      <w:pPr>
        <w:pStyle w:val="FirstParagraph"/>
      </w:pPr>
      <w:r>
        <w:t xml:space="preserve">令D_e(a,b)=(a-b)/(|a|+|b|+e)，k&gt;0，A=|a|+|b|&gt;0，则</w:t>
      </w:r>
    </w:p>
    <w:p>
      <w:pPr>
        <w:pStyle w:val="SourceCode"/>
      </w:pPr>
      <w:r>
        <w:rPr>
          <w:rStyle w:val="VerbatimChar"/>
        </w:rPr>
        <w:t xml:space="preserve">|D_e(ka,kb)-D_e(a,b)|</w:t>
      </w:r>
      <w:r>
        <w:br/>
      </w:r>
      <w:r>
        <w:rPr>
          <w:rStyle w:val="VerbatimChar"/>
        </w:rPr>
        <w:t xml:space="preserve">  = |a-b|*e*|1-1/k| / ((A+e)*(A+e/k)).</w:t>
      </w:r>
    </w:p>
    <w:p>
      <w:pPr>
        <w:pStyle w:val="FirstParagraph"/>
      </w:pPr>
      <w:r>
        <w:t xml:space="preserve">e=0时严格尺度不变；e&gt;0时误差大小由上式给出，A很小时不能声称可忽略。</w:t>
      </w:r>
      <w:r>
        <w:t xml:space="preserve"> </w:t>
      </w:r>
      <w:r>
        <w:t xml:space="preserve">这解释了原相对特征弱化绝对尺度的方式，不说明绝对尺度必然有用。</w:t>
      </w:r>
      <w:r>
        <w:t xml:space="preserve"> </w:t>
      </w:r>
      <w:r>
        <w:t xml:space="preserve">实际ABS12试验将绝对差补回后EVAL26，原NATIVE7为28；同参数REL12也26。</w:t>
      </w:r>
      <w:r>
        <w:t xml:space="preserve"> </w:t>
      </w:r>
      <w:r>
        <w:t xml:space="preserve">因此“额外信息存在”与“该信息提高泛化”必须分开。</w:t>
      </w:r>
    </w:p>
    <w:bookmarkEnd w:id="23"/>
    <w:bookmarkStart w:id="24" w:name="性质四正确action与所有错误logit为负不是同一条件"/>
    <w:p>
      <w:pPr>
        <w:pStyle w:val="Heading2"/>
      </w:pPr>
      <w:r>
        <w:t xml:space="preserve">5. 性质四：正确action与所有错误logit为负不是同一条件</w:t>
      </w:r>
    </w:p>
    <w:p>
      <w:pPr>
        <w:pStyle w:val="FirstParagraph"/>
      </w:pPr>
      <w:r>
        <w:t xml:space="preserve">固定RAW winner w，定义z_w=0、其它候选z_g为旧action logit。排除</w:t>
      </w:r>
      <w:r>
        <w:t xml:space="preserve"> </w:t>
      </w:r>
      <w:r>
        <w:t xml:space="preserve">依赖精确平局的情况，正确目标t为w时需max_wrong z&lt;0；t不为w时需</w:t>
      </w:r>
      <w:r>
        <w:t xml:space="preserve"> </w:t>
      </w:r>
      <w:r>
        <w:t xml:space="preserve">z_t&gt;0且z_t&gt;max_wrong z。它不要求每个错误logit都小于0。</w:t>
      </w:r>
    </w:p>
    <w:p>
      <w:pPr>
        <w:pStyle w:val="BodyText"/>
      </w:pPr>
      <w:r>
        <w:t xml:space="preserve">例如z_t=2、z_wrong=1时action正确，但错误绝对压负条件未满足。</w:t>
      </w:r>
      <w:r>
        <w:t xml:space="preserve"> </w:t>
      </w:r>
      <w:r>
        <w:t xml:space="preserve">因此两种训练代理目标不同。当前线性头下，上述严格条件都是线性</w:t>
      </w:r>
      <w:r>
        <w:t xml:space="preserve"> </w:t>
      </w:r>
      <w:r>
        <w:t xml:space="preserve">不等式；共享解是否存在可用可行性证书验证。</w:t>
      </w:r>
    </w:p>
    <w:p>
      <w:pPr>
        <w:pStyle w:val="BodyText"/>
      </w:pPr>
      <w:r>
        <w:t xml:space="preserve">项目已用原缓存浮点特征的精确有理数表达核验12套TRAIN约束系统。</w:t>
      </w:r>
      <w:r>
        <w:t xml:space="preserve"> </w:t>
      </w:r>
      <w:r>
        <w:t xml:space="preserve">这些证书限定了所测试特征与线性头的训练能力，不是EVAL结果、所有</w:t>
      </w:r>
      <w:r>
        <w:t xml:space="preserve"> </w:t>
      </w:r>
      <w:r>
        <w:t xml:space="preserve">模型的上界或32/32资格门。随后固定NATIVE7的2×2目标对照中，原方案</w:t>
      </w:r>
      <w:r>
        <w:t xml:space="preserve"> </w:t>
      </w:r>
      <w:r>
        <w:t xml:space="preserve">EVAL28，三种改法均27。因此“目标条件不同”没有自动带来更好识别。</w:t>
      </w:r>
    </w:p>
    <w:bookmarkEnd w:id="24"/>
    <w:bookmarkStart w:id="25" w:name="性质五乘积对比改变线性读出的函数表达范围"/>
    <w:p>
      <w:pPr>
        <w:pStyle w:val="Heading2"/>
      </w:pPr>
      <w:r>
        <w:t xml:space="preserve">6. 性质五：乘积对比改变线性读出的函数表达范围</w:t>
      </w:r>
    </w:p>
    <w:p>
      <w:pPr>
        <w:pStyle w:val="FirstParagraph"/>
      </w:pPr>
      <w:r>
        <w:t xml:space="preserve">在正M、正L、S=M L、无epsilon/floor的理想实数条件下，令</w:t>
      </w:r>
      <w:r>
        <w:t xml:space="preserve"> </w:t>
      </w:r>
      <w:r>
        <w:t xml:space="preserve">x=(M_c−M_w)/(M_c+M_w)，y=(L_c−L_w)/(L_c+L_w)，可得</w:t>
      </w:r>
    </w:p>
    <w:p>
      <w:pPr>
        <w:pStyle w:val="SourceCode"/>
      </w:pPr>
      <w:r>
        <w:rPr>
          <w:rStyle w:val="VerbatimChar"/>
        </w:rPr>
        <w:t xml:space="preserve">dS=(S_c−S_w)/(S_c+S_w)=(x+y)/(1+xy).</w:t>
      </w:r>
    </w:p>
    <w:p>
      <w:pPr>
        <w:pStyle w:val="FirstParagraph"/>
      </w:pPr>
      <w:r>
        <w:t xml:space="preserve">x、y落在(-1,1)，分母为正。该函数在一般开域上不是x、y的仿射组合：</w:t>
      </w:r>
      <w:r>
        <w:t xml:space="preserve"> </w:t>
      </w:r>
      <w:r>
        <w:t xml:space="preserve">原点和两条坐标轴迫使仿射式为x+y，而x=y≠0即给出反例。因此在相同</w:t>
      </w:r>
      <w:r>
        <w:t xml:space="preserve"> </w:t>
      </w:r>
      <w:r>
        <w:t xml:space="preserve">底层质量/内容信息上，[RAW,x,y,dS]的线性评分函数类严格包含</w:t>
      </w:r>
      <w:r>
        <w:t xml:space="preserve"> </w:t>
      </w:r>
      <w:r>
        <w:t xml:space="preserve">[RAW,x,y]的线性评分函数类。这个结论针对函数表达，不是训练成功率</w:t>
      </w:r>
      <w:r>
        <w:t xml:space="preserve"> </w:t>
      </w:r>
      <w:r>
        <w:t xml:space="preserve">或泛化保证，也不是本项目新创的数学定律。</w:t>
      </w:r>
    </w:p>
    <w:p>
      <w:pPr>
        <w:pStyle w:val="BodyText"/>
      </w:pPr>
      <w:r>
        <w:t xml:space="preserve">保留e&gt;0时，设A=M_c+M_w、B=L_c+L_w、</w:t>
      </w:r>
      <w:r>
        <w:t xml:space="preserve"> </w:t>
      </w:r>
      <w:r>
        <w:t xml:space="preserve">x=(M_c−M_w)/(A+e)、y=(L_c−L_w)/(B+e)，则实数恒等式为</w:t>
      </w:r>
    </w:p>
    <w:p>
      <w:pPr>
        <w:pStyle w:val="SourceCode"/>
      </w:pPr>
      <w:r>
        <w:rPr>
          <w:rStyle w:val="VerbatimChar"/>
        </w:rPr>
        <w:t xml:space="preserve">dS=[A*y*(B+e)+B*x*(A+e)]</w:t>
      </w:r>
      <w:r>
        <w:br/>
      </w:r>
      <w:r>
        <w:rPr>
          <w:rStyle w:val="VerbatimChar"/>
        </w:rPr>
        <w:t xml:space="preserve">   /[A*B+x*y*(A+e)*(B+e)+2e].</w:t>
      </w:r>
    </w:p>
    <w:p>
      <w:pPr>
        <w:pStyle w:val="FirstParagraph"/>
      </w:pPr>
      <w:r>
        <w:t xml:space="preserve">这时精确关系仍含A/B，不能无条件称dS只由两个归一化对比恢复。实际</w:t>
      </w:r>
      <w:r>
        <w:t xml:space="preserve"> </w:t>
      </w:r>
      <w:r>
        <w:t xml:space="preserve">L由S/max(M,e)得到；触发floor、非正内容或浮点舍入时须另行分析。</w:t>
      </w:r>
      <w:r>
        <w:t xml:space="preserve"> </w:t>
      </w:r>
      <w:r>
        <w:t xml:space="preserve">生产路径继续直接读取原FP64列，公式只解释该列的函数作用。</w:t>
      </w:r>
    </w:p>
    <w:p>
      <w:pPr>
        <w:pStyle w:val="BodyText"/>
      </w:pPr>
      <w:r>
        <w:t xml:space="preserve">原PAIR64和FULL TRAIN32的4128次比较全部M/L/S&gt;0且无M floor，含e</w:t>
      </w:r>
      <w:r>
        <w:t xml:space="preserve"> </w:t>
      </w:r>
      <w:r>
        <w:t xml:space="preserve">公式对原dS最大残差4.44e-16，独立重执行一致。dS对简单x+y最大差</w:t>
      </w:r>
      <w:r>
        <w:t xml:space="preserve"> </w:t>
      </w:r>
      <w:r>
        <w:t xml:space="preserve">0.93939表明二者数值不同；这个数不是准确率增益或因果贡献。</w:t>
      </w:r>
      <w:r>
        <w:t xml:space="preserve"> </w:t>
      </w:r>
      <w:r>
        <w:t xml:space="preserve">完整推导、可复现程序及源绑定见</w:t>
      </w:r>
      <w:r>
        <w:t xml:space="preserve"> </w:t>
      </w:r>
      <w:r>
        <w:t xml:space="preserve">reports/NEW_HYP_PRODUCT_CONTRAST_MATHEMATICAL_REVIEW_V1_20260909.md。</w:t>
      </w:r>
    </w:p>
    <w:bookmarkEnd w:id="25"/>
    <w:bookmarkStart w:id="26" w:name="统一对象与任务"/>
    <w:p>
      <w:pPr>
        <w:pStyle w:val="Heading2"/>
      </w:pPr>
      <w:r>
        <w:t xml:space="preserve">统一对象与任务</w:t>
      </w:r>
    </w:p>
    <w:p>
      <w:pPr>
        <w:pStyle w:val="FirstParagraph"/>
      </w:pPr>
      <w:r>
        <w:t xml:space="preserve">new HYP中的假说是“候选reference g解释query的身份”，不是必须连通的空间区域。reference组织匹配可靠性、内容相容性及竞争证据；空间支持只是证据组织的一种实现。RoMa/ColNomic是当前实现，论文必须披露，不能把去掉模型名当通用性证明。</w:t>
      </w:r>
    </w:p>
    <w:p>
      <w:pPr>
        <w:pStyle w:val="BodyText"/>
      </w:pPr>
      <w:r>
        <w:t xml:space="preserve">令w为RAW答案，Z为推理时全部合法候选及其可见证据。切换到g相对保留w的条件价值为</w:t>
      </w:r>
    </w:p>
    <w:p>
      <w:pPr>
        <w:pStyle w:val="SourceCode"/>
      </w:pPr>
      <w:r>
        <w:rPr>
          <w:rStyle w:val="VerbatimChar"/>
        </w:rPr>
        <w:t xml:space="preserve">Delta_g(Z) = P(Y=g | Z) - P(Y=w | Z).</w:t>
      </w:r>
    </w:p>
    <w:p>
      <w:pPr>
        <w:pStyle w:val="FirstParagraph"/>
      </w:pPr>
      <w:r>
        <w:t xml:space="preserve">HOLD的相对价值为0，理想决策取最大正Delta，否则保持w。任意固定系统相对RAW的准确率增量，恰等于rescue概率减去loss概率。query-reference身份标签Y已足以监督这一任务，不必增加框、mask、匹配正确性或ownership标注。</w:t>
      </w:r>
    </w:p>
    <w:p>
      <w:pPr>
        <w:pStyle w:val="BodyText"/>
      </w:pPr>
      <w:r>
        <w:t xml:space="preserve">这是决策目标的定义；当前七参数logit并未被证明是Delta或身份后验的校准估计。旧SIGN损失是代理目标，不能把定义当成其一致性保证。HOLD保留RAW答案，也不等于未知类拒识。</w:t>
      </w:r>
    </w:p>
    <w:bookmarkEnd w:id="26"/>
    <w:bookmarkStart w:id="27" w:name="当前证据与理论的对应2026-09-19"/>
    <w:p>
      <w:pPr>
        <w:pStyle w:val="Heading2"/>
      </w:pPr>
      <w:r>
        <w:t xml:space="preserve">当前证据与理论的对应（2026-09-19）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理论层次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已完成的对应证据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共享reference条件证据与校准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同一full-H593固定COST1头，GroZi480为RAW321→355，34救0损；ISIC537为466→500，34救0损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GroZi为正式外部确认；ISIC为已打开队列的探索。不是任意新身份保证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信息接口是否保留原评分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缺失完整reference质量统计的接口不能普遍重建；补齐后可无损恢复原评分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恢复原评分不自动提升识别，也不证明旧空间P成立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动作目标与错误绝对压负的差异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同H593五折、同七参数，COST4 440→COST1 481，44救3损；CE486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训练成本单因素有净增，CE相对COST1优势的组区间跨0；不宣称普适最优成本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实际参数学习的价值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同H593自然C128，手填等权／平衡均459，COST1 481、CE486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对所测两种固定规则成立；COST4仅440，不能说一切训练版都优于免训练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高基线保持回归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processed128：RAW121、COST1 122、CE123；保住原121正确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合成处理回归；净增区间包含0，不是外部GO或普遍零损失定理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候选绑定与空间所有权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已有整包候选证据错绑对照；processed128中COST1 122→92、CE123→74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支持候选级联合绑定；不证明token对应、mask或ownership</w:t>
            </w:r>
          </w:p>
        </w:tc>
      </w:tr>
    </w:tbl>
    <w:p>
      <w:pPr>
        <w:pStyle w:val="BodyText"/>
      </w:pPr>
      <w:r>
        <w:t xml:space="preserve">旧EVAL32的25→28和旧EVAL128的88→99来自固定ORIGINAL7；difficult90的61→69来自另一FROZEN_C头。H593结果是五折OOF，外部和processed128使用冻结full-H593头。各面板和头不混成一条样本量学习曲线。</w:t>
      </w:r>
    </w:p>
    <w:p>
      <w:pPr>
        <w:pStyle w:val="BodyText"/>
      </w:pPr>
      <w:r>
        <w:t xml:space="preserve">RPC按2026-09-18决定仅保留参考图不足诊断。附带2026-09-15旧范围文档中的RPC“外部确认”是历史表述，已被当前范围修订覆盖。完整过目不忘系统、未知拒识、持续注册后的旧身份保持、多物体ownership及新编码器训练仍是未来方向。</w:t>
      </w:r>
    </w:p>
    <w:bookmarkEnd w:id="27"/>
    <w:bookmarkStart w:id="37" w:name="完整原文入口"/>
    <w:p>
      <w:pPr>
        <w:pStyle w:val="Heading2"/>
      </w:pPr>
      <w:r>
        <w:t xml:space="preserve">完整原文入口</w:t>
      </w:r>
    </w:p>
    <w:p>
      <w:pPr>
        <w:pStyle w:val="FirstParagraph"/>
      </w:pPr>
      <w:r>
        <w:t xml:space="preserve">以下文件按原字节保存。V1/V2/V3记录不同阶段；V3是工作假说及可证伪预测，不因收入本包就升级成普适理论定理。原文内部指向其它仓库证据的链接仍可能需要原工作区。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日期版本与用途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HYP：定义、可证明性质与当前证据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NEW_HYP_THEORY_DEFINITION_AND_PROPOSITIONS_V1_20260909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NEW_HYP_THEORY_DEFINITION_AND_PROPOSITIONS_V1_20260909.md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HYP：定义、可证明性质与扩大样本证据（V2）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NEW_HYP_THEORY_DEFINITION_AND_PROPOSITIONS_V2_20260910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NEW_HYP_THEORY_DEFINITION_AND_PROPOSITIONS_V2_20260910.md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HYP：统一的工作假说、已有证据与下一次可证伪预测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NEW_HYP_UNIFIED_DECISION_HYPOTHESIS_V3_20260911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NEW_HYP_UNIFIED_DECISION_HYPOTHESIS_V3_20260911.md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HYP：乘积对比项的数学与实验范围复核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NEW_HYP_PRODUCT_CONTRAST_MATHEMATICAL_REVIEW_V1_20260909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NEW_HYP_PRODUCT_CONTRAST_MATHEMATICAL_REVIEW_V1_20260909.md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HYP：当前校准机制的联合证据收口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REPORT_NEW_HYP_CALIBRATION_MECHANISM_SYNTHESIS_V1_20260909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REPORT_NEW_HYP_CALIBRATION_MECHANISM_SYNTHESIS_V1_20260909.md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HYP：原始论文与贡献范围复核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NEW_HYP_PRIMARY_LITERATURE_SCOPE_V1_20260909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NEW_HYP_PRIMARY_LITERATURE_SCOPE_V1_20260909.md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HYP：当前论文收口与未来工作范围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RC_NEW_HYP_PAPER_SCOPE_FREEZE_V1_20260915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RC_NEW_HYP_PAPER_SCOPE_FREEZE_V1_20260915.md</w:t>
              </w:r>
            </w:hyperlink>
          </w:p>
        </w:tc>
      </w:tr>
    </w:tbl>
    <w:p>
      <w:pPr>
        <w:pStyle w:val="BodyText"/>
      </w:pPr>
      <w:hyperlink r:id="rId35">
        <w:r>
          <w:rPr>
            <w:rStyle w:val="Hyperlink"/>
          </w:rPr>
          <w:t xml:space="preserve">返回当前主总结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原文SHA索引</w:t>
        </w:r>
      </w:hyperlink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complete_results_zh.md" TargetMode="External" /><Relationship Type="http://schemas.openxmlformats.org/officeDocument/2006/relationships/hyperlink" Id="rId36" Target="theory_source_index.csv" TargetMode="External" /><Relationship Type="http://schemas.openxmlformats.org/officeDocument/2006/relationships/hyperlink" Id="rId33" Target="theory_sources/NEW_HYP_PRIMARY_LITERATURE_SCOPE_V1_20260909.md" TargetMode="External" /><Relationship Type="http://schemas.openxmlformats.org/officeDocument/2006/relationships/hyperlink" Id="rId31" Target="theory_sources/NEW_HYP_PRODUCT_CONTRAST_MATHEMATICAL_REVIEW_V1_20260909.md" TargetMode="External" /><Relationship Type="http://schemas.openxmlformats.org/officeDocument/2006/relationships/hyperlink" Id="rId28" Target="theory_sources/NEW_HYP_THEORY_DEFINITION_AND_PROPOSITIONS_V1_20260909.md" TargetMode="External" /><Relationship Type="http://schemas.openxmlformats.org/officeDocument/2006/relationships/hyperlink" Id="rId29" Target="theory_sources/NEW_HYP_THEORY_DEFINITION_AND_PROPOSITIONS_V2_20260910.md" TargetMode="External" /><Relationship Type="http://schemas.openxmlformats.org/officeDocument/2006/relationships/hyperlink" Id="rId30" Target="theory_sources/NEW_HYP_UNIFIED_DECISION_HYPOTHESIS_V3_20260911.md" TargetMode="External" /><Relationship Type="http://schemas.openxmlformats.org/officeDocument/2006/relationships/hyperlink" Id="rId34" Target="theory_sources/RC_NEW_HYP_PAPER_SCOPE_FREEZE_V1_20260915.md" TargetMode="External" /><Relationship Type="http://schemas.openxmlformats.org/officeDocument/2006/relationships/hyperlink" Id="rId32" Target="theory_sources/REPORT_NEW_HYP_CALIBRATION_MECHANISM_SYNTHESIS_V1_2026090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complete_results_zh.md" TargetMode="External" /><Relationship Type="http://schemas.openxmlformats.org/officeDocument/2006/relationships/hyperlink" Id="rId36" Target="theory_source_index.csv" TargetMode="External" /><Relationship Type="http://schemas.openxmlformats.org/officeDocument/2006/relationships/hyperlink" Id="rId33" Target="theory_sources/NEW_HYP_PRIMARY_LITERATURE_SCOPE_V1_20260909.md" TargetMode="External" /><Relationship Type="http://schemas.openxmlformats.org/officeDocument/2006/relationships/hyperlink" Id="rId31" Target="theory_sources/NEW_HYP_PRODUCT_CONTRAST_MATHEMATICAL_REVIEW_V1_20260909.md" TargetMode="External" /><Relationship Type="http://schemas.openxmlformats.org/officeDocument/2006/relationships/hyperlink" Id="rId28" Target="theory_sources/NEW_HYP_THEORY_DEFINITION_AND_PROPOSITIONS_V1_20260909.md" TargetMode="External" /><Relationship Type="http://schemas.openxmlformats.org/officeDocument/2006/relationships/hyperlink" Id="rId29" Target="theory_sources/NEW_HYP_THEORY_DEFINITION_AND_PROPOSITIONS_V2_20260910.md" TargetMode="External" /><Relationship Type="http://schemas.openxmlformats.org/officeDocument/2006/relationships/hyperlink" Id="rId30" Target="theory_sources/NEW_HYP_UNIFIED_DECISION_HYPOTHESIS_V3_20260911.md" TargetMode="External" /><Relationship Type="http://schemas.openxmlformats.org/officeDocument/2006/relationships/hyperlink" Id="rId34" Target="theory_sources/RC_NEW_HYP_PAPER_SCOPE_FREEZE_V1_20260915.md" TargetMode="External" /><Relationship Type="http://schemas.openxmlformats.org/officeDocument/2006/relationships/hyperlink" Id="rId32" Target="theory_sources/REPORT_NEW_HYP_CALIBRATION_MECHANISM_SYNTHESIS_V1_20260909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2026-09-18T22:18:24Z</dcterms:created>
  <dcterms:modified xsi:type="dcterms:W3CDTF">2026-09-18T22:18:24Z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