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2" w:name="h593-六项证据逐项消融"/>
    <w:p>
      <w:pPr>
        <w:pStyle w:val="Heading1"/>
      </w:pPr>
      <w:r>
        <w:t xml:space="preserve">H593 六项证据逐项消融</w:t>
      </w:r>
    </w:p>
    <w:p>
      <w:pPr>
        <w:pStyle w:val="FirstParagraph"/>
      </w:pPr>
      <w:r>
        <w:t xml:space="preserve">原 H593 grouped OOF5、RAW 自然 C128、原六统计、FP64/2000 updates；COST1 为主、CE 为对照。全部593图纳入，包含23个候选缺失。</w:t>
      </w:r>
    </w:p>
    <w:p>
      <w:pPr>
        <w:pStyle w:val="BodyText"/>
      </w:pPr>
      <w:r>
        <w:t xml:space="preserve">FULL参数和原始127分数逐位复现封存结果；每个REFIT在独立新进程重训重放，NumPy核算通过。ZERO只置零该权重且保留bias；REFIT删除该输入列后重训其余五权重和bias。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正确/593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对RAW救/损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对FULL救/损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MRR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COST1_FULL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58/3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0.854276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66/36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12/37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0.838250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72/11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0.864116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3/58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11/2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0.800025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56/2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0.852186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0.854951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0.844022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0.850037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50/2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0.840647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0.850937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57/3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0.853012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0.853433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CE_FULL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71/11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0.860845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78/86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14/82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0.807179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76/16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5/5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0.862320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18/2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10/54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0.805606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58/6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6/14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0.847902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69/9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2/2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0.860845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71/11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0.860845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58/17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15/34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0.846853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70/13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0.857482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472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63/17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4/18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0.843006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67/13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1/7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0.852816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70/13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0.858316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71/12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0/1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0.860002</w:t>
            </w:r>
          </w:p>
        </w:tc>
      </w:tr>
    </w:tbl>
    <w:p>
      <w:pPr>
        <w:pStyle w:val="BodyText"/>
      </w:pPr>
      <w:r>
        <w:t xml:space="preserve">RAW：426/593。对FULL救/损以相应COST1或CE完整头为基准。</w:t>
      </w:r>
    </w:p>
    <w:bookmarkStart w:id="21" w:name="配对分组结果"/>
    <w:p>
      <w:pPr>
        <w:pStyle w:val="Heading2"/>
      </w:pPr>
      <w:r>
        <w:t xml:space="preserve">配对分组结果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模型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FULL−消融：等组差pp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bootstrap95% pp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Holm p（六项）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3.608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[-0.145, 7.566]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-1.697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[-4.545, 1.191]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10.723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[6.589, 15.340]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[5.086, 13.378]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[-0.466, 1.292]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COST1_ZERO_R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[-0.276, 2.344]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[-0.385, 5.441]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0.3036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[-0.067, 2.812]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0.4740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[-0.837, 2.133]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[-0.220, 2.738]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0.6992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1.172]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COST1_REFIT_R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2.344]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0.9912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10.122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[6.164, 14.221]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-0.791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[-2.452, 0.565]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7.893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[3.527, 12.383]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2.355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[0.236, 4.787]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0.0948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[-0.614, 0.898]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CE_ZERO_R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0.000]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CE_REFIT_RAW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[0.686, 6.641]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0.0582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[-0.144, 1.598]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[-0.085, 3.470]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[0.246, 2.634]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0.0800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0.868]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CE_REFIT_R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[0.000, 0.426]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0.4912</w:t>
            </w:r>
          </w:p>
        </w:tc>
      </w:tr>
    </w:tbl>
    <w:p>
      <w:pPr>
        <w:pStyle w:val="BodyText"/>
      </w:pPr>
      <w:r>
        <w:t xml:space="preserve">正差表示完整头较好；区间为64 component等权差，不是图片微平均差。H593已经开发；本表不作为新外部确认，也不按结果替换部署模型。</w:t>
      </w:r>
    </w:p>
    <w:p>
      <w:pPr>
        <w:pStyle w:val="BodyText"/>
      </w:pPr>
      <w:r>
        <w:t xml:space="preserve">删项不消除该特征在其它耦合统计中的全部信息。固定头下降不能证明重新训练无法补偿；重训无下降也不证明底层视觉线索无用。</w:t>
      </w:r>
    </w:p>
    <w:p>
      <w:pPr>
        <w:pStyle w:val="BodyText"/>
      </w:pPr>
      <w:r>
        <w:t xml:space="preserve">原始参数及全部127分数：fold0/ 到 fold4/ 的 payload.json。完整逐查询结果和配对统计：result.json。复核：validation.json 和各fold/validation.json。</w:t>
      </w:r>
    </w:p>
    <w:p>
      <w:pPr>
        <w:pStyle w:val="BodyText"/>
      </w:pPr>
      <w:hyperlink r:id="rId20">
        <w:r>
          <w:rPr>
            <w:rStyle w:val="Hyperlink"/>
          </w:rPr>
          <w:t xml:space="preserve">原始证据目录</w:t>
        </w:r>
      </w:hyperlink>
    </w:p>
    <w:bookmarkEnd w:id="21"/>
    <w:bookmarkEnd w:id="2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20" Target="H593_ablation_evidence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0" Target="H593_ablation_evidence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2026-09-20T20:09:10Z</dcterms:created>
  <dcterms:modified xsi:type="dcterms:W3CDTF">2026-09-20T20:09:10Z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