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D1243">
      <w:pPr>
        <w:pStyle w:val="2"/>
        <w:jc w:val="center"/>
      </w:pPr>
      <w:r>
        <w:rPr>
          <w:rFonts w:hint="eastAsia"/>
        </w:rPr>
        <w:t>波射线通量程序使用说明（全Python版）</w:t>
      </w:r>
    </w:p>
    <w:p w14:paraId="3FD27E5D">
      <w:pPr>
        <w:ind w:firstLine="420" w:firstLineChars="200"/>
        <w:rPr>
          <w:rFonts w:cstheme="minorBidi"/>
          <w:szCs w:val="21"/>
        </w:rPr>
      </w:pPr>
      <w:r>
        <w:rPr>
          <w:rFonts w:cstheme="minorBidi"/>
          <w:szCs w:val="21"/>
        </w:rPr>
        <w:t>此套程序基于水平非均匀基本流场中的Rossby波射线追踪理论</w:t>
      </w:r>
      <w:r>
        <w:rPr>
          <w:rFonts w:hint="eastAsia" w:cstheme="minorBidi"/>
          <w:szCs w:val="21"/>
        </w:rPr>
        <w:t>（Li et al. 2012, 2015, 2019; Zhao et al. 2015, 2019）</w:t>
      </w:r>
      <w:r>
        <w:rPr>
          <w:rFonts w:cstheme="minorBidi"/>
          <w:szCs w:val="21"/>
        </w:rPr>
        <w:t>，旨在模拟和分析准定常Rossby波在包含经向风分量的复杂背景流中的传播路径</w:t>
      </w:r>
      <w:r>
        <w:rPr>
          <w:rFonts w:hint="eastAsia" w:cstheme="minorBidi"/>
          <w:szCs w:val="21"/>
        </w:rPr>
        <w:t>、度量波活动大小和方向的波射线通量Li-Yang WRF（Yang and Li 2025）</w:t>
      </w:r>
      <w:r>
        <w:rPr>
          <w:rFonts w:cstheme="minorBidi"/>
          <w:szCs w:val="21"/>
        </w:rPr>
        <w:t>。</w:t>
      </w:r>
      <w:r>
        <w:rPr>
          <w:rFonts w:hint="eastAsia" w:cstheme="minorBidi"/>
          <w:szCs w:val="21"/>
        </w:rPr>
        <w:t>其</w:t>
      </w:r>
      <w:r>
        <w:rPr>
          <w:rFonts w:cstheme="minorBidi"/>
          <w:szCs w:val="21"/>
        </w:rPr>
        <w:t>核心在于</w:t>
      </w:r>
      <w:r>
        <w:rPr>
          <w:rFonts w:hint="eastAsia" w:cstheme="minorBidi"/>
          <w:szCs w:val="21"/>
        </w:rPr>
        <w:t>：</w:t>
      </w:r>
      <w:r>
        <w:rPr>
          <w:rFonts w:cstheme="minorBidi"/>
          <w:szCs w:val="21"/>
        </w:rPr>
        <w:t>对给定</w:t>
      </w:r>
      <w:r>
        <w:rPr>
          <w:rFonts w:hint="eastAsia" w:cstheme="minorBidi"/>
          <w:szCs w:val="21"/>
        </w:rPr>
        <w:t>的</w:t>
      </w:r>
      <w:r>
        <w:rPr>
          <w:rFonts w:cstheme="minorBidi"/>
          <w:szCs w:val="21"/>
        </w:rPr>
        <w:t>背景流场，求解</w:t>
      </w:r>
      <w:r>
        <w:rPr>
          <w:rFonts w:cstheme="minorBidi"/>
          <w:b/>
          <w:bCs/>
          <w:szCs w:val="21"/>
        </w:rPr>
        <w:t>包含经向风分量</w:t>
      </w:r>
      <w:r>
        <w:rPr>
          <w:rFonts w:hint="eastAsia" w:cstheme="minorBidi"/>
          <w:b/>
          <w:bCs/>
          <w:szCs w:val="21"/>
          <w:lang w:eastAsia="zh-CN"/>
        </w:rPr>
        <w:t>的</w:t>
      </w:r>
      <w:r>
        <w:rPr>
          <w:rFonts w:cstheme="minorBidi"/>
          <w:szCs w:val="21"/>
        </w:rPr>
        <w:t>Rossby波的频散关系，进而计算群速度，并采用四阶Runge-Kutta方法积分射线方程，追踪扰动能量的传播轨迹</w:t>
      </w:r>
      <w:r>
        <w:rPr>
          <w:rFonts w:hint="eastAsia" w:cstheme="minorBidi"/>
          <w:szCs w:val="21"/>
        </w:rPr>
        <w:t>，并在此基础上，得到波射线通量</w:t>
      </w:r>
      <w:r>
        <w:rPr>
          <w:rFonts w:cstheme="minorBidi"/>
          <w:szCs w:val="21"/>
        </w:rPr>
        <w:t>。该系统既</w:t>
      </w:r>
      <w:r>
        <w:rPr>
          <w:rFonts w:hint="eastAsia" w:cstheme="minorBidi"/>
          <w:szCs w:val="21"/>
        </w:rPr>
        <w:t>可</w:t>
      </w:r>
      <w:r>
        <w:rPr>
          <w:rFonts w:cstheme="minorBidi"/>
          <w:szCs w:val="21"/>
        </w:rPr>
        <w:t>用于理论研究背景下Rossby波传播机制</w:t>
      </w:r>
      <w:r>
        <w:rPr>
          <w:rFonts w:hint="eastAsia" w:cstheme="minorBidi"/>
          <w:szCs w:val="21"/>
        </w:rPr>
        <w:t>的</w:t>
      </w:r>
      <w:r>
        <w:rPr>
          <w:rFonts w:cstheme="minorBidi"/>
          <w:szCs w:val="21"/>
        </w:rPr>
        <w:t>探讨，也可用于诊断实际环流中扰源激发及</w:t>
      </w:r>
      <w:r>
        <w:rPr>
          <w:rFonts w:hint="eastAsia" w:cstheme="minorBidi"/>
          <w:szCs w:val="21"/>
        </w:rPr>
        <w:t>其</w:t>
      </w:r>
      <w:r>
        <w:rPr>
          <w:rFonts w:cstheme="minorBidi"/>
          <w:szCs w:val="21"/>
        </w:rPr>
        <w:t>远程响应过程，是</w:t>
      </w:r>
      <w:r>
        <w:rPr>
          <w:rFonts w:hint="eastAsia" w:cstheme="minorBidi"/>
          <w:szCs w:val="21"/>
        </w:rPr>
        <w:t>研究</w:t>
      </w:r>
      <w:r>
        <w:rPr>
          <w:rFonts w:cstheme="minorBidi"/>
          <w:szCs w:val="21"/>
        </w:rPr>
        <w:t>各类遥相关型及能量上下游传输的</w:t>
      </w:r>
      <w:r>
        <w:rPr>
          <w:rFonts w:hint="eastAsia" w:cstheme="minorBidi"/>
          <w:szCs w:val="21"/>
        </w:rPr>
        <w:t>有效</w:t>
      </w:r>
      <w:r>
        <w:rPr>
          <w:rFonts w:cstheme="minorBidi"/>
          <w:szCs w:val="21"/>
        </w:rPr>
        <w:t>工具。</w:t>
      </w:r>
    </w:p>
    <w:p w14:paraId="09469074">
      <w:pPr>
        <w:ind w:firstLine="420" w:firstLineChars="200"/>
        <w:rPr>
          <w:rFonts w:cstheme="minorBidi"/>
          <w:szCs w:val="21"/>
        </w:rPr>
      </w:pPr>
      <w:r>
        <w:rPr>
          <w:rFonts w:hint="eastAsia" w:cstheme="minorBidi"/>
          <w:szCs w:val="21"/>
        </w:rPr>
        <w:t>使用说明包括五节。第一节为波射线各程序说明；第二节提供了使用示例；第三节介绍波射线程序运行方法细节；第四节介绍波射线通量程序使用方法；最后给出了相关文献引用方式。</w:t>
      </w:r>
    </w:p>
    <w:p w14:paraId="73205D5F">
      <w:pPr>
        <w:ind w:firstLine="420" w:firstLineChars="200"/>
        <w:rPr>
          <w:rFonts w:cstheme="minorBidi"/>
          <w:szCs w:val="21"/>
        </w:rPr>
      </w:pPr>
    </w:p>
    <w:p w14:paraId="3BAAFE4C">
      <w:pPr>
        <w:rPr>
          <w:rFonts w:hint="eastAsia" w:ascii="黑体" w:hAnsi="黑体" w:eastAsia="黑体" w:cs="宋体"/>
          <w:b/>
          <w:bCs/>
          <w:szCs w:val="21"/>
        </w:rPr>
      </w:pPr>
      <w:r>
        <w:rPr>
          <w:rFonts w:hint="eastAsia" w:ascii="黑体" w:hAnsi="黑体" w:eastAsia="黑体" w:cs="宋体"/>
          <w:b/>
          <w:bCs/>
          <w:szCs w:val="21"/>
        </w:rPr>
        <w:t>【贡献说明】</w:t>
      </w:r>
    </w:p>
    <w:p w14:paraId="29EA7BF5">
      <w:pPr>
        <w:pStyle w:val="16"/>
        <w:numPr>
          <w:ilvl w:val="0"/>
          <w:numId w:val="1"/>
        </w:numPr>
        <w:ind w:left="284" w:hanging="284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  <w:b/>
          <w:bCs/>
        </w:rPr>
        <w:t>波射线</w:t>
      </w:r>
      <w:r>
        <w:rPr>
          <w:rFonts w:hint="eastAsia" w:ascii="宋体" w:hAnsi="宋体" w:cs="宋体"/>
        </w:rPr>
        <w:t>程序编写（</w:t>
      </w:r>
      <w:r>
        <w:rPr>
          <w:rFonts w:cs="Times New Roman"/>
        </w:rPr>
        <w:t>Python</w:t>
      </w:r>
      <w:r>
        <w:rPr>
          <w:rFonts w:hint="eastAsia" w:ascii="宋体" w:hAnsi="宋体" w:cs="宋体"/>
        </w:rPr>
        <w:t>）：杨艺楠，李建平教授，李艳杰副研究员，赵森研究员，孙瑞鹏</w:t>
      </w:r>
    </w:p>
    <w:p w14:paraId="23A23162">
      <w:pPr>
        <w:pStyle w:val="16"/>
        <w:numPr>
          <w:ilvl w:val="0"/>
          <w:numId w:val="1"/>
        </w:numPr>
        <w:ind w:left="284" w:hanging="284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  <w:b/>
          <w:bCs/>
        </w:rPr>
        <w:t>波射线通量</w:t>
      </w:r>
      <w:r>
        <w:rPr>
          <w:rFonts w:hint="eastAsia"/>
        </w:rPr>
        <w:t>（</w:t>
      </w:r>
      <w:r>
        <w:rPr>
          <w:rFonts w:hint="eastAsia"/>
          <w:b/>
          <w:bCs/>
        </w:rPr>
        <w:t xml:space="preserve">Li-Yang </w:t>
      </w:r>
      <w:r>
        <w:rPr>
          <w:b/>
          <w:bCs/>
        </w:rPr>
        <w:t>WRF</w:t>
      </w:r>
      <w:r>
        <w:rPr>
          <w:rFonts w:hint="eastAsia"/>
        </w:rPr>
        <w:t>）</w:t>
      </w:r>
      <w:r>
        <w:rPr>
          <w:rFonts w:hint="eastAsia" w:ascii="宋体" w:hAnsi="宋体" w:cs="宋体"/>
        </w:rPr>
        <w:t>程序编写（</w:t>
      </w:r>
      <w:r>
        <w:rPr>
          <w:rFonts w:cs="Times New Roman"/>
        </w:rPr>
        <w:t>Python</w:t>
      </w:r>
      <w:r>
        <w:rPr>
          <w:rFonts w:hint="eastAsia" w:ascii="宋体" w:hAnsi="宋体" w:cs="宋体"/>
        </w:rPr>
        <w:t>）：杨艺楠，李建平教授</w:t>
      </w:r>
    </w:p>
    <w:p w14:paraId="204D4C1A">
      <w:pPr>
        <w:pStyle w:val="16"/>
        <w:numPr>
          <w:ilvl w:val="0"/>
          <w:numId w:val="1"/>
        </w:numPr>
        <w:ind w:left="284" w:hanging="284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程序使用说明：</w:t>
      </w:r>
      <w:r>
        <w:rPr>
          <w:rFonts w:hint="eastAsia"/>
        </w:rPr>
        <w:t>杨艺楠整理；</w:t>
      </w:r>
      <w:r>
        <w:rPr>
          <w:rFonts w:hint="eastAsia" w:ascii="宋体" w:hAnsi="宋体" w:cs="宋体"/>
        </w:rPr>
        <w:t>编写说明得到了赵森研究员，李建平教授的指导。</w:t>
      </w:r>
    </w:p>
    <w:p w14:paraId="506D5092">
      <w:pPr>
        <w:ind w:firstLine="420" w:firstLineChars="20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波射线程序（</w:t>
      </w:r>
      <w:r>
        <w:rPr>
          <w:szCs w:val="21"/>
        </w:rPr>
        <w:t>Python</w:t>
      </w:r>
      <w:r>
        <w:rPr>
          <w:rFonts w:hint="eastAsia" w:ascii="宋体" w:hAnsi="宋体" w:cs="宋体"/>
          <w:szCs w:val="21"/>
        </w:rPr>
        <w:t>）基于李艳杰</w:t>
      </w:r>
      <w:r>
        <w:rPr>
          <w:rFonts w:hint="eastAsia" w:ascii="宋体" w:hAnsi="宋体" w:cs="宋体"/>
        </w:rPr>
        <w:t>副研究员</w:t>
      </w:r>
      <w:r>
        <w:rPr>
          <w:rFonts w:hint="eastAsia" w:ascii="宋体" w:hAnsi="宋体" w:cs="宋体"/>
          <w:szCs w:val="21"/>
        </w:rPr>
        <w:t>，赵森</w:t>
      </w:r>
      <w:r>
        <w:rPr>
          <w:rFonts w:hint="eastAsia" w:ascii="宋体" w:hAnsi="宋体" w:cs="宋体"/>
        </w:rPr>
        <w:t>研究员</w:t>
      </w:r>
      <w:r>
        <w:rPr>
          <w:rFonts w:hint="eastAsia" w:ascii="宋体" w:hAnsi="宋体" w:cs="宋体"/>
          <w:szCs w:val="21"/>
        </w:rPr>
        <w:t>，李建平教授编写的波射线程序（</w:t>
      </w:r>
      <w:r>
        <w:rPr>
          <w:szCs w:val="21"/>
        </w:rPr>
        <w:t>Fortran</w:t>
      </w:r>
      <w:r>
        <w:rPr>
          <w:rFonts w:hint="eastAsia" w:ascii="宋体" w:hAnsi="宋体" w:cs="宋体"/>
          <w:szCs w:val="21"/>
        </w:rPr>
        <w:t>）改写，三位学者的工作为本程序提供了极为宝贵的参考价值与指导意义，在此特别感谢。此外，刘一凡也在波射线程序（</w:t>
      </w:r>
      <w:r>
        <w:rPr>
          <w:szCs w:val="21"/>
        </w:rPr>
        <w:t>Python</w:t>
      </w:r>
      <w:r>
        <w:rPr>
          <w:rFonts w:hint="eastAsia" w:ascii="宋体" w:hAnsi="宋体" w:cs="宋体"/>
          <w:szCs w:val="21"/>
        </w:rPr>
        <w:t>）编写过程中参与讨论，诸多同学如王琳洁、朱勉、张公俊等为</w:t>
      </w:r>
      <w:r>
        <w:rPr>
          <w:rFonts w:hint="eastAsia"/>
        </w:rPr>
        <w:t xml:space="preserve">Li-Yang </w:t>
      </w:r>
      <w:r>
        <w:t>WRF</w:t>
      </w:r>
      <w:r>
        <w:rPr>
          <w:rFonts w:hint="eastAsia"/>
        </w:rPr>
        <w:t>程序的完善提供了宝贵建议。</w:t>
      </w:r>
    </w:p>
    <w:p w14:paraId="0CB8C3B0">
      <w:pPr>
        <w:ind w:firstLine="420" w:firstLineChars="200"/>
        <w:rPr>
          <w:rFonts w:hint="eastAsia" w:ascii="宋体" w:hAnsi="宋体" w:cs="宋体"/>
          <w:szCs w:val="21"/>
        </w:rPr>
      </w:pPr>
    </w:p>
    <w:p w14:paraId="2737F7D4">
      <w:pPr>
        <w:pStyle w:val="3"/>
      </w:pPr>
      <w:r>
        <w:rPr>
          <w:rFonts w:hint="eastAsia"/>
        </w:rPr>
        <w:t>一．波射线各程序说明</w:t>
      </w:r>
    </w:p>
    <w:p w14:paraId="292B3F08">
      <w:r>
        <w:rPr>
          <w:rFonts w:hint="eastAsia"/>
        </w:rPr>
        <w:t>1. constants.py 设置常量与单位。</w:t>
      </w:r>
    </w:p>
    <w:p w14:paraId="7B1DE687">
      <w:r>
        <w:rPr>
          <w:rFonts w:hint="eastAsia"/>
        </w:rPr>
        <w:t>2. interpolation.py实现了二维场球面上的双线性插值，用于在任意位置获取基本流场及其一阶、二阶、三阶导数的值，支持不同分辨率；为后续Runge-Kutta积分、波数计算、群速度计算等提供连续空间。</w:t>
      </w:r>
    </w:p>
    <w:p w14:paraId="4521B3F7">
      <w:r>
        <w:rPr>
          <w:rFonts w:hint="eastAsia"/>
        </w:rPr>
        <w:t>3. bs.py 实现基本流（basic state, BS）预处理，</w:t>
      </w:r>
      <w:r>
        <w:t>计算背景场</w:t>
      </w:r>
      <w:r>
        <w:rPr>
          <w:rFonts w:hint="eastAsia"/>
        </w:rPr>
        <w:t>的各阶导数及其他核心变量（如绝对涡度</w:t>
      </w:r>
      <m:oMath>
        <m:r>
          <m:rPr/>
          <w:rPr>
            <w:rFonts w:ascii="Cambria Math" w:hAnsi="Cambria Math"/>
          </w:rPr>
          <m:t>q</m:t>
        </m:r>
      </m:oMath>
      <w:r>
        <w:rPr>
          <w:rFonts w:hint="eastAsia"/>
        </w:rPr>
        <w:t>及其各阶导数，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 w:hAnsi="Cambria Math"/>
        </w:rPr>
        <w:t>等）</w:t>
      </w:r>
    </w:p>
    <w:p w14:paraId="3901EC5D">
      <w:r>
        <w:rPr>
          <w:rFonts w:hint="eastAsia"/>
        </w:rPr>
        <w:t>4. wn.py 求解Rossby波的频散关系，进而求解经向波数</w:t>
      </w:r>
      <m:oMath>
        <m:r>
          <m:rPr/>
          <w:rPr>
            <w:rFonts w:ascii="Cambria Math" w:hAnsi="Cambria Math"/>
          </w:rPr>
          <m:t>l</m:t>
        </m:r>
      </m:oMath>
      <w:r>
        <w:rPr>
          <w:rFonts w:hint="eastAsia"/>
        </w:rPr>
        <w:t>。可以计算Hoskins and Ambrizzi （1993）的定常波数或者Hoskins and Yang（1996）的非定常波数，以及Zhao et al.（2015）的含有经向基本气流的波数分析。这些波数分析是完全取决于基本气流的，对于分析不同气候背景的波动传播有重要的启示意义。分析三根中是否存在实数根，并进行波传播条件与终止条件的判断。</w:t>
      </w:r>
    </w:p>
    <w:p w14:paraId="19D57943">
      <w:r>
        <w:rPr>
          <w:rFonts w:hint="eastAsia"/>
        </w:rPr>
        <w:t>5. wr.py 实现Rossby波的射线追踪。是本程序计算的核心模块。求解频散关系并使用四阶Runge-Kutta方法进行数值积分，输出波传播路径、波数、群速度、振幅。</w:t>
      </w:r>
    </w:p>
    <w:p w14:paraId="2D99D223">
      <w:r>
        <w:rPr>
          <w:rFonts w:hint="eastAsia"/>
        </w:rPr>
        <w:t>6. main_wr.py是波射线系统的执行入口（主程序），用于特定试验情形，负责完整的参数设定、模块调用和计算流程管理。使用者可根据研究内容自行调整参数。</w:t>
      </w:r>
    </w:p>
    <w:p w14:paraId="011F578B">
      <w:pPr>
        <w:numPr>
          <w:ilvl w:val="0"/>
          <w:numId w:val="2"/>
        </w:numPr>
      </w:pPr>
      <w:r>
        <w:t>补充：背景场处理可选择使用球面谐函数谱滤波（Spherical Harmonic Spectral Filtering, SHSF）</w:t>
      </w:r>
    </w:p>
    <w:p w14:paraId="2A6E2645">
      <w:pPr>
        <w:rPr>
          <w:rFonts w:eastAsiaTheme="minorEastAsia" w:cstheme="minorBidi"/>
          <w:szCs w:val="21"/>
        </w:rPr>
      </w:pPr>
      <w:r>
        <w:rPr>
          <w:rFonts w:hint="eastAsia" w:eastAsiaTheme="minorEastAsia" w:cstheme="minorBidi"/>
          <w:szCs w:val="21"/>
        </w:rPr>
        <w:t>方法介绍：SHSF</w:t>
      </w:r>
      <w:r>
        <w:rPr>
          <w:rFonts w:eastAsiaTheme="minorEastAsia" w:cstheme="minorBidi"/>
          <w:szCs w:val="21"/>
        </w:rPr>
        <w:t>属于经典的谱分析方法</w:t>
      </w:r>
      <w:r>
        <w:rPr>
          <w:rFonts w:hint="eastAsia" w:eastAsiaTheme="minorEastAsia" w:cstheme="minorBidi"/>
          <w:szCs w:val="21"/>
        </w:rPr>
        <w:t>，用于</w:t>
      </w:r>
      <w:r>
        <w:rPr>
          <w:rFonts w:eastAsiaTheme="minorEastAsia" w:cstheme="minorBidi"/>
          <w:szCs w:val="21"/>
        </w:rPr>
        <w:t>实现球面谐函数展开</w:t>
      </w:r>
      <w:r>
        <w:rPr>
          <w:sz w:val="24"/>
        </w:rPr>
        <w:t>–</w:t>
      </w:r>
      <w:r>
        <w:rPr>
          <w:rFonts w:eastAsiaTheme="minorEastAsia" w:cstheme="minorBidi"/>
          <w:szCs w:val="21"/>
        </w:rPr>
        <w:t>截断</w:t>
      </w:r>
      <w:r>
        <w:rPr>
          <w:sz w:val="24"/>
        </w:rPr>
        <w:t>–</w:t>
      </w:r>
      <w:r>
        <w:rPr>
          <w:rFonts w:eastAsiaTheme="minorEastAsia" w:cstheme="minorBidi"/>
          <w:szCs w:val="21"/>
        </w:rPr>
        <w:t>重建的过程，常用于对球面上的气象变量（如风场、位势高度等）进行低频提取、滤波、尺度分析或降噪重建。</w:t>
      </w:r>
      <w:r>
        <w:rPr>
          <w:rFonts w:hint="eastAsia" w:eastAsiaTheme="minorEastAsia" w:cstheme="minorBidi"/>
          <w:szCs w:val="21"/>
        </w:rPr>
        <w:t>主要分为以下三步：</w:t>
      </w:r>
    </w:p>
    <w:p w14:paraId="5EBEF670">
      <w:pPr>
        <w:ind w:firstLine="420" w:firstLineChars="200"/>
        <w:rPr>
          <w:rFonts w:eastAsiaTheme="minorEastAsia" w:cstheme="minorBidi"/>
          <w:szCs w:val="21"/>
        </w:rPr>
      </w:pPr>
      <w:r>
        <w:rPr>
          <w:rFonts w:hint="eastAsia" w:eastAsiaTheme="minorEastAsia" w:cstheme="minorBidi"/>
          <w:szCs w:val="21"/>
        </w:rPr>
        <w:t>（1）展开。</w:t>
      </w:r>
      <w:r>
        <w:rPr>
          <w:rFonts w:eastAsiaTheme="minorEastAsia" w:cstheme="minorBidi"/>
          <w:szCs w:val="21"/>
        </w:rPr>
        <w:t>将球面上的二维网格数据</w:t>
      </w:r>
      <m:oMath>
        <m:r>
          <m:rPr/>
          <w:rPr>
            <w:rFonts w:ascii="Cambria Math" w:hAnsi="Cambria Math" w:eastAsiaTheme="minorEastAsia"/>
          </w:rPr>
          <m:t>f(θ, ϕ)</m:t>
        </m:r>
      </m:oMath>
      <w:r>
        <w:rPr>
          <w:rFonts w:eastAsiaTheme="minorEastAsia" w:cstheme="minorBidi"/>
          <w:szCs w:val="21"/>
        </w:rPr>
        <w:t>展开为球谐函数之和：</w:t>
      </w:r>
    </w:p>
    <w:p w14:paraId="5F011611">
      <w:pPr>
        <w:rPr>
          <w:rFonts w:eastAsiaTheme="minorEastAsia" w:cstheme="minorBidi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eastAsiaTheme="minorEastAsia"/>
                  <w:i/>
                </w:rPr>
              </m:ctrlPr>
            </m:eqArrPr>
            <m:e>
              <m:r>
                <m:rPr/>
                <w:rPr>
                  <w:rFonts w:ascii="Cambria Math" w:hAnsi="Cambria Math" w:eastAsiaTheme="minorEastAsia"/>
                </w:rPr>
                <m:t>f</m:t>
              </m:r>
              <m:d>
                <m:d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Theme="minorEastAsia"/>
                    </w:rPr>
                    <m:t>θ,ϕ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</m:d>
              <m:r>
                <m:rPr/>
                <w:rPr>
                  <w:rFonts w:ascii="Cambria Math" w:hAnsi="Cambria Math" w:eastAsiaTheme="minorEastAsia"/>
                </w:rPr>
                <m:t>=</m:t>
              </m:r>
              <m:nary>
                <m:naryPr>
                  <m:chr m:val="∑"/>
                  <m:grow m:val="1"/>
                  <m:limLoc m:val="undOvr"/>
                  <m:ctrlPr>
                    <w:rPr>
                      <w:rFonts w:ascii="Cambria Math" w:hAnsi="Cambria Math" w:eastAsiaTheme="minorEastAsia"/>
                      <w:i/>
                    </w:rPr>
                  </m:ctrlPr>
                </m:naryPr>
                <m:sub>
                  <m:r>
                    <m:rPr/>
                    <w:rPr>
                      <w:rFonts w:ascii="Cambria Math" w:hAnsi="Cambria Math" w:eastAsiaTheme="minorEastAsia"/>
                    </w:rPr>
                    <m:t>l=0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  <m:sup>
                  <m:sSub>
                    <m:sSubP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Theme="minorEastAsia"/>
                        </w:rPr>
                        <m:t>L</m:t>
                      </m: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Theme="minorEastAsia"/>
                        </w:rPr>
                        <m:t>max</m:t>
                      </m: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p>
                <m:e>
                  <m:r>
                    <m:rPr/>
                    <w:rPr>
                      <w:rFonts w:ascii="Cambria Math" w:hAnsi="Cambria Math" w:eastAsiaTheme="minorEastAsia"/>
                    </w:rPr>
                    <m:t> 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</m:nary>
              <m:nary>
                <m:naryPr>
                  <m:chr m:val="∑"/>
                  <m:grow m:val="1"/>
                  <m:limLoc m:val="undOvr"/>
                  <m:ctrlPr>
                    <w:rPr>
                      <w:rFonts w:ascii="Cambria Math" w:hAnsi="Cambria Math" w:eastAsiaTheme="minorEastAsia"/>
                      <w:i/>
                    </w:rPr>
                  </m:ctrlPr>
                </m:naryPr>
                <m:sub>
                  <m:r>
                    <m:rPr/>
                    <w:rPr>
                      <w:rFonts w:ascii="Cambria Math" w:hAnsi="Cambria Math" w:eastAsiaTheme="minorEastAsia"/>
                    </w:rPr>
                    <m:t>m=−l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  <m:sup>
                  <m:r>
                    <m:rPr/>
                    <w:rPr>
                      <w:rFonts w:ascii="Cambria Math" w:hAnsi="Cambria Math" w:eastAsiaTheme="minorEastAsia"/>
                    </w:rPr>
                    <m:t>l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p>
                <m:e>
                  <m:r>
                    <m:rPr/>
                    <w:rPr>
                      <w:rFonts w:ascii="Cambria Math" w:hAnsi="Cambria Math" w:eastAsiaTheme="minorEastAsia"/>
                    </w:rPr>
                    <m:t> 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</m:nary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a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lm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Y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lm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Theme="minorEastAsia"/>
                    </w:rPr>
                    <m:t>θ,ϕ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</m:d>
              <m:r>
                <m:rPr/>
                <w:rPr>
                  <w:rFonts w:ascii="Cambria Math" w:hAnsi="Cambria Math" w:eastAsiaTheme="minorEastAsia"/>
                </w:rPr>
                <m:t>.#</m:t>
              </m:r>
              <m:d>
                <m:d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Theme="minorEastAsia"/>
                    </w:rPr>
                    <m:t>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</m:d>
              <m:ctrlPr>
                <w:rPr>
                  <w:rFonts w:ascii="Cambria Math" w:hAnsi="Cambria Math" w:eastAsiaTheme="minorEastAsia"/>
                  <w:i/>
                </w:rPr>
              </m:ctrlPr>
            </m:e>
          </m:eqArr>
        </m:oMath>
      </m:oMathPara>
    </w:p>
    <w:p w14:paraId="47B87792">
      <w:pPr>
        <w:rPr>
          <w:rFonts w:eastAsiaTheme="minorEastAsia" w:cstheme="minorBidi"/>
          <w:szCs w:val="21"/>
        </w:rPr>
      </w:pPr>
      <w:r>
        <w:rPr>
          <w:rFonts w:eastAsiaTheme="minorEastAsia" w:cstheme="minorBidi"/>
          <w:szCs w:val="21"/>
        </w:rPr>
        <w:t>其中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m:rPr/>
              <w:rPr>
                <w:rFonts w:ascii="Cambria Math" w:hAnsi="Cambria Math" w:eastAsiaTheme="minorEastAsia"/>
              </w:rPr>
              <m:t>Y</m:t>
            </m:r>
            <m:ctrlPr>
              <w:rPr>
                <w:rFonts w:ascii="Cambria Math" w:hAnsi="Cambria Math" w:eastAsiaTheme="minorEastAsia"/>
                <w:i/>
              </w:rPr>
            </m:ctrlPr>
          </m:e>
          <m:sub>
            <m:r>
              <m:rPr/>
              <w:rPr>
                <w:rFonts w:ascii="Cambria Math" w:hAnsi="Cambria Math" w:eastAsiaTheme="minorEastAsia"/>
              </w:rPr>
              <m:t>lm</m:t>
            </m:r>
            <m:ctrlPr>
              <w:rPr>
                <w:rFonts w:ascii="Cambria Math" w:hAnsi="Cambria Math" w:eastAsiaTheme="minorEastAsia"/>
                <w:i/>
              </w:rPr>
            </m:ctrlPr>
          </m:sub>
        </m:sSub>
      </m:oMath>
      <w:r>
        <w:rPr>
          <w:rFonts w:eastAsiaTheme="minorEastAsia" w:cstheme="minorBidi"/>
          <w:szCs w:val="21"/>
        </w:rPr>
        <w:t>是球谐函数，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  <m:sub>
            <m:r>
              <m:rPr/>
              <w:rPr>
                <w:rFonts w:ascii="Cambria Math" w:hAnsi="Cambria Math" w:eastAsiaTheme="minorEastAsia"/>
              </w:rPr>
              <m:t>lm</m:t>
            </m:r>
            <m:ctrlPr>
              <w:rPr>
                <w:rFonts w:ascii="Cambria Math" w:hAnsi="Cambria Math" w:eastAsiaTheme="minorEastAsia"/>
                <w:i/>
              </w:rPr>
            </m:ctrlPr>
          </m:sub>
        </m:sSub>
      </m:oMath>
      <w:r>
        <w:rPr>
          <w:rFonts w:eastAsiaTheme="minorEastAsia" w:cstheme="minorBidi"/>
          <w:szCs w:val="21"/>
        </w:rPr>
        <w:t>是展开系数</w:t>
      </w:r>
      <w:r>
        <w:rPr>
          <w:rFonts w:hint="eastAsia" w:eastAsiaTheme="minorEastAsia" w:cstheme="minorBidi"/>
          <w:szCs w:val="21"/>
        </w:rPr>
        <w:t>。</w:t>
      </w:r>
      <w:r>
        <w:rPr>
          <w:rFonts w:eastAsiaTheme="minorEastAsia" w:cstheme="minorBidi"/>
          <w:szCs w:val="21"/>
        </w:rPr>
        <w:t>使用的采样方案是Driscoll &amp; Healy (DH)，确保球面完全正交采样。</w:t>
      </w:r>
    </w:p>
    <w:p w14:paraId="0ACFFD60">
      <w:pPr>
        <w:ind w:firstLine="420" w:firstLineChars="200"/>
        <w:rPr>
          <w:rFonts w:eastAsiaTheme="minorEastAsia" w:cstheme="minorBidi"/>
          <w:szCs w:val="21"/>
        </w:rPr>
      </w:pPr>
      <w:r>
        <w:rPr>
          <w:rFonts w:hint="eastAsia" w:eastAsiaTheme="minorEastAsia" w:cstheme="minorBidi"/>
          <w:szCs w:val="21"/>
        </w:rPr>
        <w:t>（2）截断。</w:t>
      </w:r>
      <w:r>
        <w:rPr>
          <w:rFonts w:eastAsiaTheme="minorEastAsia" w:cstheme="minorBidi"/>
          <w:szCs w:val="21"/>
        </w:rPr>
        <w:t>将球谐级数限制到某一最大阶数</w:t>
      </w:r>
      <m:oMath>
        <m:r>
          <m:rPr/>
          <w:rPr>
            <w:rFonts w:ascii="Cambria Math" w:hAnsi="Cambria Math" w:eastAsiaTheme="minorEastAsia"/>
          </w:rPr>
          <m:t>l≤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m:rPr/>
              <w:rPr>
                <w:rFonts w:ascii="Cambria Math" w:hAnsi="Cambria Math" w:eastAsiaTheme="minorEastAsia"/>
              </w:rPr>
              <m:t>L</m:t>
            </m:r>
            <m:ctrlPr>
              <w:rPr>
                <w:rFonts w:ascii="Cambria Math" w:hAnsi="Cambria Math" w:eastAsiaTheme="minorEastAsia"/>
                <w:i/>
              </w:rPr>
            </m:ctrlPr>
          </m:e>
          <m:sub>
            <m:r>
              <m:rPr/>
              <w:rPr>
                <w:rFonts w:ascii="Cambria Math" w:hAnsi="Cambria Math" w:eastAsiaTheme="minorEastAsia"/>
              </w:rPr>
              <m:t>cutoff</m:t>
            </m:r>
            <m:ctrlPr>
              <w:rPr>
                <w:rFonts w:ascii="Cambria Math" w:hAnsi="Cambria Math" w:eastAsiaTheme="minorEastAsia"/>
                <w:i/>
              </w:rPr>
            </m:ctrlPr>
          </m:sub>
        </m:sSub>
      </m:oMath>
      <w:r>
        <w:rPr>
          <w:rFonts w:hint="eastAsia" w:eastAsiaTheme="minorEastAsia" w:cstheme="minorBidi"/>
          <w:szCs w:val="21"/>
        </w:rPr>
        <w:t>，</w:t>
      </w:r>
      <w:r>
        <w:rPr>
          <w:rFonts w:eastAsiaTheme="minorEastAsia" w:cstheme="minorBidi"/>
          <w:szCs w:val="21"/>
        </w:rPr>
        <w:t>丢弃高阶项（高频信息）：</w:t>
      </w:r>
    </w:p>
    <w:p w14:paraId="6837FD7A">
      <w:pPr>
        <w:rPr>
          <w:rFonts w:eastAsiaTheme="minorEastAsia" w:cstheme="minorBidi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eastAsiaTheme="minorEastAsia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f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trunc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Theme="minorEastAsia"/>
                    </w:rPr>
                    <m:t>θ,ϕ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</m:d>
              <m:r>
                <m:rPr/>
                <w:rPr>
                  <w:rFonts w:ascii="Cambria Math" w:hAnsi="Cambria Math" w:eastAsiaTheme="minorEastAsia"/>
                </w:rPr>
                <m:t>=</m:t>
              </m:r>
              <m:nary>
                <m:naryPr>
                  <m:chr m:val="∑"/>
                  <m:grow m:val="1"/>
                  <m:limLoc m:val="undOvr"/>
                  <m:ctrlPr>
                    <w:rPr>
                      <w:rFonts w:ascii="Cambria Math" w:hAnsi="Cambria Math" w:eastAsiaTheme="minorEastAsia"/>
                      <w:i/>
                    </w:rPr>
                  </m:ctrlPr>
                </m:naryPr>
                <m:sub>
                  <m:r>
                    <m:rPr/>
                    <w:rPr>
                      <w:rFonts w:ascii="Cambria Math" w:hAnsi="Cambria Math" w:eastAsiaTheme="minorEastAsia"/>
                    </w:rPr>
                    <m:t>l=0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  <m:sup>
                  <m:sSub>
                    <m:sSubP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Theme="minorEastAsia"/>
                        </w:rPr>
                        <m:t>L</m:t>
                      </m: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Theme="minorEastAsia"/>
                        </w:rPr>
                        <m:t>cutoff</m:t>
                      </m: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p>
                <m:e>
                  <m:r>
                    <m:rPr/>
                    <w:rPr>
                      <w:rFonts w:ascii="Cambria Math" w:hAnsi="Cambria Math" w:eastAsiaTheme="minorEastAsia"/>
                    </w:rPr>
                    <m:t> 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</m:nary>
              <m:nary>
                <m:naryPr>
                  <m:chr m:val="∑"/>
                  <m:grow m:val="1"/>
                  <m:limLoc m:val="undOvr"/>
                  <m:ctrlPr>
                    <w:rPr>
                      <w:rFonts w:ascii="Cambria Math" w:hAnsi="Cambria Math" w:eastAsiaTheme="minorEastAsia"/>
                      <w:i/>
                    </w:rPr>
                  </m:ctrlPr>
                </m:naryPr>
                <m:sub>
                  <m:r>
                    <m:rPr/>
                    <w:rPr>
                      <w:rFonts w:ascii="Cambria Math" w:hAnsi="Cambria Math" w:eastAsiaTheme="minorEastAsia"/>
                    </w:rPr>
                    <m:t>m=−l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  <m:sup>
                  <m:r>
                    <m:rPr/>
                    <w:rPr>
                      <w:rFonts w:ascii="Cambria Math" w:hAnsi="Cambria Math" w:eastAsiaTheme="minorEastAsia"/>
                    </w:rPr>
                    <m:t>l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p>
                <m:e>
                  <m:r>
                    <m:rPr/>
                    <w:rPr>
                      <w:rFonts w:ascii="Cambria Math" w:hAnsi="Cambria Math" w:eastAsiaTheme="minorEastAsia"/>
                    </w:rPr>
                    <m:t> 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</m:nary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a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lm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Y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lm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Theme="minorEastAsia"/>
                    </w:rPr>
                    <m:t>θ,ϕ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</m:d>
              <m:r>
                <m:rPr/>
                <w:rPr>
                  <w:rFonts w:ascii="Cambria Math" w:hAnsi="Cambria Math" w:eastAsiaTheme="minorEastAsia"/>
                </w:rPr>
                <m:t>.#</m:t>
              </m:r>
              <m:d>
                <m:d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Theme="minorEastAsia"/>
                    </w:rPr>
                    <m:t>2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</m:d>
              <m:ctrlPr>
                <w:rPr>
                  <w:rFonts w:ascii="Cambria Math" w:hAnsi="Cambria Math" w:eastAsiaTheme="minorEastAsia"/>
                  <w:i/>
                </w:rPr>
              </m:ctrlPr>
            </m:e>
          </m:eqArr>
        </m:oMath>
      </m:oMathPara>
    </w:p>
    <w:p w14:paraId="4704149A">
      <w:pPr>
        <w:rPr>
          <w:rFonts w:eastAsiaTheme="minorEastAsia" w:cstheme="minorBidi"/>
          <w:szCs w:val="21"/>
        </w:rPr>
      </w:pPr>
      <w:r>
        <w:rPr>
          <w:rFonts w:eastAsiaTheme="minorEastAsia" w:cstheme="minorBidi"/>
          <w:szCs w:val="21"/>
        </w:rPr>
        <w:t>对应于保留较大尺度、低频成分，去除高频噪声或局地扰动。</w:t>
      </w:r>
    </w:p>
    <w:p w14:paraId="02972546">
      <w:pPr>
        <w:ind w:firstLine="420" w:firstLineChars="200"/>
        <w:rPr>
          <w:rFonts w:eastAsiaTheme="minorEastAsia" w:cstheme="minorBidi"/>
          <w:szCs w:val="21"/>
        </w:rPr>
      </w:pPr>
      <w:r>
        <w:rPr>
          <w:rFonts w:hint="eastAsia" w:eastAsiaTheme="minorEastAsia" w:cstheme="minorBidi"/>
          <w:szCs w:val="21"/>
        </w:rPr>
        <w:t>（3）</w:t>
      </w:r>
      <w:r>
        <w:rPr>
          <w:rFonts w:eastAsiaTheme="minorEastAsia" w:cstheme="minorBidi"/>
          <w:szCs w:val="21"/>
        </w:rPr>
        <w:t>重建网格数据</w:t>
      </w:r>
      <w:r>
        <w:rPr>
          <w:rFonts w:hint="eastAsia" w:eastAsiaTheme="minorEastAsia" w:cstheme="minorBidi"/>
          <w:szCs w:val="21"/>
        </w:rPr>
        <w:t>。</w:t>
      </w:r>
      <w:r>
        <w:rPr>
          <w:rFonts w:eastAsiaTheme="minorEastAsia" w:cstheme="minorBidi"/>
          <w:szCs w:val="21"/>
        </w:rPr>
        <w:t>通过截断后的球谐系数重新合成网格场；实现从谱空间</w:t>
      </w:r>
      <w:r>
        <w:rPr>
          <w:rFonts w:hint="eastAsia" w:eastAsiaTheme="minorEastAsia" w:cstheme="minorBidi"/>
          <w:szCs w:val="21"/>
        </w:rPr>
        <w:t>到</w:t>
      </w:r>
      <w:r>
        <w:rPr>
          <w:rFonts w:eastAsiaTheme="minorEastAsia" w:cstheme="minorBidi"/>
          <w:szCs w:val="21"/>
        </w:rPr>
        <w:t>物理空间的转换。</w:t>
      </w:r>
    </w:p>
    <w:p w14:paraId="7B7DB349">
      <w:pPr>
        <w:rPr>
          <w:color w:val="0070C0"/>
        </w:rPr>
      </w:pPr>
      <w:r>
        <w:t>球谐函数平滑的程序，可参考赵森博士在github的公开库：</w:t>
      </w:r>
      <w:r>
        <w:rPr>
          <w:color w:val="0070C0"/>
        </w:rPr>
        <w:fldChar w:fldCharType="begin"/>
      </w:r>
      <w:r>
        <w:rPr>
          <w:color w:val="0070C0"/>
        </w:rPr>
        <w:instrText xml:space="preserve"> HYPERLINK "https://github.com/senclimate/xspharm" </w:instrText>
      </w:r>
      <w:r>
        <w:rPr>
          <w:color w:val="0070C0"/>
        </w:rPr>
        <w:fldChar w:fldCharType="separate"/>
      </w:r>
      <w:r>
        <w:rPr>
          <w:rStyle w:val="14"/>
          <w:color w:val="0070C0"/>
          <w:u w:val="none"/>
        </w:rPr>
        <w:t>https://github.com/senclimate/xspharm</w:t>
      </w:r>
      <w:r>
        <w:rPr>
          <w:color w:val="0070C0"/>
        </w:rPr>
        <w:fldChar w:fldCharType="end"/>
      </w:r>
    </w:p>
    <w:p w14:paraId="2053F4F4">
      <w:r>
        <w:t xml:space="preserve">利用Python第三方库pyshtools </w:t>
      </w:r>
      <w:r>
        <w:rPr>
          <w:rFonts w:hint="eastAsia"/>
        </w:rPr>
        <w:t>（</w:t>
      </w:r>
      <w:r>
        <w:t>SHTOOLS for Python）</w:t>
      </w:r>
      <w:r>
        <w:rPr>
          <w:rFonts w:hint="eastAsia"/>
        </w:rPr>
        <w:t>亦可</w:t>
      </w:r>
      <w:r>
        <w:t>实现上述过程</w:t>
      </w:r>
      <w:r>
        <w:rPr>
          <w:rFonts w:hint="eastAsia"/>
        </w:rPr>
        <w:t>，对应库中SHSF.py。</w:t>
      </w:r>
    </w:p>
    <w:p w14:paraId="4FE901BE">
      <w:r>
        <w:t>如使用NCL进行上述方法，可参考使用shaec, tri_trunc, shsec三个函数，功能或与上述三步对应。</w:t>
      </w:r>
    </w:p>
    <w:p w14:paraId="38F4AC57"/>
    <w:p w14:paraId="1D84690A">
      <w:pPr>
        <w:pStyle w:val="3"/>
        <w:numPr>
          <w:ilvl w:val="0"/>
          <w:numId w:val="3"/>
        </w:numPr>
      </w:pPr>
      <w:r>
        <w:rPr>
          <w:rFonts w:hint="eastAsia"/>
        </w:rPr>
        <w:t>计算示例</w:t>
      </w:r>
    </w:p>
    <w:p w14:paraId="7BBE5987">
      <w:r>
        <w:rPr>
          <w:rFonts w:hint="eastAsia"/>
        </w:rPr>
        <w:t>大圆理论通常被认为是球面Rossby波传播的近乎完美的理论框架（Hoskins and Karoly 1981; Karoly 1983），以其为例使用本程序运行的结果如图1，背景场（ideal basic flow.nc，刘一凡提供）、计算主程序（the Great Circle calu.py）与绘图代码（the Great Circle plot.py）已上传至库中，供读者体会学习。</w:t>
      </w:r>
    </w:p>
    <w:p w14:paraId="507D9963"/>
    <w:p w14:paraId="7D7242DA">
      <w:r>
        <w:drawing>
          <wp:inline distT="0" distB="0" distL="114300" distR="114300">
            <wp:extent cx="5271135" cy="2792095"/>
            <wp:effectExtent l="0" t="0" r="1206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BA7DF">
      <w:pPr>
        <w:jc w:val="center"/>
        <w:rPr>
          <w:highlight w:val="yellow"/>
        </w:rPr>
      </w:pPr>
      <w:r>
        <w:rPr>
          <w:rFonts w:hint="eastAsia"/>
        </w:rPr>
        <w:t>图1 基于理想基流的波射线试验，初始纬向波数为</w:t>
      </w:r>
      <m:oMath>
        <m:r>
          <m:rPr>
            <m:sty m:val="p"/>
          </m:rPr>
          <w:rPr>
            <w:rFonts w:hint="eastAsia"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  <w:szCs w:val="21"/>
            <w:lang w:bidi="ar"/>
          </w:rPr>
          <m:t>−</m:t>
        </m:r>
        <m:r>
          <m:rPr>
            <m:sty m:val="p"/>
          </m:rPr>
          <w:rPr>
            <w:rFonts w:hint="eastAsia" w:ascii="Cambria Math" w:hAnsi="Cambria Math"/>
          </w:rPr>
          <m:t>5</m:t>
        </m:r>
      </m:oMath>
      <w:r>
        <w:rPr>
          <w:rFonts w:hint="eastAsia"/>
        </w:rPr>
        <w:t>波，传播时间为</w:t>
      </w:r>
      <m:oMath>
        <m:r>
          <m:rPr>
            <m:sty m:val="p"/>
          </m:rPr>
          <w:rPr>
            <w:rFonts w:hint="eastAsia" w:ascii="Cambria Math" w:hAnsi="Cambria Math"/>
          </w:rPr>
          <m:t>30</m:t>
        </m:r>
      </m:oMath>
      <w:r>
        <w:rPr>
          <w:rFonts w:hint="eastAsia"/>
        </w:rPr>
        <w:t>天。波源经度设置在</w:t>
      </w:r>
      <m:oMath>
        <m:r>
          <m:rPr>
            <m:sty m:val="p"/>
          </m:rPr>
          <w:rPr>
            <w:rFonts w:hint="eastAsia" w:ascii="Cambria Math" w:hAnsi="Cambria Math"/>
          </w:rPr>
          <m:t>0°</m:t>
        </m:r>
      </m:oMath>
      <w:r>
        <w:rPr>
          <w:rFonts w:hint="eastAsia"/>
        </w:rPr>
        <w:t>，纬度沿</w:t>
      </w:r>
      <m:oMath>
        <m:r>
          <m:rPr>
            <m:sty m:val="p"/>
          </m:rPr>
          <w:rPr>
            <w:rFonts w:hint="eastAsia" w:ascii="Cambria Math" w:hAnsi="Cambria Math"/>
          </w:rPr>
          <m:t>0°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>
            <m:sty m:val="p"/>
          </m:rPr>
          <w:rPr>
            <w:rFonts w:hint="eastAsia" w:ascii="Cambria Math" w:hAnsi="Cambria Math"/>
          </w:rPr>
          <m:t>20°N</m:t>
        </m:r>
      </m:oMath>
      <w:r>
        <w:rPr>
          <w:rFonts w:hint="eastAsia" w:hAnsi="Cambria Math"/>
        </w:rPr>
        <w:t>，分辨率为</w:t>
      </w:r>
      <m:oMath>
        <m:r>
          <m:rPr>
            <m:sty m:val="p"/>
          </m:rPr>
          <w:rPr>
            <w:rFonts w:hint="eastAsia" w:ascii="Cambria Math" w:hAnsi="Cambria Math"/>
          </w:rPr>
          <m:t>5°</m:t>
        </m:r>
      </m:oMath>
    </w:p>
    <w:p w14:paraId="59E3E775">
      <w:pPr>
        <w:rPr>
          <w:rFonts w:cstheme="minorBidi"/>
          <w:szCs w:val="21"/>
        </w:rPr>
      </w:pPr>
    </w:p>
    <w:p w14:paraId="17335E5B">
      <w:pPr>
        <w:pStyle w:val="3"/>
        <w:numPr>
          <w:ilvl w:val="0"/>
          <w:numId w:val="3"/>
        </w:numPr>
        <w:rPr>
          <w:rFonts w:ascii="Times New Roman" w:hAnsi="Times New Roman" w:cstheme="minorBidi"/>
          <w:szCs w:val="21"/>
        </w:rPr>
      </w:pPr>
      <w:r>
        <w:t>波射线程序运行方法</w:t>
      </w:r>
    </w:p>
    <w:p w14:paraId="28B77D49">
      <w:r>
        <w:rPr>
          <w:rFonts w:hint="eastAsia"/>
        </w:rPr>
        <w:t>在主程序main_wr.py中设置参数：</w:t>
      </w:r>
    </w:p>
    <w:p w14:paraId="224E2426">
      <w:r>
        <w:drawing>
          <wp:inline distT="0" distB="0" distL="114300" distR="114300">
            <wp:extent cx="5268595" cy="2375535"/>
            <wp:effectExtent l="0" t="0" r="1905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D9C59">
      <w:r>
        <w:rPr>
          <w:rFonts w:hint="eastAsia"/>
        </w:rPr>
        <w:t>SW_lon, SW_lat是波源矩阵的起始位置（西南角）</w:t>
      </w:r>
    </w:p>
    <w:p w14:paraId="2CF3D44E">
      <w:r>
        <w:rPr>
          <w:rFonts w:hint="eastAsia"/>
        </w:rPr>
        <w:t>dlon, dlat为纬向，经向波源分辨率</w:t>
      </w:r>
    </w:p>
    <w:p w14:paraId="2124833D">
      <w:r>
        <w:rPr>
          <w:rFonts w:hint="eastAsia"/>
        </w:rPr>
        <w:t>Nnx, nny为纬向，经向波源个数</w:t>
      </w:r>
    </w:p>
    <w:p w14:paraId="10CB78E7">
      <w:r>
        <w:rPr>
          <w:rFonts w:hint="eastAsia"/>
        </w:rPr>
        <w:t>zwn为初始纬向波数</w:t>
      </w:r>
    </w:p>
    <w:p w14:paraId="68EA032B">
      <w:r>
        <w:rPr>
          <w:rFonts w:hint="eastAsia"/>
        </w:rPr>
        <w:t>tstep为时间步长，ttotal为总时长</w:t>
      </w:r>
    </w:p>
    <w:p w14:paraId="74886CDF">
      <w:r>
        <w:rPr>
          <w:rFonts w:hint="eastAsia"/>
        </w:rPr>
        <w:t>inputuv输入背景场，规则：提供的nc文件中需要包含</w:t>
      </w:r>
      <w:r>
        <w:t>’u’, ‘v’, ‘l</w:t>
      </w:r>
      <w:r>
        <w:rPr>
          <w:rFonts w:hint="eastAsia"/>
        </w:rPr>
        <w:t>at</w:t>
      </w:r>
      <w:r>
        <w:t>’, ‘l</w:t>
      </w:r>
      <w:r>
        <w:rPr>
          <w:rFonts w:hint="eastAsia"/>
        </w:rPr>
        <w:t>on</w:t>
      </w:r>
      <w:r>
        <w:t>’</w:t>
      </w:r>
      <w:r>
        <w:rPr>
          <w:rFonts w:hint="eastAsia"/>
        </w:rPr>
        <w:t>四个变量；'lat', 'latitude', 'Lat', 'Latitude'四种形式均可，lon同理；u, v形状需要为（lat, lon）；lon需要严格按照</w:t>
      </w:r>
      <m:oMath>
        <m:r>
          <m:rPr>
            <m:sty m:val="p"/>
          </m:rPr>
          <w:rPr>
            <w:rFonts w:hint="eastAsia" w:ascii="Cambria Math" w:hAnsi="Cambria Math"/>
          </w:rPr>
          <m:t>0°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>
            <m:sty m:val="p"/>
          </m:rPr>
          <w:rPr>
            <w:rFonts w:hint="eastAsia" w:ascii="Cambria Math" w:hAnsi="Cambria Math"/>
          </w:rPr>
          <m:t>360°</m:t>
        </m:r>
      </m:oMath>
      <w:r>
        <w:rPr>
          <w:rFonts w:hint="eastAsia"/>
        </w:rPr>
        <w:t>；lat需要为</w:t>
      </w:r>
      <m:oMath>
        <m:r>
          <m:rPr>
            <m:sty m:val="p"/>
          </m:rPr>
          <w:rPr>
            <w:rFonts w:ascii="Cambria Math"/>
          </w:rPr>
          <m:t>−</m:t>
        </m:r>
        <m:r>
          <m:rPr>
            <m:sty m:val="p"/>
          </m:rPr>
          <w:rPr>
            <w:rFonts w:hint="eastAsia" w:ascii="Cambria Math" w:hAnsi="Cambria Math"/>
          </w:rPr>
          <m:t>90（90°S）</m:t>
        </m:r>
      </m:oMath>
      <w:r>
        <w:rPr>
          <w:rFonts w:hint="eastAsia"/>
        </w:rPr>
        <w:t>起始</w:t>
      </w:r>
    </w:p>
    <w:p w14:paraId="30C5A890">
      <w:r>
        <w:rPr>
          <w:rFonts w:hint="eastAsia"/>
        </w:rPr>
        <w:t>bsfile为输出背景场的全部诊断量</w:t>
      </w:r>
    </w:p>
    <w:p w14:paraId="29E07867">
      <w:pPr>
        <w:rPr>
          <w:rFonts w:hint="default" w:eastAsia="宋体"/>
          <w:lang w:val="en-US" w:eastAsia="zh-CN"/>
        </w:rPr>
      </w:pPr>
      <w:r>
        <w:rPr>
          <w:rFonts w:hint="eastAsia"/>
        </w:rPr>
        <w:t>ncfile输出波射线的计算结果，包含rlon（波射线路径经度变量），rlat（波射线路径纬度变量），rzwn（波射线纬向波数变量），rmwn（波射线经向波数变量）</w:t>
      </w:r>
      <w:r>
        <w:rPr>
          <w:rFonts w:hint="eastAsia"/>
          <w:lang w:eastAsia="zh-CN"/>
        </w:rPr>
        <w:t>，ramp（</w:t>
      </w:r>
      <w:r>
        <w:rPr>
          <w:rFonts w:hint="eastAsia"/>
          <w:lang w:val="en-US" w:eastAsia="zh-CN"/>
        </w:rPr>
        <w:t>波传播过程中的振幅变量</w:t>
      </w:r>
      <w:r>
        <w:rPr>
          <w:rFonts w:hint="eastAsia"/>
          <w:lang w:eastAsia="zh-CN"/>
        </w:rPr>
        <w:t>），</w:t>
      </w:r>
      <w:r>
        <w:rPr>
          <w:rFonts w:hint="eastAsia"/>
          <w:lang w:val="en-US" w:eastAsia="zh-CN"/>
        </w:rPr>
        <w:t>rug（波传播过程中的纬向群速度变量），rvg（波传播过程中的经向群速度变量）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p w14:paraId="2377C3F6"/>
    <w:p w14:paraId="44A58537">
      <w:pPr>
        <w:pStyle w:val="3"/>
        <w:numPr>
          <w:ilvl w:val="0"/>
          <w:numId w:val="3"/>
        </w:numPr>
      </w:pPr>
      <w:r>
        <w:t>波射线通量</w:t>
      </w:r>
      <w:r>
        <w:rPr>
          <w:rFonts w:hint="eastAsia"/>
        </w:rPr>
        <w:t>程序</w:t>
      </w:r>
      <w:r>
        <w:t>使用方法</w:t>
      </w:r>
    </w:p>
    <w:p w14:paraId="1CF46873">
      <w:pPr>
        <w:ind w:firstLine="420" w:firstLineChars="200"/>
      </w:pPr>
      <w:r>
        <w:t xml:space="preserve">在水平非均匀基本流场中的Rossby波射线追踪理论基础上，Yang and Li（2025）提出了一个新的概念，水平Rossby波射线通量（wave ray flux, </w:t>
      </w:r>
      <w:r>
        <w:rPr>
          <w:rFonts w:hint="eastAsia"/>
        </w:rPr>
        <w:t xml:space="preserve">Li-Yang </w:t>
      </w:r>
      <w:r>
        <w:t>WRF），以诊断Rossby波的传播路径、局地活跃度及传播方向。理论与方法请读者在具体文献中理解、学习。</w:t>
      </w:r>
    </w:p>
    <w:p w14:paraId="6757B29B">
      <w:r>
        <w:t>程序分为三个函数</w:t>
      </w:r>
      <w:r>
        <w:rPr>
          <w:rFonts w:hint="eastAsia"/>
        </w:rPr>
        <w:t>文件</w:t>
      </w:r>
      <w:r>
        <w:t>（Fun1_threshold, Fun2_region_threshold, Fun3_WRF_calculate）与一个主程序（WRF_universal）。功能如下：</w:t>
      </w:r>
    </w:p>
    <w:p w14:paraId="2A6BD24E">
      <w:r>
        <w:t>（1）Fun1_threshold 提取计算波射线的结果变量</w:t>
      </w:r>
      <w:r>
        <w:rPr>
          <w:rFonts w:hint="eastAsia"/>
        </w:rPr>
        <w:t>，</w:t>
      </w:r>
      <w:r>
        <w:t>设置截断速度阈值，剔除波数异常（</w:t>
      </w:r>
      <w:r>
        <w:rPr>
          <w:rFonts w:hint="eastAsia"/>
        </w:rPr>
        <w:t>后两者为</w:t>
      </w:r>
      <w:r>
        <w:t>可选</w:t>
      </w:r>
      <w:r>
        <w:rPr>
          <w:rFonts w:hint="eastAsia"/>
        </w:rPr>
        <w:t>参数</w:t>
      </w:r>
      <w:r>
        <w:t>）；</w:t>
      </w:r>
    </w:p>
    <w:p w14:paraId="056FC6B1">
      <w:r>
        <w:t>（2）Fun2_region_threshold 选择经过目标区域的波射线；</w:t>
      </w:r>
    </w:p>
    <w:p w14:paraId="2C262B4D">
      <w:r>
        <w:t>（3）Fun3_WRF_calculate 计算波射线通量WRF。</w:t>
      </w:r>
      <w:r>
        <w:rPr>
          <w:rFonts w:hint="eastAsia"/>
        </w:rPr>
        <w:t>随着程序的不断发展，能够计算的变量增多，如波传播的平均时间，平均速度，及通过目标区的波射线的波源等，同样是诊断Rossby波活动的有力工具。</w:t>
      </w:r>
    </w:p>
    <w:p w14:paraId="4F57E8E3">
      <w:pPr>
        <w:ind w:firstLine="420" w:firstLineChars="200"/>
      </w:pPr>
      <w:r>
        <w:rPr>
          <w:rFonts w:hint="eastAsia"/>
        </w:rPr>
        <w:t>以上均在主程序（WRF_universal）进行操作。需注意，因研究需求的不同，如有人关注东半球东传至西半球的波，有人关注西半球东传至东半球的波，有人关注东半球西传至西半球的波等等，这都为WRF的平面可视化提出挑战。基于此，Li-Yang WRF计算的范围覆盖了三圈经度（</w:t>
      </w:r>
      <m:oMath>
        <m:r>
          <m:rPr>
            <m:sty m:val="p"/>
          </m:rPr>
          <w:rPr>
            <w:rFonts w:ascii="Cambria Math" w:hAnsi="Cambria Math"/>
          </w:rPr>
          <m:t>−</m:t>
        </m:r>
        <m:r>
          <m:rPr>
            <m:sty m:val="p"/>
          </m:rPr>
          <w:rPr>
            <w:rFonts w:hint="eastAsia" w:ascii="Cambria Math" w:hAnsi="Cambria Math"/>
          </w:rPr>
          <m:t>360°至720°</m:t>
        </m:r>
      </m:oMath>
      <w:r>
        <w:rPr>
          <w:rFonts w:hint="eastAsia"/>
        </w:rPr>
        <w:t>），可满足上述需求。纬度变化由于基本流的限制无需考虑上述情况。</w:t>
      </w:r>
    </w:p>
    <w:p w14:paraId="7A8E23FA"/>
    <w:p w14:paraId="3A073404">
      <w:pPr>
        <w:pStyle w:val="3"/>
        <w:numPr>
          <w:ilvl w:val="0"/>
          <w:numId w:val="3"/>
        </w:numPr>
      </w:pPr>
      <w:r>
        <w:rPr>
          <w:rFonts w:hint="eastAsia"/>
        </w:rPr>
        <w:t>引用方式</w:t>
      </w:r>
    </w:p>
    <w:p w14:paraId="41636395">
      <w:pPr>
        <w:pStyle w:val="3"/>
      </w:pPr>
      <w:r>
        <w:rPr>
          <w:rFonts w:hint="eastAsia"/>
        </w:rPr>
        <w:t>波射线与波射线通量</w:t>
      </w:r>
    </w:p>
    <w:p w14:paraId="1CF014B6">
      <w:pPr>
        <w:ind w:left="720" w:hanging="720"/>
        <w:rPr>
          <w:szCs w:val="21"/>
          <w:lang w:bidi="ar"/>
        </w:rPr>
      </w:pPr>
      <w:r>
        <w:rPr>
          <w:szCs w:val="21"/>
          <w:lang w:bidi="ar"/>
        </w:rPr>
        <w:t>Li, Y. J. and J. P. Li, 2012: Propagation of planetary waves in the horizontal non-uniform basic flow. </w:t>
      </w:r>
      <w:r>
        <w:rPr>
          <w:i/>
          <w:iCs/>
          <w:szCs w:val="21"/>
          <w:lang w:bidi="ar"/>
        </w:rPr>
        <w:t>Chin. J. Geophys. (in Chinese),</w:t>
      </w:r>
      <w:r>
        <w:rPr>
          <w:szCs w:val="21"/>
          <w:lang w:bidi="ar"/>
        </w:rPr>
        <w:t> </w:t>
      </w:r>
      <w:r>
        <w:rPr>
          <w:b/>
          <w:bCs/>
          <w:szCs w:val="21"/>
          <w:lang w:bidi="ar"/>
        </w:rPr>
        <w:t>55</w:t>
      </w:r>
      <w:r>
        <w:rPr>
          <w:szCs w:val="21"/>
          <w:lang w:bidi="ar"/>
        </w:rPr>
        <w:t xml:space="preserve">, 361–371. </w:t>
      </w:r>
    </w:p>
    <w:p w14:paraId="41574BD4">
      <w:pPr>
        <w:ind w:left="720" w:hanging="720"/>
        <w:rPr>
          <w:szCs w:val="21"/>
        </w:rPr>
      </w:pPr>
      <w:r>
        <w:rPr>
          <w:szCs w:val="21"/>
          <w:lang w:bidi="ar"/>
        </w:rPr>
        <w:fldChar w:fldCharType="begin"/>
      </w:r>
      <w:r>
        <w:rPr>
          <w:szCs w:val="21"/>
          <w:lang w:bidi="ar"/>
        </w:rPr>
        <w:instrText xml:space="preserve"> ADDIN ZOTERO_BIBL {"uncited":[],"omitted":[],"custom":[]} CSL_BIBLIOGRAPHY </w:instrText>
      </w:r>
      <w:r>
        <w:rPr>
          <w:szCs w:val="21"/>
          <w:lang w:bidi="ar"/>
        </w:rPr>
        <w:fldChar w:fldCharType="separate"/>
      </w:r>
      <w:r>
        <w:rPr>
          <w:szCs w:val="21"/>
          <w:lang w:bidi="ar"/>
        </w:rPr>
        <w:t xml:space="preserve">——, ——, F.-F. Jin, and S. Zhao, 2015: Interhemispheric propagation of stationary Rossby waves in a horizontally nonuniform background flow. </w:t>
      </w:r>
      <w:r>
        <w:rPr>
          <w:i/>
          <w:iCs/>
          <w:szCs w:val="21"/>
          <w:lang w:bidi="ar"/>
        </w:rPr>
        <w:t>J. Atmospheric Sci.</w:t>
      </w:r>
      <w:r>
        <w:rPr>
          <w:szCs w:val="21"/>
          <w:lang w:bidi="ar"/>
        </w:rPr>
        <w:t xml:space="preserve">, </w:t>
      </w:r>
      <w:r>
        <w:rPr>
          <w:b/>
          <w:bCs/>
          <w:szCs w:val="21"/>
          <w:lang w:bidi="ar"/>
        </w:rPr>
        <w:t>72</w:t>
      </w:r>
      <w:r>
        <w:rPr>
          <w:szCs w:val="21"/>
          <w:lang w:bidi="ar"/>
        </w:rPr>
        <w:t xml:space="preserve">, 3233–3256, </w:t>
      </w:r>
      <w:r>
        <w:fldChar w:fldCharType="begin"/>
      </w:r>
      <w:r>
        <w:instrText xml:space="preserve"> HYPERLINK "https://doi.org/10.1175/JAS-D-14-0239.1" </w:instrText>
      </w:r>
      <w:r>
        <w:fldChar w:fldCharType="separate"/>
      </w:r>
      <w:r>
        <w:rPr>
          <w:color w:val="0563C1" w:themeColor="hyperlink"/>
          <w:szCs w:val="21"/>
          <w14:textFill>
            <w14:solidFill>
              <w14:schemeClr w14:val="hlink"/>
            </w14:solidFill>
          </w14:textFill>
        </w:rPr>
        <w:t>https://doi.org/10.1175/JAS-D-14-0239.1</w:t>
      </w:r>
      <w:r>
        <w:rPr>
          <w:color w:val="0563C1" w:themeColor="hyperlink"/>
          <w:szCs w:val="21"/>
          <w14:textFill>
            <w14:solidFill>
              <w14:schemeClr w14:val="hlink"/>
            </w14:solidFill>
          </w14:textFill>
        </w:rPr>
        <w:fldChar w:fldCharType="end"/>
      </w:r>
      <w:r>
        <w:rPr>
          <w:szCs w:val="21"/>
          <w:lang w:bidi="ar"/>
        </w:rPr>
        <w:t>.</w:t>
      </w:r>
    </w:p>
    <w:p w14:paraId="4D04E951">
      <w:pPr>
        <w:ind w:left="720" w:hanging="720"/>
        <w:rPr>
          <w:szCs w:val="21"/>
        </w:rPr>
      </w:pPr>
      <w:r>
        <w:rPr>
          <w:szCs w:val="21"/>
          <w:lang w:bidi="ar"/>
        </w:rPr>
        <w:t xml:space="preserve">——, J. Feng, J. P. Li, and A. Hu, 2019: Equatorial windows and barriers for stationary Rossby wave propagation. </w:t>
      </w:r>
      <w:r>
        <w:rPr>
          <w:i/>
          <w:iCs/>
          <w:szCs w:val="21"/>
          <w:lang w:bidi="ar"/>
        </w:rPr>
        <w:t>J. Clim.</w:t>
      </w:r>
      <w:r>
        <w:rPr>
          <w:szCs w:val="21"/>
          <w:lang w:bidi="ar"/>
        </w:rPr>
        <w:t xml:space="preserve">, </w:t>
      </w:r>
      <w:r>
        <w:rPr>
          <w:b/>
          <w:bCs/>
          <w:szCs w:val="21"/>
          <w:lang w:bidi="ar"/>
        </w:rPr>
        <w:t>32</w:t>
      </w:r>
      <w:r>
        <w:rPr>
          <w:szCs w:val="21"/>
          <w:lang w:bidi="ar"/>
        </w:rPr>
        <w:t xml:space="preserve">, 6117–6135, </w:t>
      </w:r>
      <w:r>
        <w:fldChar w:fldCharType="begin"/>
      </w:r>
      <w:r>
        <w:instrText xml:space="preserve"> HYPERLINK "https://doi.org/10.1175/JCLI-D-18-0722.1" </w:instrText>
      </w:r>
      <w:r>
        <w:fldChar w:fldCharType="separate"/>
      </w:r>
      <w:r>
        <w:rPr>
          <w:color w:val="0563C1" w:themeColor="hyperlink"/>
          <w:szCs w:val="21"/>
          <w14:textFill>
            <w14:solidFill>
              <w14:schemeClr w14:val="hlink"/>
            </w14:solidFill>
          </w14:textFill>
        </w:rPr>
        <w:t>https://doi.org/10.1175/JCLI-D-18-0722.1</w:t>
      </w:r>
      <w:r>
        <w:rPr>
          <w:color w:val="0563C1" w:themeColor="hyperlink"/>
          <w:szCs w:val="21"/>
          <w14:textFill>
            <w14:solidFill>
              <w14:schemeClr w14:val="hlink"/>
            </w14:solidFill>
          </w14:textFill>
        </w:rPr>
        <w:fldChar w:fldCharType="end"/>
      </w:r>
      <w:r>
        <w:rPr>
          <w:szCs w:val="21"/>
          <w:lang w:bidi="ar"/>
        </w:rPr>
        <w:t>.</w:t>
      </w:r>
    </w:p>
    <w:p w14:paraId="5077B871">
      <w:pPr>
        <w:ind w:left="720" w:hanging="720"/>
        <w:rPr>
          <w:szCs w:val="21"/>
        </w:rPr>
      </w:pPr>
      <w:r>
        <w:rPr>
          <w:szCs w:val="21"/>
          <w:lang w:bidi="ar"/>
        </w:rPr>
        <w:t>Yang, Y. N. and J. P. Li, 2025: Novel monsoon indices based on vector projection and directed angle for measuring the East Asian summer monsoon. </w:t>
      </w:r>
      <w:r>
        <w:rPr>
          <w:i/>
          <w:iCs/>
          <w:szCs w:val="21"/>
          <w:lang w:bidi="ar"/>
        </w:rPr>
        <w:t>Clim. Dyn.,</w:t>
      </w:r>
      <w:r>
        <w:rPr>
          <w:szCs w:val="21"/>
          <w:lang w:bidi="ar"/>
        </w:rPr>
        <w:t> </w:t>
      </w:r>
      <w:r>
        <w:rPr>
          <w:b/>
          <w:bCs/>
          <w:szCs w:val="21"/>
          <w:lang w:bidi="ar"/>
        </w:rPr>
        <w:t>63</w:t>
      </w:r>
      <w:r>
        <w:rPr>
          <w:szCs w:val="21"/>
          <w:lang w:bidi="ar"/>
        </w:rPr>
        <w:t xml:space="preserve">, 210, </w:t>
      </w:r>
      <w:r>
        <w:fldChar w:fldCharType="begin"/>
      </w:r>
      <w:r>
        <w:instrText xml:space="preserve"> HYPERLINK "https://doi.org/10.1007/s00382-025-07696-7" </w:instrText>
      </w:r>
      <w:r>
        <w:fldChar w:fldCharType="separate"/>
      </w:r>
      <w:r>
        <w:rPr>
          <w:color w:val="0563C1" w:themeColor="hyperlink"/>
          <w:szCs w:val="21"/>
          <w14:textFill>
            <w14:solidFill>
              <w14:schemeClr w14:val="hlink"/>
            </w14:solidFill>
          </w14:textFill>
        </w:rPr>
        <w:t>https://doi.org/10.1007/s00382-025-07696-7</w:t>
      </w:r>
      <w:r>
        <w:rPr>
          <w:color w:val="0563C1" w:themeColor="hyperlink"/>
          <w:szCs w:val="21"/>
          <w14:textFill>
            <w14:solidFill>
              <w14:schemeClr w14:val="hlink"/>
            </w14:solidFill>
          </w14:textFill>
        </w:rPr>
        <w:fldChar w:fldCharType="end"/>
      </w:r>
    </w:p>
    <w:p w14:paraId="1BEBB619">
      <w:pPr>
        <w:ind w:left="720" w:hanging="720"/>
        <w:rPr>
          <w:szCs w:val="21"/>
        </w:rPr>
      </w:pPr>
      <w:r>
        <w:rPr>
          <w:szCs w:val="21"/>
          <w:lang w:bidi="ar"/>
        </w:rPr>
        <w:t xml:space="preserve">Zhao, S., J. P. Li, and Y. J. Li, 2015: Dynamics of an interhemispheric teleconnection across the critical latitude through a southerly duct during boreal winter. </w:t>
      </w:r>
      <w:r>
        <w:rPr>
          <w:i/>
          <w:iCs/>
          <w:szCs w:val="21"/>
          <w:lang w:bidi="ar"/>
        </w:rPr>
        <w:t>J. Clim.</w:t>
      </w:r>
      <w:r>
        <w:rPr>
          <w:szCs w:val="21"/>
          <w:lang w:bidi="ar"/>
        </w:rPr>
        <w:t xml:space="preserve">, </w:t>
      </w:r>
      <w:r>
        <w:rPr>
          <w:b/>
          <w:bCs/>
          <w:szCs w:val="21"/>
          <w:lang w:bidi="ar"/>
        </w:rPr>
        <w:t>28</w:t>
      </w:r>
      <w:r>
        <w:rPr>
          <w:szCs w:val="21"/>
          <w:lang w:bidi="ar"/>
        </w:rPr>
        <w:t xml:space="preserve">, 7437–7456, </w:t>
      </w:r>
      <w:r>
        <w:fldChar w:fldCharType="begin"/>
      </w:r>
      <w:r>
        <w:instrText xml:space="preserve"> HYPERLINK "https://doi.org/10.1175/JCLI-D-14-00425.1" </w:instrText>
      </w:r>
      <w:r>
        <w:fldChar w:fldCharType="separate"/>
      </w:r>
      <w:r>
        <w:rPr>
          <w:color w:val="0563C1" w:themeColor="hyperlink"/>
          <w:szCs w:val="21"/>
          <w14:textFill>
            <w14:solidFill>
              <w14:schemeClr w14:val="hlink"/>
            </w14:solidFill>
          </w14:textFill>
        </w:rPr>
        <w:t>https://doi.org/10.1175/JCLI-D-14-00425.1</w:t>
      </w:r>
      <w:r>
        <w:rPr>
          <w:color w:val="0563C1" w:themeColor="hyperlink"/>
          <w:szCs w:val="21"/>
          <w14:textFill>
            <w14:solidFill>
              <w14:schemeClr w14:val="hlink"/>
            </w14:solidFill>
          </w14:textFill>
        </w:rPr>
        <w:fldChar w:fldCharType="end"/>
      </w:r>
      <w:r>
        <w:rPr>
          <w:szCs w:val="21"/>
          <w:lang w:bidi="ar"/>
        </w:rPr>
        <w:t>.</w:t>
      </w:r>
    </w:p>
    <w:p w14:paraId="3CB597E7">
      <w:pPr>
        <w:ind w:left="720" w:hanging="720"/>
        <w:rPr>
          <w:szCs w:val="21"/>
        </w:rPr>
      </w:pPr>
      <w:r>
        <w:rPr>
          <w:szCs w:val="21"/>
          <w:lang w:bidi="ar"/>
        </w:rPr>
        <w:t xml:space="preserve">——, ——, ——, F.-F. Jin, and J. Zheng, 2019: Interhemispheric influence of Indo-Pacific convection oscillation on douthern jemisphere rainfall through southward propagation of Rossby waves. </w:t>
      </w:r>
      <w:r>
        <w:rPr>
          <w:i/>
          <w:iCs/>
          <w:szCs w:val="21"/>
          <w:lang w:bidi="ar"/>
        </w:rPr>
        <w:t>Clim. Dyn.</w:t>
      </w:r>
      <w:r>
        <w:rPr>
          <w:szCs w:val="21"/>
          <w:lang w:bidi="ar"/>
        </w:rPr>
        <w:t xml:space="preserve">, </w:t>
      </w:r>
      <w:r>
        <w:rPr>
          <w:b/>
          <w:bCs/>
          <w:szCs w:val="21"/>
          <w:lang w:bidi="ar"/>
        </w:rPr>
        <w:t>52</w:t>
      </w:r>
      <w:r>
        <w:rPr>
          <w:szCs w:val="21"/>
          <w:lang w:bidi="ar"/>
        </w:rPr>
        <w:t xml:space="preserve">, 3203–3221, </w:t>
      </w:r>
      <w:r>
        <w:fldChar w:fldCharType="begin"/>
      </w:r>
      <w:r>
        <w:instrText xml:space="preserve"> HYPERLINK "https://doi.org/10.1007/s00382-018-4324-y" </w:instrText>
      </w:r>
      <w:r>
        <w:fldChar w:fldCharType="separate"/>
      </w:r>
      <w:r>
        <w:rPr>
          <w:color w:val="0563C1" w:themeColor="hyperlink"/>
          <w:szCs w:val="21"/>
          <w14:textFill>
            <w14:solidFill>
              <w14:schemeClr w14:val="hlink"/>
            </w14:solidFill>
          </w14:textFill>
        </w:rPr>
        <w:t>https://doi.org/10.1007/s00382-018-4324-y</w:t>
      </w:r>
      <w:r>
        <w:rPr>
          <w:color w:val="0563C1" w:themeColor="hyperlink"/>
          <w:szCs w:val="21"/>
          <w14:textFill>
            <w14:solidFill>
              <w14:schemeClr w14:val="hlink"/>
            </w14:solidFill>
          </w14:textFill>
        </w:rPr>
        <w:fldChar w:fldCharType="end"/>
      </w:r>
      <w:r>
        <w:rPr>
          <w:szCs w:val="21"/>
          <w:lang w:bidi="ar"/>
        </w:rPr>
        <w:t>.</w:t>
      </w:r>
    </w:p>
    <w:p w14:paraId="1D9142F3">
      <w:r>
        <w:rPr>
          <w:szCs w:val="21"/>
          <w:lang w:bidi="ar"/>
        </w:rPr>
        <w:fldChar w:fldCharType="end"/>
      </w:r>
    </w:p>
    <w:p w14:paraId="68C2296F">
      <w:pPr>
        <w:pStyle w:val="3"/>
        <w:rPr>
          <w:szCs w:val="21"/>
          <w:lang w:bidi="ar"/>
        </w:rPr>
      </w:pPr>
      <w:r>
        <w:rPr>
          <w:rFonts w:hint="eastAsia"/>
          <w:szCs w:val="21"/>
          <w:lang w:bidi="ar"/>
        </w:rPr>
        <w:t>说明中提到的经典文献</w:t>
      </w:r>
    </w:p>
    <w:p w14:paraId="7BBC7A43">
      <w:pPr>
        <w:ind w:left="720" w:hanging="720"/>
        <w:rPr>
          <w:szCs w:val="21"/>
          <w:lang w:bidi="ar"/>
        </w:rPr>
      </w:pPr>
      <w:r>
        <w:rPr>
          <w:szCs w:val="21"/>
          <w:lang w:bidi="ar"/>
        </w:rPr>
        <w:t>Hoskins</w:t>
      </w:r>
      <w:r>
        <w:rPr>
          <w:rFonts w:hint="eastAsia"/>
          <w:szCs w:val="21"/>
          <w:lang w:bidi="ar"/>
        </w:rPr>
        <w:t>,</w:t>
      </w:r>
      <w:r>
        <w:rPr>
          <w:szCs w:val="21"/>
          <w:lang w:bidi="ar"/>
        </w:rPr>
        <w:t xml:space="preserve"> B</w:t>
      </w:r>
      <w:r>
        <w:rPr>
          <w:rFonts w:hint="eastAsia"/>
          <w:szCs w:val="21"/>
          <w:lang w:bidi="ar"/>
        </w:rPr>
        <w:t xml:space="preserve">. </w:t>
      </w:r>
      <w:r>
        <w:rPr>
          <w:szCs w:val="21"/>
          <w:lang w:bidi="ar"/>
        </w:rPr>
        <w:t>J</w:t>
      </w:r>
      <w:r>
        <w:rPr>
          <w:rFonts w:hint="eastAsia"/>
          <w:szCs w:val="21"/>
          <w:lang w:bidi="ar"/>
        </w:rPr>
        <w:t>.</w:t>
      </w:r>
      <w:r>
        <w:rPr>
          <w:szCs w:val="21"/>
          <w:lang w:bidi="ar"/>
        </w:rPr>
        <w:t xml:space="preserve"> </w:t>
      </w:r>
      <w:r>
        <w:rPr>
          <w:rFonts w:hint="eastAsia"/>
          <w:szCs w:val="21"/>
          <w:lang w:bidi="ar"/>
        </w:rPr>
        <w:t xml:space="preserve">and </w:t>
      </w:r>
      <w:r>
        <w:rPr>
          <w:szCs w:val="21"/>
          <w:lang w:bidi="ar"/>
        </w:rPr>
        <w:t>D</w:t>
      </w:r>
      <w:r>
        <w:rPr>
          <w:rFonts w:hint="eastAsia"/>
          <w:szCs w:val="21"/>
          <w:lang w:bidi="ar"/>
        </w:rPr>
        <w:t xml:space="preserve">. </w:t>
      </w:r>
      <w:r>
        <w:rPr>
          <w:szCs w:val="21"/>
          <w:lang w:bidi="ar"/>
        </w:rPr>
        <w:t>J</w:t>
      </w:r>
      <w:r>
        <w:rPr>
          <w:rFonts w:hint="eastAsia"/>
          <w:szCs w:val="21"/>
          <w:lang w:bidi="ar"/>
        </w:rPr>
        <w:t>.</w:t>
      </w:r>
      <w:r>
        <w:rPr>
          <w:szCs w:val="21"/>
          <w:lang w:bidi="ar"/>
        </w:rPr>
        <w:t xml:space="preserve"> Karoly</w:t>
      </w:r>
      <w:r>
        <w:rPr>
          <w:rFonts w:hint="eastAsia"/>
          <w:szCs w:val="21"/>
          <w:lang w:bidi="ar"/>
        </w:rPr>
        <w:t>,</w:t>
      </w:r>
      <w:r>
        <w:rPr>
          <w:szCs w:val="21"/>
          <w:lang w:bidi="ar"/>
        </w:rPr>
        <w:t xml:space="preserve"> 1981</w:t>
      </w:r>
      <w:r>
        <w:rPr>
          <w:rFonts w:hint="eastAsia"/>
          <w:szCs w:val="21"/>
          <w:lang w:bidi="ar"/>
        </w:rPr>
        <w:t>:</w:t>
      </w:r>
      <w:r>
        <w:rPr>
          <w:szCs w:val="21"/>
          <w:lang w:bidi="ar"/>
        </w:rPr>
        <w:t xml:space="preserve"> The steady linear response of a spherical atmosphere to thermal and orographic forcing. </w:t>
      </w:r>
      <w:r>
        <w:rPr>
          <w:i/>
          <w:iCs/>
          <w:szCs w:val="21"/>
          <w:lang w:bidi="ar"/>
        </w:rPr>
        <w:t>J</w:t>
      </w:r>
      <w:r>
        <w:rPr>
          <w:rFonts w:hint="eastAsia"/>
          <w:i/>
          <w:iCs/>
          <w:szCs w:val="21"/>
          <w:lang w:bidi="ar"/>
        </w:rPr>
        <w:t>.</w:t>
      </w:r>
      <w:r>
        <w:rPr>
          <w:i/>
          <w:iCs/>
          <w:szCs w:val="21"/>
          <w:lang w:bidi="ar"/>
        </w:rPr>
        <w:t xml:space="preserve"> Atmos</w:t>
      </w:r>
      <w:r>
        <w:rPr>
          <w:rFonts w:hint="eastAsia"/>
          <w:i/>
          <w:iCs/>
          <w:szCs w:val="21"/>
          <w:lang w:bidi="ar"/>
        </w:rPr>
        <w:t>.</w:t>
      </w:r>
      <w:r>
        <w:rPr>
          <w:i/>
          <w:iCs/>
          <w:szCs w:val="21"/>
          <w:lang w:bidi="ar"/>
        </w:rPr>
        <w:t xml:space="preserve"> Sci</w:t>
      </w:r>
      <w:r>
        <w:rPr>
          <w:rFonts w:hint="eastAsia"/>
          <w:i/>
          <w:iCs/>
          <w:szCs w:val="21"/>
          <w:lang w:bidi="ar"/>
        </w:rPr>
        <w:t>.</w:t>
      </w:r>
      <w:r>
        <w:rPr>
          <w:rFonts w:hint="eastAsia"/>
          <w:szCs w:val="21"/>
          <w:lang w:bidi="ar"/>
        </w:rPr>
        <w:t>,</w:t>
      </w:r>
      <w:r>
        <w:rPr>
          <w:szCs w:val="21"/>
          <w:lang w:bidi="ar"/>
        </w:rPr>
        <w:t xml:space="preserve"> </w:t>
      </w:r>
      <w:r>
        <w:rPr>
          <w:b/>
          <w:bCs/>
          <w:szCs w:val="21"/>
          <w:lang w:bidi="ar"/>
        </w:rPr>
        <w:t>38</w:t>
      </w:r>
      <w:r>
        <w:rPr>
          <w:rFonts w:hint="eastAsia"/>
          <w:szCs w:val="21"/>
          <w:lang w:bidi="ar"/>
        </w:rPr>
        <w:t xml:space="preserve">, </w:t>
      </w:r>
      <w:r>
        <w:rPr>
          <w:szCs w:val="21"/>
          <w:lang w:bidi="ar"/>
        </w:rPr>
        <w:t xml:space="preserve">1179–1196. </w:t>
      </w:r>
      <w:r>
        <w:fldChar w:fldCharType="begin"/>
      </w:r>
      <w:r>
        <w:instrText xml:space="preserve"> HYPERLINK "https://doi.org/10.1175/1520-0469(1981)038%3c1179:TSLROA%3e2.0.CO;2" </w:instrText>
      </w:r>
      <w:r>
        <w:fldChar w:fldCharType="separate"/>
      </w:r>
      <w:r>
        <w:rPr>
          <w:rStyle w:val="14"/>
          <w:color w:val="0070C0"/>
          <w:szCs w:val="21"/>
          <w:u w:val="none"/>
          <w:lang w:bidi="ar"/>
        </w:rPr>
        <w:t>https://doi.org/10.1175/1520-0469(1981)038%3c1179:TSLROA%3e2.0.CO;2</w:t>
      </w:r>
      <w:r>
        <w:rPr>
          <w:rStyle w:val="14"/>
          <w:color w:val="0070C0"/>
          <w:szCs w:val="21"/>
          <w:u w:val="none"/>
          <w:lang w:bidi="ar"/>
        </w:rPr>
        <w:fldChar w:fldCharType="end"/>
      </w:r>
    </w:p>
    <w:p w14:paraId="08AB4E9C">
      <w:pPr>
        <w:ind w:left="720" w:hanging="720"/>
        <w:rPr>
          <w:szCs w:val="21"/>
          <w:lang w:bidi="ar"/>
        </w:rPr>
      </w:pPr>
      <w:r>
        <w:rPr>
          <w:szCs w:val="21"/>
          <w:lang w:bidi="ar"/>
        </w:rPr>
        <w:t xml:space="preserve">——, </w:t>
      </w:r>
      <w:r>
        <w:rPr>
          <w:rFonts w:hint="eastAsia"/>
          <w:szCs w:val="21"/>
          <w:lang w:bidi="ar"/>
        </w:rPr>
        <w:t>and</w:t>
      </w:r>
      <w:r>
        <w:rPr>
          <w:szCs w:val="21"/>
          <w:lang w:bidi="ar"/>
        </w:rPr>
        <w:t xml:space="preserve"> T.</w:t>
      </w:r>
      <w:r>
        <w:rPr>
          <w:rFonts w:hint="eastAsia"/>
          <w:szCs w:val="21"/>
          <w:lang w:bidi="ar"/>
        </w:rPr>
        <w:t xml:space="preserve"> </w:t>
      </w:r>
      <w:r>
        <w:rPr>
          <w:szCs w:val="21"/>
          <w:lang w:bidi="ar"/>
        </w:rPr>
        <w:t>Ambrizzi, 1993</w:t>
      </w:r>
      <w:r>
        <w:rPr>
          <w:rFonts w:hint="eastAsia"/>
          <w:szCs w:val="21"/>
          <w:lang w:bidi="ar"/>
        </w:rPr>
        <w:t>:</w:t>
      </w:r>
      <w:r>
        <w:rPr>
          <w:szCs w:val="21"/>
          <w:lang w:bidi="ar"/>
        </w:rPr>
        <w:t xml:space="preserve"> Rossby wave propagation on a realistic longitudinally varying flow. </w:t>
      </w:r>
      <w:r>
        <w:rPr>
          <w:i/>
          <w:iCs/>
          <w:szCs w:val="21"/>
          <w:lang w:bidi="ar"/>
        </w:rPr>
        <w:t>J. Atmos. Sci.,</w:t>
      </w:r>
      <w:r>
        <w:rPr>
          <w:szCs w:val="21"/>
          <w:lang w:bidi="ar"/>
        </w:rPr>
        <w:t xml:space="preserve"> </w:t>
      </w:r>
      <w:r>
        <w:rPr>
          <w:b/>
          <w:bCs/>
          <w:szCs w:val="21"/>
          <w:lang w:bidi="ar"/>
        </w:rPr>
        <w:t>50</w:t>
      </w:r>
      <w:r>
        <w:rPr>
          <w:szCs w:val="21"/>
          <w:lang w:bidi="ar"/>
        </w:rPr>
        <w:t xml:space="preserve">, 1661–1671. </w:t>
      </w:r>
      <w:r>
        <w:fldChar w:fldCharType="begin"/>
      </w:r>
      <w:r>
        <w:instrText xml:space="preserve"> HYPERLINK "https://doi.org/10.1175/1520-0469(1993)050%3c1661:rwpoar%3e2.0.co;2" </w:instrText>
      </w:r>
      <w:r>
        <w:fldChar w:fldCharType="separate"/>
      </w:r>
      <w:r>
        <w:rPr>
          <w:rStyle w:val="14"/>
          <w:color w:val="0070C0"/>
          <w:szCs w:val="21"/>
          <w:u w:val="none"/>
          <w:lang w:bidi="ar"/>
        </w:rPr>
        <w:t>https://doi.org/10.1175/1520-0469(1993)050&lt;1661:rwpoar&gt;2.0.co;2</w:t>
      </w:r>
      <w:r>
        <w:rPr>
          <w:rStyle w:val="14"/>
          <w:color w:val="0070C0"/>
          <w:szCs w:val="21"/>
          <w:u w:val="none"/>
          <w:lang w:bidi="ar"/>
        </w:rPr>
        <w:fldChar w:fldCharType="end"/>
      </w:r>
    </w:p>
    <w:p w14:paraId="2EF36A4D">
      <w:pPr>
        <w:ind w:left="720" w:hanging="720"/>
        <w:rPr>
          <w:szCs w:val="21"/>
          <w:lang w:bidi="ar"/>
        </w:rPr>
      </w:pPr>
      <w:r>
        <w:rPr>
          <w:szCs w:val="21"/>
          <w:lang w:bidi="ar"/>
        </w:rPr>
        <w:t>Karoly D</w:t>
      </w:r>
      <w:r>
        <w:rPr>
          <w:rFonts w:hint="eastAsia"/>
          <w:szCs w:val="21"/>
          <w:lang w:bidi="ar"/>
        </w:rPr>
        <w:t xml:space="preserve">. </w:t>
      </w:r>
      <w:r>
        <w:rPr>
          <w:szCs w:val="21"/>
          <w:lang w:bidi="ar"/>
        </w:rPr>
        <w:t>J</w:t>
      </w:r>
      <w:r>
        <w:rPr>
          <w:rFonts w:hint="eastAsia"/>
          <w:szCs w:val="21"/>
          <w:lang w:bidi="ar"/>
        </w:rPr>
        <w:t>.</w:t>
      </w:r>
      <w:r>
        <w:rPr>
          <w:szCs w:val="21"/>
          <w:lang w:bidi="ar"/>
        </w:rPr>
        <w:t xml:space="preserve"> 1983</w:t>
      </w:r>
      <w:r>
        <w:rPr>
          <w:rFonts w:hint="eastAsia"/>
          <w:szCs w:val="21"/>
          <w:lang w:bidi="ar"/>
        </w:rPr>
        <w:t>:</w:t>
      </w:r>
      <w:r>
        <w:rPr>
          <w:szCs w:val="21"/>
          <w:lang w:bidi="ar"/>
        </w:rPr>
        <w:t xml:space="preserve"> Rossby wave propagation in a barotropic atmosphere. </w:t>
      </w:r>
      <w:r>
        <w:rPr>
          <w:i/>
          <w:iCs/>
          <w:szCs w:val="21"/>
          <w:lang w:bidi="ar"/>
        </w:rPr>
        <w:t>Dyn</w:t>
      </w:r>
      <w:r>
        <w:rPr>
          <w:rFonts w:hint="eastAsia"/>
          <w:i/>
          <w:iCs/>
          <w:szCs w:val="21"/>
          <w:lang w:bidi="ar"/>
        </w:rPr>
        <w:t>.</w:t>
      </w:r>
      <w:r>
        <w:rPr>
          <w:i/>
          <w:iCs/>
          <w:szCs w:val="21"/>
          <w:lang w:bidi="ar"/>
        </w:rPr>
        <w:t xml:space="preserve"> Atmos</w:t>
      </w:r>
      <w:r>
        <w:rPr>
          <w:rFonts w:hint="eastAsia"/>
          <w:i/>
          <w:iCs/>
          <w:szCs w:val="21"/>
          <w:lang w:bidi="ar"/>
        </w:rPr>
        <w:t>.</w:t>
      </w:r>
      <w:r>
        <w:rPr>
          <w:i/>
          <w:iCs/>
          <w:szCs w:val="21"/>
          <w:lang w:bidi="ar"/>
        </w:rPr>
        <w:t xml:space="preserve"> Oceans</w:t>
      </w:r>
      <w:r>
        <w:rPr>
          <w:rFonts w:hint="eastAsia"/>
          <w:i/>
          <w:iCs/>
          <w:szCs w:val="21"/>
          <w:lang w:bidi="ar"/>
        </w:rPr>
        <w:t>.,</w:t>
      </w:r>
      <w:r>
        <w:rPr>
          <w:szCs w:val="21"/>
          <w:lang w:bidi="ar"/>
        </w:rPr>
        <w:t xml:space="preserve"> </w:t>
      </w:r>
      <w:r>
        <w:rPr>
          <w:b/>
          <w:bCs/>
          <w:szCs w:val="21"/>
          <w:lang w:bidi="ar"/>
        </w:rPr>
        <w:t>7</w:t>
      </w:r>
      <w:r>
        <w:rPr>
          <w:rFonts w:hint="eastAsia"/>
          <w:szCs w:val="21"/>
          <w:lang w:bidi="ar"/>
        </w:rPr>
        <w:t xml:space="preserve">, </w:t>
      </w:r>
      <w:r>
        <w:rPr>
          <w:szCs w:val="21"/>
          <w:lang w:bidi="ar"/>
        </w:rPr>
        <w:t xml:space="preserve">111–125. </w:t>
      </w:r>
      <w:r>
        <w:fldChar w:fldCharType="begin"/>
      </w:r>
      <w:r>
        <w:instrText xml:space="preserve"> HYPERLINK "https://doi.org/10.1016/0377-0265(83)90013-1" </w:instrText>
      </w:r>
      <w:r>
        <w:fldChar w:fldCharType="separate"/>
      </w:r>
      <w:r>
        <w:rPr>
          <w:rStyle w:val="14"/>
          <w:color w:val="0070C0"/>
          <w:szCs w:val="21"/>
          <w:u w:val="none"/>
          <w:lang w:bidi="ar"/>
        </w:rPr>
        <w:t>https://doi.org/10.1016/0377-0265(83)90013-1</w:t>
      </w:r>
      <w:r>
        <w:rPr>
          <w:rStyle w:val="14"/>
          <w:color w:val="0070C0"/>
          <w:szCs w:val="21"/>
          <w:u w:val="none"/>
          <w:lang w:bidi="ar"/>
        </w:rPr>
        <w:fldChar w:fldCharType="end"/>
      </w:r>
    </w:p>
    <w:p w14:paraId="4B41C538">
      <w:pPr>
        <w:ind w:left="720" w:hanging="720"/>
        <w:rPr>
          <w:szCs w:val="21"/>
          <w:lang w:bidi="ar"/>
        </w:rPr>
      </w:pPr>
      <w:r>
        <w:rPr>
          <w:szCs w:val="21"/>
          <w:lang w:bidi="ar"/>
        </w:rPr>
        <w:t>Yang, G. Y. and B.</w:t>
      </w:r>
      <w:r>
        <w:rPr>
          <w:rFonts w:hint="eastAsia"/>
          <w:szCs w:val="21"/>
          <w:lang w:bidi="ar"/>
        </w:rPr>
        <w:t xml:space="preserve"> J. Hoskins, </w:t>
      </w:r>
      <w:r>
        <w:rPr>
          <w:szCs w:val="21"/>
          <w:lang w:bidi="ar"/>
        </w:rPr>
        <w:t>1996</w:t>
      </w:r>
      <w:r>
        <w:rPr>
          <w:rFonts w:hint="eastAsia"/>
          <w:szCs w:val="21"/>
          <w:lang w:bidi="ar"/>
        </w:rPr>
        <w:t>:</w:t>
      </w:r>
      <w:r>
        <w:rPr>
          <w:szCs w:val="21"/>
          <w:lang w:bidi="ar"/>
        </w:rPr>
        <w:t xml:space="preserve"> Propagation of Rossby waves of nonzero frequency. </w:t>
      </w:r>
      <w:r>
        <w:rPr>
          <w:i/>
          <w:iCs/>
          <w:szCs w:val="21"/>
          <w:lang w:bidi="ar"/>
        </w:rPr>
        <w:t>J. Atmos. Sci.</w:t>
      </w:r>
      <w:r>
        <w:rPr>
          <w:szCs w:val="21"/>
          <w:lang w:bidi="ar"/>
        </w:rPr>
        <w:t xml:space="preserve">, </w:t>
      </w:r>
      <w:r>
        <w:rPr>
          <w:b/>
          <w:bCs/>
          <w:szCs w:val="21"/>
          <w:lang w:bidi="ar"/>
        </w:rPr>
        <w:t>53</w:t>
      </w:r>
      <w:r>
        <w:rPr>
          <w:szCs w:val="21"/>
          <w:lang w:bidi="ar"/>
        </w:rPr>
        <w:t xml:space="preserve">, 2365–2378. </w:t>
      </w:r>
      <w:r>
        <w:fldChar w:fldCharType="begin"/>
      </w:r>
      <w:r>
        <w:instrText xml:space="preserve"> HYPERLINK "https://doi.org/10.1175/1520-0469(1996)053%3c2365:porwon%3e2.0.co;2" </w:instrText>
      </w:r>
      <w:r>
        <w:fldChar w:fldCharType="separate"/>
      </w:r>
      <w:r>
        <w:rPr>
          <w:rStyle w:val="14"/>
          <w:color w:val="0070C0"/>
          <w:szCs w:val="21"/>
          <w:u w:val="none"/>
          <w:lang w:bidi="ar"/>
        </w:rPr>
        <w:t>https://doi.org/10.1175/1520-0469(1996)053&lt;2365:porwon&gt;2.0.co;2</w:t>
      </w:r>
      <w:r>
        <w:rPr>
          <w:rStyle w:val="14"/>
          <w:color w:val="0070C0"/>
          <w:szCs w:val="21"/>
          <w:u w:val="none"/>
          <w:lang w:bidi="ar"/>
        </w:rPr>
        <w:fldChar w:fldCharType="end"/>
      </w:r>
    </w:p>
    <w:p w14:paraId="3537C67E">
      <w:pPr>
        <w:ind w:left="720" w:hanging="720"/>
        <w:rPr>
          <w:szCs w:val="21"/>
          <w:lang w:bidi="ar"/>
        </w:rPr>
      </w:pPr>
    </w:p>
    <w:sectPr>
      <w:pgSz w:w="11906" w:h="16838"/>
      <w:pgMar w:top="1440" w:right="1800" w:bottom="1440" w:left="1800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E321CC"/>
    <w:multiLevelType w:val="multilevel"/>
    <w:tmpl w:val="30E321CC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63303546"/>
    <w:multiLevelType w:val="singleLevel"/>
    <w:tmpl w:val="63303546"/>
    <w:lvl w:ilvl="0" w:tentative="0">
      <w:start w:val="2"/>
      <w:numFmt w:val="chineseCounting"/>
      <w:suff w:val="space"/>
      <w:lvlText w:val="%1．"/>
      <w:lvlJc w:val="left"/>
      <w:rPr>
        <w:rFonts w:hint="eastAsia"/>
      </w:rPr>
    </w:lvl>
  </w:abstractNum>
  <w:abstractNum w:abstractNumId="2">
    <w:nsid w:val="738918FF"/>
    <w:multiLevelType w:val="singleLevel"/>
    <w:tmpl w:val="738918FF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94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96057"/>
    <w:rsid w:val="00121C27"/>
    <w:rsid w:val="006B1A68"/>
    <w:rsid w:val="009770C5"/>
    <w:rsid w:val="00E21047"/>
    <w:rsid w:val="00E343AA"/>
    <w:rsid w:val="00E5056F"/>
    <w:rsid w:val="01181BFF"/>
    <w:rsid w:val="06723032"/>
    <w:rsid w:val="07011CC2"/>
    <w:rsid w:val="07644792"/>
    <w:rsid w:val="09284798"/>
    <w:rsid w:val="0ED66F12"/>
    <w:rsid w:val="0F2B6FD9"/>
    <w:rsid w:val="13C454E2"/>
    <w:rsid w:val="14B52807"/>
    <w:rsid w:val="15273705"/>
    <w:rsid w:val="183C240D"/>
    <w:rsid w:val="1A7F1CED"/>
    <w:rsid w:val="1AA24D9F"/>
    <w:rsid w:val="1B4E5B1D"/>
    <w:rsid w:val="1D0B7468"/>
    <w:rsid w:val="28DA2E89"/>
    <w:rsid w:val="2A4254F9"/>
    <w:rsid w:val="2B7C05C4"/>
    <w:rsid w:val="2C752B50"/>
    <w:rsid w:val="2D1F32F4"/>
    <w:rsid w:val="30E72E3F"/>
    <w:rsid w:val="317E40BE"/>
    <w:rsid w:val="323B4D81"/>
    <w:rsid w:val="33DC3CA0"/>
    <w:rsid w:val="34B70380"/>
    <w:rsid w:val="34D950A9"/>
    <w:rsid w:val="3AE174A3"/>
    <w:rsid w:val="3CC62F17"/>
    <w:rsid w:val="40327224"/>
    <w:rsid w:val="42BA56E9"/>
    <w:rsid w:val="43446334"/>
    <w:rsid w:val="44A84E71"/>
    <w:rsid w:val="46E62229"/>
    <w:rsid w:val="477DCE1E"/>
    <w:rsid w:val="4A9D3546"/>
    <w:rsid w:val="4C46376A"/>
    <w:rsid w:val="4C8F1B4F"/>
    <w:rsid w:val="4DD92AE7"/>
    <w:rsid w:val="4EEE4370"/>
    <w:rsid w:val="50E61077"/>
    <w:rsid w:val="5537272A"/>
    <w:rsid w:val="573E1E21"/>
    <w:rsid w:val="5A882C65"/>
    <w:rsid w:val="5AD00DCE"/>
    <w:rsid w:val="5B487E91"/>
    <w:rsid w:val="5CF9550F"/>
    <w:rsid w:val="5E826883"/>
    <w:rsid w:val="5EC450EE"/>
    <w:rsid w:val="5EFEBDE8"/>
    <w:rsid w:val="5F1F2324"/>
    <w:rsid w:val="641E6213"/>
    <w:rsid w:val="65442F1C"/>
    <w:rsid w:val="68CA2609"/>
    <w:rsid w:val="68CC1AED"/>
    <w:rsid w:val="69BB0F42"/>
    <w:rsid w:val="6A637494"/>
    <w:rsid w:val="6BCB07E7"/>
    <w:rsid w:val="6BCF62E6"/>
    <w:rsid w:val="6CD3A16D"/>
    <w:rsid w:val="6D535020"/>
    <w:rsid w:val="6E5F49A6"/>
    <w:rsid w:val="6F7D173E"/>
    <w:rsid w:val="6FFF37D2"/>
    <w:rsid w:val="70AA2E59"/>
    <w:rsid w:val="70DE2EF1"/>
    <w:rsid w:val="766F2C9E"/>
    <w:rsid w:val="783E5E5F"/>
    <w:rsid w:val="78C10128"/>
    <w:rsid w:val="793D6438"/>
    <w:rsid w:val="7BC22D02"/>
    <w:rsid w:val="7C5F4108"/>
    <w:rsid w:val="7C9F0B51"/>
    <w:rsid w:val="7CA92080"/>
    <w:rsid w:val="7F335F35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after="220"/>
      <w:outlineLvl w:val="0"/>
    </w:pPr>
    <w:rPr>
      <w:rFonts w:ascii="Arial" w:hAnsi="Arial" w:eastAsia="黑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outlineLvl w:val="1"/>
    </w:pPr>
    <w:rPr>
      <w:rFonts w:ascii="Arial" w:hAnsi="Arial"/>
      <w:b/>
      <w:sz w:val="24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180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after="160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after="160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after="120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after="120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after="64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after="64"/>
      <w:outlineLvl w:val="8"/>
    </w:pPr>
    <w:rPr>
      <w:rFonts w:ascii="Arial" w:hAnsi="Arial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qFormat/>
    <w:uiPriority w:val="0"/>
    <w:rPr>
      <w:color w:val="0000FF"/>
      <w:u w:val="single"/>
    </w:rPr>
  </w:style>
  <w:style w:type="character" w:styleId="15">
    <w:name w:val="HTML Code"/>
    <w:basedOn w:val="13"/>
    <w:qFormat/>
    <w:uiPriority w:val="0"/>
    <w:rPr>
      <w:rFonts w:ascii="Courier New" w:hAnsi="Courier New"/>
      <w:sz w:val="20"/>
    </w:rPr>
  </w:style>
  <w:style w:type="paragraph" w:styleId="16">
    <w:name w:val="List Paragraph"/>
    <w:qFormat/>
    <w:uiPriority w:val="34"/>
    <w:pPr>
      <w:widowControl w:val="0"/>
      <w:ind w:firstLine="420" w:firstLineChars="200"/>
      <w:jc w:val="both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2562</Words>
  <Characters>4885</Characters>
  <Lines>43</Lines>
  <Paragraphs>12</Paragraphs>
  <TotalTime>341</TotalTime>
  <ScaleCrop>false</ScaleCrop>
  <LinksUpToDate>false</LinksUpToDate>
  <CharactersWithSpaces>5210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2025-10-30T08:04:00Z</dcterms:created>
  <dc:creator>HY</dc:creator>
  <cp:lastModifiedBy>杨艺楠请一定坚持</cp:lastModifiedBy>
  <dcterms:modified xsi:type="dcterms:W3CDTF">2025-11-13T16:34:30Z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eyJoZGlkIjoiM2VmNjQxMDY0YmIwN2ZlYTAxMWE3NmRlZDQyOTAyZjkiLCJ1c2VySWQiOiIxMTI0Mjc5ODAyIn0=</vt:lpwstr>
  </property>
  <property fmtid="{D5CDD505-2E9C-101B-9397-08002B2CF9AE}" pid="6" name="ICV">
    <vt:lpwstr>83A2229C11874709A230C09A1C6F77FA_13</vt:lpwstr>
  </property>
</Properties>
</file>