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F9FF36">
      <w:pPr>
        <w:pStyle w:val="2"/>
        <w:bidi w:val="0"/>
        <w:jc w:val="center"/>
        <w:rPr>
          <w:lang w:val="en-US" w:eastAsia="zh-CN"/>
        </w:rPr>
      </w:pPr>
      <w:r>
        <w:rPr>
          <w:rFonts w:hint="eastAsia"/>
          <w:lang w:val="en-US" w:eastAsia="zh-CN"/>
        </w:rPr>
        <w:t>波射线通量程序使用说明（全Python版）</w:t>
      </w:r>
    </w:p>
    <w:p w14:paraId="1765A9D0">
      <w:pPr>
        <w:ind w:firstLine="420" w:firstLineChars="200"/>
        <w:rPr>
          <w:rFonts w:ascii="Times New Roman" w:hAnsi="Times New Roman" w:eastAsia="宋体" w:cstheme="minorBidi"/>
          <w:szCs w:val="21"/>
        </w:rPr>
      </w:pPr>
      <w:r>
        <w:rPr>
          <w:rFonts w:ascii="Times New Roman" w:hAnsi="Times New Roman" w:eastAsia="宋体" w:cstheme="minorBidi"/>
          <w:szCs w:val="21"/>
        </w:rPr>
        <w:t>此套程序基于水平非均匀基本流场中的Rossby波射线追踪理论</w:t>
      </w:r>
      <w:r>
        <w:rPr>
          <w:rFonts w:hint="eastAsia" w:ascii="Times New Roman" w:hAnsi="Times New Roman" w:eastAsia="宋体" w:cstheme="minorBidi"/>
          <w:szCs w:val="21"/>
        </w:rPr>
        <w:t>（Li et al. 2012, 2015, 2019; Zhao et al. 2015, 2019）</w:t>
      </w:r>
      <w:r>
        <w:rPr>
          <w:rFonts w:ascii="Times New Roman" w:hAnsi="Times New Roman" w:eastAsia="宋体" w:cstheme="minorBidi"/>
          <w:szCs w:val="21"/>
        </w:rPr>
        <w:t>，旨在模拟和分析准定常Rossby波在包含经向风分量的复杂背景流中的传播路径</w:t>
      </w:r>
      <w:r>
        <w:rPr>
          <w:rFonts w:hint="eastAsia" w:ascii="Times New Roman" w:hAnsi="Times New Roman" w:eastAsia="宋体" w:cstheme="minorBidi"/>
          <w:szCs w:val="21"/>
        </w:rPr>
        <w:t>、度量波活动大小和方向的波射线通量</w:t>
      </w:r>
      <w:r>
        <w:rPr>
          <w:rFonts w:hint="eastAsia" w:cstheme="minorBidi"/>
          <w:szCs w:val="21"/>
          <w:lang w:val="en-US" w:eastAsia="zh-CN"/>
        </w:rPr>
        <w:t>Li-Yang WRF</w:t>
      </w:r>
      <w:r>
        <w:rPr>
          <w:rFonts w:hint="eastAsia" w:ascii="Times New Roman" w:hAnsi="Times New Roman" w:eastAsia="宋体" w:cstheme="minorBidi"/>
          <w:szCs w:val="21"/>
        </w:rPr>
        <w:t>（Yang and Li 2025）</w:t>
      </w:r>
      <w:r>
        <w:rPr>
          <w:rFonts w:ascii="Times New Roman" w:hAnsi="Times New Roman" w:eastAsia="宋体" w:cstheme="minorBidi"/>
          <w:szCs w:val="21"/>
        </w:rPr>
        <w:t>。</w:t>
      </w:r>
      <w:r>
        <w:rPr>
          <w:rFonts w:hint="eastAsia" w:ascii="Times New Roman" w:hAnsi="Times New Roman" w:eastAsia="宋体" w:cstheme="minorBidi"/>
          <w:szCs w:val="21"/>
        </w:rPr>
        <w:t>其</w:t>
      </w:r>
      <w:r>
        <w:rPr>
          <w:rFonts w:ascii="Times New Roman" w:hAnsi="Times New Roman" w:eastAsia="宋体" w:cstheme="minorBidi"/>
          <w:szCs w:val="21"/>
        </w:rPr>
        <w:t>核心在于</w:t>
      </w:r>
      <w:r>
        <w:rPr>
          <w:rFonts w:hint="eastAsia" w:ascii="Times New Roman" w:hAnsi="Times New Roman" w:eastAsia="宋体" w:cstheme="minorBidi"/>
          <w:szCs w:val="21"/>
        </w:rPr>
        <w:t>：</w:t>
      </w:r>
      <w:r>
        <w:rPr>
          <w:rFonts w:ascii="Times New Roman" w:hAnsi="Times New Roman" w:eastAsia="宋体" w:cstheme="minorBidi"/>
          <w:szCs w:val="21"/>
        </w:rPr>
        <w:t>对给定</w:t>
      </w:r>
      <w:r>
        <w:rPr>
          <w:rFonts w:hint="eastAsia" w:ascii="Times New Roman" w:hAnsi="Times New Roman" w:eastAsia="宋体" w:cstheme="minorBidi"/>
          <w:szCs w:val="21"/>
        </w:rPr>
        <w:t>的</w:t>
      </w:r>
      <w:r>
        <w:rPr>
          <w:rFonts w:ascii="Times New Roman" w:hAnsi="Times New Roman" w:eastAsia="宋体" w:cstheme="minorBidi"/>
          <w:szCs w:val="21"/>
        </w:rPr>
        <w:t>背景流场，求解包含经向风分量Rossby波的频散关系，进而计算群速度，并采用四阶Runge-Kutta方法积分射线方程，追踪扰动能量的传播轨迹</w:t>
      </w:r>
      <w:r>
        <w:rPr>
          <w:rFonts w:hint="eastAsia" w:ascii="Times New Roman" w:hAnsi="Times New Roman" w:eastAsia="宋体" w:cstheme="minorBidi"/>
          <w:szCs w:val="21"/>
        </w:rPr>
        <w:t>，并在此基础上，得到波射线通量</w:t>
      </w:r>
      <w:r>
        <w:rPr>
          <w:rFonts w:ascii="Times New Roman" w:hAnsi="Times New Roman" w:eastAsia="宋体" w:cstheme="minorBidi"/>
          <w:szCs w:val="21"/>
        </w:rPr>
        <w:t>。该系统既</w:t>
      </w:r>
      <w:r>
        <w:rPr>
          <w:rFonts w:hint="eastAsia" w:ascii="Times New Roman" w:hAnsi="Times New Roman" w:eastAsia="宋体" w:cstheme="minorBidi"/>
          <w:szCs w:val="21"/>
        </w:rPr>
        <w:t>可</w:t>
      </w:r>
      <w:r>
        <w:rPr>
          <w:rFonts w:ascii="Times New Roman" w:hAnsi="Times New Roman" w:eastAsia="宋体" w:cstheme="minorBidi"/>
          <w:szCs w:val="21"/>
        </w:rPr>
        <w:t>用于理论研究背景下Rossby波传播机制</w:t>
      </w:r>
      <w:r>
        <w:rPr>
          <w:rFonts w:hint="eastAsia" w:ascii="Times New Roman" w:hAnsi="Times New Roman" w:eastAsia="宋体" w:cstheme="minorBidi"/>
          <w:szCs w:val="21"/>
        </w:rPr>
        <w:t>的</w:t>
      </w:r>
      <w:r>
        <w:rPr>
          <w:rFonts w:ascii="Times New Roman" w:hAnsi="Times New Roman" w:eastAsia="宋体" w:cstheme="minorBidi"/>
          <w:szCs w:val="21"/>
        </w:rPr>
        <w:t>探讨，也可用于诊断实际环流中扰源激发及</w:t>
      </w:r>
      <w:r>
        <w:rPr>
          <w:rFonts w:hint="eastAsia" w:ascii="Times New Roman" w:hAnsi="Times New Roman" w:eastAsia="宋体" w:cstheme="minorBidi"/>
          <w:szCs w:val="21"/>
        </w:rPr>
        <w:t>其</w:t>
      </w:r>
      <w:r>
        <w:rPr>
          <w:rFonts w:ascii="Times New Roman" w:hAnsi="Times New Roman" w:eastAsia="宋体" w:cstheme="minorBidi"/>
          <w:szCs w:val="21"/>
        </w:rPr>
        <w:t>远程响应过程，是</w:t>
      </w:r>
      <w:r>
        <w:rPr>
          <w:rFonts w:hint="eastAsia" w:ascii="Times New Roman" w:hAnsi="Times New Roman" w:eastAsia="宋体" w:cstheme="minorBidi"/>
          <w:szCs w:val="21"/>
        </w:rPr>
        <w:t>研究</w:t>
      </w:r>
      <w:r>
        <w:rPr>
          <w:rFonts w:ascii="Times New Roman" w:hAnsi="Times New Roman" w:eastAsia="宋体" w:cstheme="minorBidi"/>
          <w:szCs w:val="21"/>
        </w:rPr>
        <w:t>各类遥相关型及能量上下游传输的</w:t>
      </w:r>
      <w:r>
        <w:rPr>
          <w:rFonts w:hint="eastAsia" w:ascii="Times New Roman" w:hAnsi="Times New Roman" w:eastAsia="宋体" w:cstheme="minorBidi"/>
          <w:szCs w:val="21"/>
        </w:rPr>
        <w:t>有效</w:t>
      </w:r>
      <w:r>
        <w:rPr>
          <w:rFonts w:ascii="Times New Roman" w:hAnsi="Times New Roman" w:eastAsia="宋体" w:cstheme="minorBidi"/>
          <w:szCs w:val="21"/>
        </w:rPr>
        <w:t>工具。</w:t>
      </w:r>
    </w:p>
    <w:p w14:paraId="4FCFC0E4">
      <w:pPr>
        <w:ind w:firstLine="420" w:firstLineChars="200"/>
        <w:rPr>
          <w:rFonts w:hint="eastAsia" w:ascii="Times New Roman" w:hAnsi="Times New Roman" w:eastAsia="宋体" w:cstheme="minorBidi"/>
          <w:szCs w:val="21"/>
        </w:rPr>
      </w:pPr>
      <w:r>
        <w:rPr>
          <w:rFonts w:hint="eastAsia" w:cstheme="minorBidi"/>
          <w:szCs w:val="21"/>
          <w:lang w:val="en-US" w:eastAsia="zh-CN"/>
        </w:rPr>
        <w:t>使用说明</w:t>
      </w:r>
      <w:r>
        <w:rPr>
          <w:rFonts w:hint="eastAsia" w:ascii="Times New Roman" w:hAnsi="Times New Roman" w:eastAsia="宋体" w:cstheme="minorBidi"/>
          <w:szCs w:val="21"/>
        </w:rPr>
        <w:t>包括</w:t>
      </w:r>
      <w:r>
        <w:rPr>
          <w:rFonts w:hint="eastAsia" w:cstheme="minorBidi"/>
          <w:szCs w:val="21"/>
          <w:lang w:val="en-US" w:eastAsia="zh-CN"/>
        </w:rPr>
        <w:t>五</w:t>
      </w:r>
      <w:r>
        <w:rPr>
          <w:rFonts w:hint="eastAsia" w:ascii="Times New Roman" w:hAnsi="Times New Roman" w:eastAsia="宋体" w:cstheme="minorBidi"/>
          <w:szCs w:val="21"/>
        </w:rPr>
        <w:t>节。第一节</w:t>
      </w:r>
      <w:r>
        <w:rPr>
          <w:rFonts w:hint="eastAsia" w:cstheme="minorBidi"/>
          <w:szCs w:val="21"/>
          <w:lang w:val="en-US" w:eastAsia="zh-CN"/>
        </w:rPr>
        <w:t>为</w:t>
      </w:r>
      <w:r>
        <w:rPr>
          <w:rFonts w:hint="eastAsia" w:ascii="Times New Roman" w:hAnsi="Times New Roman" w:eastAsia="宋体" w:cstheme="minorBidi"/>
          <w:szCs w:val="21"/>
        </w:rPr>
        <w:t>波射线各程序说明；第二节</w:t>
      </w:r>
      <w:r>
        <w:rPr>
          <w:rFonts w:hint="eastAsia" w:cstheme="minorBidi"/>
          <w:szCs w:val="21"/>
          <w:lang w:val="en-US" w:eastAsia="zh-CN"/>
        </w:rPr>
        <w:t>提供了使用示例</w:t>
      </w:r>
      <w:r>
        <w:rPr>
          <w:rFonts w:hint="eastAsia" w:ascii="Times New Roman" w:hAnsi="Times New Roman" w:eastAsia="宋体" w:cstheme="minorBidi"/>
          <w:szCs w:val="21"/>
        </w:rPr>
        <w:t>；第三节介绍</w:t>
      </w:r>
      <w:r>
        <w:rPr>
          <w:rFonts w:hint="eastAsia" w:cstheme="minorBidi"/>
          <w:szCs w:val="21"/>
          <w:lang w:val="en-US" w:eastAsia="zh-CN"/>
        </w:rPr>
        <w:t>波射线</w:t>
      </w:r>
      <w:r>
        <w:rPr>
          <w:rFonts w:hint="eastAsia" w:ascii="Times New Roman" w:hAnsi="Times New Roman" w:eastAsia="宋体" w:cstheme="minorBidi"/>
          <w:szCs w:val="21"/>
        </w:rPr>
        <w:t>程序运行方法</w:t>
      </w:r>
      <w:r>
        <w:rPr>
          <w:rFonts w:hint="eastAsia" w:cstheme="minorBidi"/>
          <w:szCs w:val="21"/>
          <w:lang w:val="en-US" w:eastAsia="zh-CN"/>
        </w:rPr>
        <w:t>细节</w:t>
      </w:r>
      <w:r>
        <w:rPr>
          <w:rFonts w:hint="eastAsia" w:ascii="Times New Roman" w:hAnsi="Times New Roman" w:eastAsia="宋体" w:cstheme="minorBidi"/>
          <w:szCs w:val="21"/>
        </w:rPr>
        <w:t>；第</w:t>
      </w:r>
      <w:r>
        <w:rPr>
          <w:rFonts w:hint="eastAsia" w:cstheme="minorBidi"/>
          <w:szCs w:val="21"/>
          <w:lang w:val="en-US" w:eastAsia="zh-CN"/>
        </w:rPr>
        <w:t>四</w:t>
      </w:r>
      <w:r>
        <w:rPr>
          <w:rFonts w:hint="eastAsia" w:ascii="Times New Roman" w:hAnsi="Times New Roman" w:eastAsia="宋体" w:cstheme="minorBidi"/>
          <w:szCs w:val="21"/>
        </w:rPr>
        <w:t>节</w:t>
      </w:r>
      <w:r>
        <w:rPr>
          <w:rFonts w:hint="eastAsia" w:cstheme="minorBidi"/>
          <w:szCs w:val="21"/>
          <w:lang w:val="en-US" w:eastAsia="zh-CN"/>
        </w:rPr>
        <w:t>介绍</w:t>
      </w:r>
      <w:r>
        <w:rPr>
          <w:rFonts w:hint="eastAsia" w:ascii="Times New Roman" w:hAnsi="Times New Roman" w:eastAsia="宋体" w:cstheme="minorBidi"/>
          <w:szCs w:val="21"/>
        </w:rPr>
        <w:t>波射线通量</w:t>
      </w:r>
      <w:r>
        <w:rPr>
          <w:rFonts w:hint="eastAsia" w:cstheme="minorBidi"/>
          <w:szCs w:val="21"/>
          <w:lang w:val="en-US" w:eastAsia="zh-CN"/>
        </w:rPr>
        <w:t>程序</w:t>
      </w:r>
      <w:r>
        <w:rPr>
          <w:rFonts w:hint="eastAsia" w:ascii="Times New Roman" w:hAnsi="Times New Roman" w:eastAsia="宋体" w:cstheme="minorBidi"/>
          <w:szCs w:val="21"/>
        </w:rPr>
        <w:t>使用方法</w:t>
      </w:r>
      <w:r>
        <w:rPr>
          <w:rFonts w:hint="eastAsia" w:cstheme="minorBidi"/>
          <w:szCs w:val="21"/>
          <w:lang w:eastAsia="zh-CN"/>
        </w:rPr>
        <w:t>；</w:t>
      </w:r>
      <w:r>
        <w:rPr>
          <w:rFonts w:hint="eastAsia" w:ascii="Times New Roman" w:hAnsi="Times New Roman" w:eastAsia="宋体" w:cstheme="minorBidi"/>
          <w:szCs w:val="21"/>
        </w:rPr>
        <w:t>最后给出了相关文献引用方式。</w:t>
      </w:r>
    </w:p>
    <w:p w14:paraId="63F3DBE1">
      <w:pPr>
        <w:ind w:firstLine="420" w:firstLineChars="200"/>
        <w:rPr>
          <w:rFonts w:hint="eastAsia" w:ascii="Times New Roman" w:hAnsi="Times New Roman" w:eastAsia="宋体" w:cstheme="minorBidi"/>
          <w:szCs w:val="21"/>
        </w:rPr>
      </w:pPr>
    </w:p>
    <w:p w14:paraId="4217F5A1">
      <w:pPr>
        <w:rPr>
          <w:rFonts w:hint="eastAsia" w:ascii="黑体" w:hAnsi="黑体" w:eastAsia="黑体" w:cs="宋体"/>
          <w:b/>
          <w:bCs/>
          <w:szCs w:val="21"/>
        </w:rPr>
      </w:pPr>
      <w:r>
        <w:rPr>
          <w:rFonts w:hint="eastAsia" w:ascii="黑体" w:hAnsi="黑体" w:eastAsia="黑体" w:cs="宋体"/>
          <w:b/>
          <w:bCs/>
          <w:szCs w:val="21"/>
        </w:rPr>
        <w:t>【贡献说明】</w:t>
      </w:r>
    </w:p>
    <w:p w14:paraId="3306E3F4">
      <w:pPr>
        <w:pStyle w:val="16"/>
        <w:numPr>
          <w:ilvl w:val="0"/>
          <w:numId w:val="1"/>
        </w:numPr>
        <w:ind w:left="284" w:hanging="284" w:firstLineChars="0"/>
        <w:rPr>
          <w:rFonts w:hint="eastAsia" w:ascii="宋体" w:hAnsi="宋体" w:cs="宋体"/>
        </w:rPr>
      </w:pPr>
      <w:r>
        <w:rPr>
          <w:rFonts w:hint="eastAsia" w:ascii="宋体" w:hAnsi="宋体" w:cs="宋体"/>
          <w:b/>
          <w:bCs/>
        </w:rPr>
        <w:t>波射线</w:t>
      </w:r>
      <w:r>
        <w:rPr>
          <w:rFonts w:hint="eastAsia" w:ascii="宋体" w:hAnsi="宋体" w:cs="宋体"/>
        </w:rPr>
        <w:t>程序编写（</w:t>
      </w:r>
      <w:r>
        <w:rPr>
          <w:rFonts w:hint="default" w:ascii="Times New Roman" w:hAnsi="Times New Roman" w:cs="Times New Roman"/>
          <w:lang w:val="en-US" w:eastAsia="zh-CN"/>
        </w:rPr>
        <w:t>Python</w:t>
      </w:r>
      <w:r>
        <w:rPr>
          <w:rFonts w:hint="eastAsia" w:ascii="宋体" w:hAnsi="宋体" w:cs="宋体"/>
        </w:rPr>
        <w:t>）：</w:t>
      </w:r>
      <w:r>
        <w:rPr>
          <w:rFonts w:hint="eastAsia" w:ascii="宋体" w:hAnsi="宋体" w:cs="宋体"/>
          <w:lang w:val="en-US" w:eastAsia="zh-CN"/>
        </w:rPr>
        <w:t>杨艺楠，孙瑞鹏</w:t>
      </w:r>
      <w:r>
        <w:rPr>
          <w:rFonts w:hint="eastAsia" w:ascii="宋体" w:hAnsi="宋体" w:cs="宋体"/>
        </w:rPr>
        <w:t>，李建平教授</w:t>
      </w:r>
    </w:p>
    <w:p w14:paraId="4C190AAE">
      <w:pPr>
        <w:pStyle w:val="16"/>
        <w:numPr>
          <w:ilvl w:val="0"/>
          <w:numId w:val="1"/>
        </w:numPr>
        <w:ind w:left="284" w:hanging="284" w:firstLineChars="0"/>
        <w:rPr>
          <w:rFonts w:hint="eastAsia" w:ascii="宋体" w:hAnsi="宋体" w:cs="宋体"/>
        </w:rPr>
      </w:pPr>
      <w:r>
        <w:rPr>
          <w:rFonts w:hint="eastAsia" w:ascii="宋体" w:hAnsi="宋体" w:cs="宋体"/>
          <w:b/>
          <w:bCs/>
        </w:rPr>
        <w:t>波射线通量</w:t>
      </w:r>
      <w:r>
        <w:rPr>
          <w:rFonts w:hint="eastAsia"/>
        </w:rPr>
        <w:t>（</w:t>
      </w:r>
      <w:r>
        <w:rPr>
          <w:rFonts w:hint="eastAsia"/>
          <w:b/>
          <w:bCs/>
          <w:lang w:val="en-US" w:eastAsia="zh-CN"/>
        </w:rPr>
        <w:t xml:space="preserve">Li-Yang </w:t>
      </w:r>
      <w:r>
        <w:rPr>
          <w:b/>
          <w:bCs/>
        </w:rPr>
        <w:t>WRF</w:t>
      </w:r>
      <w:r>
        <w:rPr>
          <w:rFonts w:hint="eastAsia"/>
        </w:rPr>
        <w:t>）</w:t>
      </w:r>
      <w:r>
        <w:rPr>
          <w:rFonts w:hint="eastAsia" w:ascii="宋体" w:hAnsi="宋体" w:cs="宋体"/>
        </w:rPr>
        <w:t>程序编写（</w:t>
      </w:r>
      <w:r>
        <w:rPr>
          <w:rFonts w:cs="Times New Roman"/>
        </w:rPr>
        <w:t>Python</w:t>
      </w:r>
      <w:r>
        <w:rPr>
          <w:rFonts w:hint="eastAsia" w:ascii="宋体" w:hAnsi="宋体" w:cs="宋体"/>
        </w:rPr>
        <w:t>）：杨艺楠，李建平教授</w:t>
      </w:r>
    </w:p>
    <w:p w14:paraId="2D4BEE6B">
      <w:pPr>
        <w:pStyle w:val="16"/>
        <w:numPr>
          <w:ilvl w:val="0"/>
          <w:numId w:val="1"/>
        </w:numPr>
        <w:ind w:left="284" w:hanging="284" w:firstLineChars="0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cs="宋体"/>
        </w:rPr>
        <w:t>程序</w:t>
      </w:r>
      <w:r>
        <w:rPr>
          <w:rFonts w:hint="eastAsia" w:ascii="宋体" w:hAnsi="宋体" w:cs="宋体"/>
          <w:lang w:val="en-US" w:eastAsia="zh-CN"/>
        </w:rPr>
        <w:t>使用</w:t>
      </w:r>
      <w:r>
        <w:rPr>
          <w:rFonts w:hint="eastAsia" w:ascii="宋体" w:hAnsi="宋体" w:cs="宋体"/>
        </w:rPr>
        <w:t>说明：</w:t>
      </w:r>
      <w:r>
        <w:rPr>
          <w:rFonts w:hint="eastAsia"/>
        </w:rPr>
        <w:t>杨艺楠整理；</w:t>
      </w:r>
      <w:r>
        <w:rPr>
          <w:rFonts w:hint="eastAsia" w:ascii="宋体" w:hAnsi="宋体" w:eastAsia="宋体" w:cs="宋体"/>
          <w:szCs w:val="21"/>
        </w:rPr>
        <w:t>编写说明得到了赵森博士</w:t>
      </w:r>
      <w:r>
        <w:rPr>
          <w:rFonts w:hint="eastAsia" w:ascii="宋体" w:hAnsi="宋体" w:cs="宋体"/>
          <w:szCs w:val="21"/>
          <w:lang w:eastAsia="zh-CN"/>
        </w:rPr>
        <w:t>，</w:t>
      </w:r>
      <w:r>
        <w:rPr>
          <w:rFonts w:hint="eastAsia" w:ascii="宋体" w:hAnsi="宋体" w:cs="宋体"/>
          <w:szCs w:val="21"/>
          <w:lang w:val="en-US" w:eastAsia="zh-CN"/>
        </w:rPr>
        <w:t>李建平教授</w:t>
      </w:r>
      <w:r>
        <w:rPr>
          <w:rFonts w:hint="eastAsia" w:ascii="宋体" w:hAnsi="宋体" w:eastAsia="宋体" w:cs="宋体"/>
          <w:szCs w:val="21"/>
        </w:rPr>
        <w:t>的指导。</w:t>
      </w:r>
    </w:p>
    <w:p w14:paraId="7A05F3B4">
      <w:pPr>
        <w:ind w:firstLine="420" w:firstLineChars="200"/>
        <w:rPr>
          <w:rFonts w:hint="default" w:ascii="宋体" w:hAnsi="宋体" w:eastAsia="宋体" w:cs="宋体"/>
          <w:szCs w:val="21"/>
          <w:lang w:val="en-US" w:eastAsia="zh-CN"/>
        </w:rPr>
      </w:pPr>
      <w:r>
        <w:rPr>
          <w:rFonts w:hint="eastAsia" w:ascii="宋体" w:hAnsi="宋体" w:eastAsia="宋体" w:cs="宋体"/>
          <w:szCs w:val="21"/>
          <w:lang w:val="en-US" w:eastAsia="zh-CN"/>
        </w:rPr>
        <w:t>波射线程序（</w:t>
      </w:r>
      <w:r>
        <w:rPr>
          <w:rFonts w:hint="default" w:ascii="Times New Roman" w:hAnsi="Times New Roman" w:eastAsia="宋体" w:cs="Times New Roman"/>
          <w:szCs w:val="21"/>
          <w:lang w:val="en-US" w:eastAsia="zh-CN"/>
        </w:rPr>
        <w:t>Python</w:t>
      </w:r>
      <w:r>
        <w:rPr>
          <w:rFonts w:hint="eastAsia" w:ascii="宋体" w:hAnsi="宋体" w:eastAsia="宋体" w:cs="宋体"/>
          <w:szCs w:val="21"/>
          <w:lang w:val="en-US" w:eastAsia="zh-CN"/>
        </w:rPr>
        <w:t>）基于李艳杰博士，赵森博士，李建平教授编写的波射线程序（</w:t>
      </w:r>
      <w:r>
        <w:rPr>
          <w:rFonts w:hint="default" w:ascii="Times New Roman" w:hAnsi="Times New Roman" w:eastAsia="宋体" w:cs="Times New Roman"/>
          <w:szCs w:val="21"/>
          <w:lang w:val="en-US" w:eastAsia="zh-CN"/>
        </w:rPr>
        <w:t>Fortran</w:t>
      </w:r>
      <w:r>
        <w:rPr>
          <w:rFonts w:hint="eastAsia" w:ascii="宋体" w:hAnsi="宋体" w:eastAsia="宋体" w:cs="宋体"/>
          <w:szCs w:val="21"/>
          <w:lang w:val="en-US" w:eastAsia="zh-CN"/>
        </w:rPr>
        <w:t>）改写，</w:t>
      </w:r>
      <w:r>
        <w:rPr>
          <w:rFonts w:hint="eastAsia" w:ascii="宋体" w:hAnsi="宋体" w:cs="宋体"/>
          <w:szCs w:val="21"/>
          <w:lang w:val="en-US" w:eastAsia="zh-CN"/>
        </w:rPr>
        <w:t>三位学者的工作为本程序提供了极为宝贵的参考价值与指导意义，在</w:t>
      </w:r>
      <w:r>
        <w:rPr>
          <w:rFonts w:hint="eastAsia" w:ascii="宋体" w:hAnsi="宋体" w:eastAsia="宋体" w:cs="宋体"/>
          <w:szCs w:val="21"/>
          <w:lang w:val="en-US" w:eastAsia="zh-CN"/>
        </w:rPr>
        <w:t>此特别感谢</w:t>
      </w:r>
      <w:r>
        <w:rPr>
          <w:rFonts w:hint="eastAsia" w:ascii="宋体" w:hAnsi="宋体" w:eastAsia="宋体" w:cs="宋体"/>
          <w:szCs w:val="21"/>
        </w:rPr>
        <w:t>。</w:t>
      </w:r>
      <w:r>
        <w:rPr>
          <w:rFonts w:hint="eastAsia" w:ascii="宋体" w:hAnsi="宋体" w:cs="宋体"/>
          <w:szCs w:val="21"/>
          <w:lang w:val="en-US" w:eastAsia="zh-CN"/>
        </w:rPr>
        <w:t>此外，刘一凡也在波射线程序（</w:t>
      </w:r>
      <w:r>
        <w:rPr>
          <w:rFonts w:hint="default" w:ascii="Times New Roman" w:hAnsi="Times New Roman" w:cs="Times New Roman"/>
          <w:szCs w:val="21"/>
          <w:lang w:val="en-US" w:eastAsia="zh-CN"/>
        </w:rPr>
        <w:t>Python</w:t>
      </w:r>
      <w:r>
        <w:rPr>
          <w:rFonts w:hint="eastAsia" w:ascii="宋体" w:hAnsi="宋体" w:cs="宋体"/>
          <w:szCs w:val="21"/>
          <w:lang w:val="en-US" w:eastAsia="zh-CN"/>
        </w:rPr>
        <w:t>）编写过程中参与讨论，诸多同学如王琳洁、朱勉、张公俊等为</w:t>
      </w:r>
      <w:r>
        <w:rPr>
          <w:rFonts w:hint="eastAsia" w:ascii="Times New Roman" w:eastAsia="宋体"/>
          <w:b w:val="0"/>
          <w:bCs w:val="0"/>
          <w:lang w:val="en-US" w:eastAsia="zh-CN"/>
        </w:rPr>
        <w:t xml:space="preserve">Li-Yang </w:t>
      </w:r>
      <w:r>
        <w:rPr>
          <w:b w:val="0"/>
          <w:bCs w:val="0"/>
        </w:rPr>
        <w:t>WRF</w:t>
      </w:r>
      <w:r>
        <w:rPr>
          <w:rFonts w:hint="eastAsia"/>
          <w:b w:val="0"/>
          <w:bCs w:val="0"/>
          <w:lang w:val="en-US" w:eastAsia="zh-CN"/>
        </w:rPr>
        <w:t>程序的完善提供了宝贵建议。</w:t>
      </w:r>
    </w:p>
    <w:p w14:paraId="081D23A9">
      <w:pPr>
        <w:ind w:firstLine="420" w:firstLineChars="200"/>
        <w:rPr>
          <w:rFonts w:hint="eastAsia" w:ascii="宋体" w:hAnsi="宋体" w:eastAsia="宋体" w:cs="宋体"/>
          <w:szCs w:val="21"/>
        </w:rPr>
      </w:pPr>
    </w:p>
    <w:p w14:paraId="413B6979">
      <w:pPr>
        <w:pStyle w:val="3"/>
        <w:bidi w:val="0"/>
        <w:rPr>
          <w:rFonts w:hint="eastAsia"/>
        </w:rPr>
      </w:pPr>
      <w:r>
        <w:rPr>
          <w:rFonts w:hint="eastAsia"/>
        </w:rPr>
        <w:t>一．波射线各程序说明</w:t>
      </w:r>
    </w:p>
    <w:p w14:paraId="5F8B4F0E">
      <w:pPr>
        <w:bidi w:val="0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 xml:space="preserve">1. </w:t>
      </w:r>
      <w:r>
        <w:rPr>
          <w:rFonts w:hint="eastAsia"/>
        </w:rPr>
        <w:t xml:space="preserve">constants.py </w:t>
      </w:r>
      <w:r>
        <w:rPr>
          <w:rFonts w:hint="eastAsia"/>
          <w:lang w:val="en-US" w:eastAsia="zh-CN"/>
        </w:rPr>
        <w:t>设置</w:t>
      </w:r>
      <w:r>
        <w:rPr>
          <w:rFonts w:hint="eastAsia"/>
        </w:rPr>
        <w:t>常量与单位</w:t>
      </w:r>
      <w:r>
        <w:rPr>
          <w:rFonts w:hint="eastAsia"/>
          <w:lang w:eastAsia="zh-CN"/>
        </w:rPr>
        <w:t>。</w:t>
      </w:r>
    </w:p>
    <w:p w14:paraId="539714A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interpolation.py实现了二维场球面上的双线性插值，用于在任意位置获取基本流场及其一阶、二阶、三阶导数的值，支持不同分辨率；为后续Runge-Kutta积分、波数计算、群速度计算等提供连续空间。</w:t>
      </w:r>
    </w:p>
    <w:p w14:paraId="2516719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bs.py 实现基本流（basic state, BS）预处理，</w:t>
      </w:r>
      <w:r>
        <w:t>计算背景场</w:t>
      </w:r>
      <w:r>
        <w:rPr>
          <w:rFonts w:hint="eastAsia"/>
        </w:rPr>
        <w:t>的各阶导数及其他核心变量（如绝对涡度</w:t>
      </w:r>
      <m:oMath>
        <m:r>
          <m:rPr/>
          <w:rPr>
            <w:rFonts w:ascii="Cambria Math" w:hAnsi="Cambria Math"/>
          </w:rPr>
          <m:t>q</m:t>
        </m:r>
      </m:oMath>
      <w:r>
        <w:rPr>
          <w:rFonts w:hint="eastAsia"/>
        </w:rPr>
        <w:t>及其各阶导数，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m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 w:hAnsi="Cambria Math"/>
        </w:rPr>
        <w:t>等）</w:t>
      </w:r>
    </w:p>
    <w:p w14:paraId="42792F9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wn.py 求解Rossby波的频散关系，进而求解经向波数</w:t>
      </w:r>
      <m:oMath>
        <m:r>
          <m:rPr/>
          <w:rPr>
            <w:rFonts w:hint="default" w:ascii="Cambria Math" w:hAnsi="Cambria Math" w:cs="Times New Roman"/>
            <w:kern w:val="2"/>
            <w:sz w:val="21"/>
            <w:szCs w:val="24"/>
            <w:lang w:val="en-US" w:eastAsia="zh-CN" w:bidi="ar-SA"/>
          </w:rPr>
          <m:t>l</m:t>
        </m:r>
      </m:oMath>
      <w:r>
        <w:rPr>
          <w:rFonts w:hint="eastAsia"/>
          <w:lang w:val="en-US" w:eastAsia="zh-CN"/>
        </w:rPr>
        <w:t>。可以计算Hoskins and Ambrizzi （1993）的定常波数或者Hoskins and Yang（1996）的非定常波数，以及Zhao et al.（2015）的含有经向基本气流的波数分析。这些波数分析是完全取决于基本气流的，对于分析不同气候背景的波动传播有重要的启示意义。分析三根中是否存在实数根，并进行波传播条件与终止条件的判断。</w:t>
      </w:r>
    </w:p>
    <w:p w14:paraId="5256B311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 wr.py 实现Rossby波的射线追踪。是本程序计算的核心模块。求解频散关系并使用四阶Runge-Kutta方法进行数值积分，输出波传播路径、波数、群速度、振幅。</w:t>
      </w:r>
    </w:p>
    <w:p w14:paraId="5609EDD4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 main_wr.py是波射线系统的执行入口（主程序），用于特定试验情形，负责完整的参数设定、模块调用和计算流程管理。使用者可根据研究内容自行调整参数。</w:t>
      </w:r>
    </w:p>
    <w:p w14:paraId="0E7E58E9"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补充：背景场处理可选择使用球面谐函数谱滤波（Spherical Harmonic Spectral Filtering, SHSF）</w:t>
      </w:r>
    </w:p>
    <w:p w14:paraId="7E434D6A">
      <w:pPr>
        <w:rPr>
          <w:rFonts w:eastAsiaTheme="minorEastAsia" w:cstheme="minorBidi"/>
          <w:szCs w:val="21"/>
        </w:rPr>
      </w:pPr>
      <w:r>
        <w:rPr>
          <w:rFonts w:hint="eastAsia" w:eastAsiaTheme="minorEastAsia" w:cstheme="minorBidi"/>
          <w:szCs w:val="21"/>
        </w:rPr>
        <w:t>方法介绍：SHSF</w:t>
      </w:r>
      <w:r>
        <w:rPr>
          <w:rFonts w:eastAsiaTheme="minorEastAsia" w:cstheme="minorBidi"/>
          <w:szCs w:val="21"/>
        </w:rPr>
        <w:t>属于经典的谱分析方法</w:t>
      </w:r>
      <w:r>
        <w:rPr>
          <w:rFonts w:hint="eastAsia" w:eastAsiaTheme="minorEastAsia" w:cstheme="minorBidi"/>
          <w:szCs w:val="21"/>
        </w:rPr>
        <w:t>，用于</w:t>
      </w:r>
      <w:r>
        <w:rPr>
          <w:rFonts w:eastAsiaTheme="minorEastAsia" w:cstheme="minorBidi"/>
          <w:szCs w:val="21"/>
        </w:rPr>
        <w:t>实现球面谐函数展开</w:t>
      </w:r>
      <w:r>
        <w:rPr>
          <w:rFonts w:cs="Times New Roman"/>
          <w:sz w:val="24"/>
          <w:szCs w:val="24"/>
        </w:rPr>
        <w:t>–</w:t>
      </w:r>
      <w:r>
        <w:rPr>
          <w:rFonts w:eastAsiaTheme="minorEastAsia" w:cstheme="minorBidi"/>
          <w:szCs w:val="21"/>
        </w:rPr>
        <w:t>截断</w:t>
      </w:r>
      <w:r>
        <w:rPr>
          <w:rFonts w:cs="Times New Roman"/>
          <w:sz w:val="24"/>
          <w:szCs w:val="24"/>
        </w:rPr>
        <w:t>–</w:t>
      </w:r>
      <w:r>
        <w:rPr>
          <w:rFonts w:eastAsiaTheme="minorEastAsia" w:cstheme="minorBidi"/>
          <w:szCs w:val="21"/>
        </w:rPr>
        <w:t>重建的过程，常用于对球面上的气象变量（如风场、位势高度等）进行低频提取、滤波、尺度分析或降噪重建。</w:t>
      </w:r>
      <w:r>
        <w:rPr>
          <w:rFonts w:hint="eastAsia" w:eastAsiaTheme="minorEastAsia" w:cstheme="minorBidi"/>
          <w:szCs w:val="21"/>
        </w:rPr>
        <w:t>主要分为以下三步：</w:t>
      </w:r>
    </w:p>
    <w:p w14:paraId="76FDE945">
      <w:pPr>
        <w:ind w:firstLine="420" w:firstLineChars="200"/>
        <w:rPr>
          <w:rFonts w:eastAsiaTheme="minorEastAsia" w:cstheme="minorBidi"/>
          <w:szCs w:val="21"/>
        </w:rPr>
      </w:pPr>
      <w:r>
        <w:rPr>
          <w:rFonts w:hint="eastAsia" w:eastAsiaTheme="minorEastAsia" w:cstheme="minorBidi"/>
          <w:szCs w:val="21"/>
        </w:rPr>
        <w:t>（1）展开。</w:t>
      </w:r>
      <w:r>
        <w:rPr>
          <w:rFonts w:eastAsiaTheme="minorEastAsia" w:cstheme="minorBidi"/>
          <w:szCs w:val="21"/>
        </w:rPr>
        <w:t>将球面上的二维网格数据</w:t>
      </w:r>
      <m:oMath>
        <m:r>
          <m:rPr/>
          <w:rPr>
            <w:rFonts w:ascii="Cambria Math" w:hAnsi="Cambria Math" w:eastAsiaTheme="minorEastAsia"/>
          </w:rPr>
          <m:t>f(θ, ϕ)</m:t>
        </m:r>
      </m:oMath>
      <w:r>
        <w:rPr>
          <w:rFonts w:eastAsiaTheme="minorEastAsia" w:cstheme="minorBidi"/>
          <w:szCs w:val="21"/>
        </w:rPr>
        <w:t>展开为球谐函数之和：</w:t>
      </w:r>
    </w:p>
    <w:p w14:paraId="05EAEF63">
      <w:pPr>
        <w:rPr>
          <w:rFonts w:eastAsiaTheme="minorEastAsia" w:cstheme="minorBidi"/>
          <w:szCs w:val="21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eastAsiaTheme="minorEastAsia"/>
                  <w:i/>
                </w:rPr>
              </m:ctrlPr>
            </m:eqArrPr>
            <m:e>
              <m:r>
                <m:rPr/>
                <w:rPr>
                  <w:rFonts w:ascii="Cambria Math" w:hAnsi="Cambria Math" w:eastAsiaTheme="minorEastAsia"/>
                </w:rPr>
                <m:t>f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dPr>
                <m:e>
                  <m:r>
                    <m:rPr/>
                    <w:rPr>
                      <w:rFonts w:ascii="Cambria Math" w:hAnsi="Cambria Math" w:eastAsiaTheme="minorEastAsia"/>
                    </w:rPr>
                    <m:t>θ,ϕ</m:t>
                  </m: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e>
              </m:d>
              <m:r>
                <m:rPr/>
                <w:rPr>
                  <w:rFonts w:ascii="Cambria Math" w:hAnsi="Cambria Math" w:eastAsiaTheme="minorEastAsia"/>
                </w:rPr>
                <m:t>=</m:t>
              </m:r>
              <m:nary>
                <m:naryPr>
                  <m:chr m:val="∑"/>
                  <m:grow m:val="1"/>
                  <m:limLoc m:val="undOvr"/>
                  <m:ctrlPr>
                    <w:rPr>
                      <w:rFonts w:ascii="Cambria Math" w:hAnsi="Cambria Math" w:eastAsiaTheme="minorEastAsia"/>
                      <w:i/>
                    </w:rPr>
                  </m:ctrlPr>
                </m:naryPr>
                <m:sub>
                  <m:r>
                    <m:rPr/>
                    <w:rPr>
                      <w:rFonts w:ascii="Cambria Math" w:hAnsi="Cambria Math" w:eastAsiaTheme="minorEastAsia"/>
                    </w:rPr>
                    <m:t>l=0</m:t>
                  </m: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ub>
                <m:sup>
                  <m:sSub>
                    <m:sSub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eastAsiaTheme="minorEastAsia"/>
                        </w:rPr>
                        <m:t>L</m:t>
                      </m: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eastAsiaTheme="minorEastAsia"/>
                        </w:rPr>
                        <m:t>max</m:t>
                      </m: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up>
                <m:e>
                  <m:r>
                    <m:rPr/>
                    <w:rPr>
                      <w:rFonts w:ascii="Cambria Math" w:hAnsi="Cambria Math" w:eastAsiaTheme="minorEastAsia"/>
                    </w:rPr>
                    <m:t> </m:t>
                  </m: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e>
              </m:nary>
              <m:nary>
                <m:naryPr>
                  <m:chr m:val="∑"/>
                  <m:grow m:val="1"/>
                  <m:limLoc m:val="undOvr"/>
                  <m:ctrlPr>
                    <w:rPr>
                      <w:rFonts w:ascii="Cambria Math" w:hAnsi="Cambria Math" w:eastAsiaTheme="minorEastAsia"/>
                      <w:i/>
                    </w:rPr>
                  </m:ctrlPr>
                </m:naryPr>
                <m:sub>
                  <m:r>
                    <m:rPr/>
                    <w:rPr>
                      <w:rFonts w:ascii="Cambria Math" w:hAnsi="Cambria Math" w:eastAsiaTheme="minorEastAsia"/>
                    </w:rPr>
                    <m:t>m=−l</m:t>
                  </m: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ub>
                <m:sup>
                  <m:r>
                    <m:rPr/>
                    <w:rPr>
                      <w:rFonts w:ascii="Cambria Math" w:hAnsi="Cambria Math" w:eastAsiaTheme="minorEastAsia"/>
                    </w:rPr>
                    <m:t>l</m:t>
                  </m: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up>
                <m:e>
                  <m:r>
                    <m:rPr/>
                    <w:rPr>
                      <w:rFonts w:ascii="Cambria Math" w:hAnsi="Cambria Math" w:eastAsiaTheme="minorEastAsia"/>
                    </w:rPr>
                    <m:t> </m:t>
                  </m: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e>
              </m:nary>
              <m:sSub>
                <m:sSub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Theme="minorEastAsia"/>
                    </w:rPr>
                    <m:t>a</m:t>
                  </m: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Theme="minorEastAsia"/>
                    </w:rPr>
                    <m:t>lm</m:t>
                  </m: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Theme="minorEastAsia"/>
                    </w:rPr>
                    <m:t>Y</m:t>
                  </m: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Theme="minorEastAsia"/>
                    </w:rPr>
                    <m:t>lm</m:t>
                  </m: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ub>
              </m:sSub>
              <m:d>
                <m:d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dPr>
                <m:e>
                  <m:r>
                    <m:rPr/>
                    <w:rPr>
                      <w:rFonts w:ascii="Cambria Math" w:hAnsi="Cambria Math" w:eastAsiaTheme="minorEastAsia"/>
                    </w:rPr>
                    <m:t>θ,ϕ</m:t>
                  </m: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e>
              </m:d>
              <m:r>
                <m:rPr/>
                <w:rPr>
                  <w:rFonts w:ascii="Cambria Math" w:hAnsi="Cambria Math" w:eastAsiaTheme="minorEastAsia"/>
                </w:rPr>
                <m:t>.#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dPr>
                <m:e>
                  <m:r>
                    <m:rPr/>
                    <w:rPr>
                      <w:rFonts w:ascii="Cambria Math" w:hAnsi="Cambria Math" w:eastAsiaTheme="minorEastAsia"/>
                    </w:rPr>
                    <m:t>1</m:t>
                  </m: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e>
              </m:d>
              <m:ctrlPr>
                <w:rPr>
                  <w:rFonts w:ascii="Cambria Math" w:hAnsi="Cambria Math" w:eastAsiaTheme="minorEastAsia"/>
                  <w:i/>
                </w:rPr>
              </m:ctrlPr>
            </m:e>
          </m:eqArr>
        </m:oMath>
      </m:oMathPara>
    </w:p>
    <w:p w14:paraId="20EE4B0F">
      <w:pPr>
        <w:rPr>
          <w:rFonts w:eastAsiaTheme="minorEastAsia" w:cstheme="minorBidi"/>
          <w:szCs w:val="21"/>
        </w:rPr>
      </w:pPr>
      <w:r>
        <w:rPr>
          <w:rFonts w:eastAsiaTheme="minorEastAsia" w:cstheme="minorBidi"/>
          <w:szCs w:val="21"/>
        </w:rPr>
        <w:t>其中</w:t>
      </w:r>
      <m:oMath>
        <m:sSub>
          <m:sSubPr>
            <m:ctrlPr>
              <w:rPr>
                <w:rFonts w:ascii="Cambria Math" w:hAnsi="Cambria Math" w:eastAsiaTheme="minorEastAsia"/>
                <w:i/>
              </w:rPr>
            </m:ctrlPr>
          </m:sSubPr>
          <m:e>
            <m:r>
              <m:rPr/>
              <w:rPr>
                <w:rFonts w:ascii="Cambria Math" w:hAnsi="Cambria Math" w:eastAsiaTheme="minorEastAsia"/>
              </w:rPr>
              <m:t>Y</m:t>
            </m:r>
            <m:ctrlPr>
              <w:rPr>
                <w:rFonts w:ascii="Cambria Math" w:hAnsi="Cambria Math" w:eastAsiaTheme="minorEastAsia"/>
                <w:i/>
              </w:rPr>
            </m:ctrlPr>
          </m:e>
          <m:sub>
            <m:r>
              <m:rPr/>
              <w:rPr>
                <w:rFonts w:ascii="Cambria Math" w:hAnsi="Cambria Math" w:eastAsiaTheme="minorEastAsia"/>
              </w:rPr>
              <m:t>lm</m:t>
            </m:r>
            <m:ctrlPr>
              <w:rPr>
                <w:rFonts w:ascii="Cambria Math" w:hAnsi="Cambria Math" w:eastAsiaTheme="minorEastAsia"/>
                <w:i/>
              </w:rPr>
            </m:ctrlPr>
          </m:sub>
        </m:sSub>
      </m:oMath>
      <w:r>
        <w:rPr>
          <w:rFonts w:eastAsiaTheme="minorEastAsia" w:cstheme="minorBidi"/>
          <w:szCs w:val="21"/>
        </w:rPr>
        <w:t>是球谐函数，</w:t>
      </w:r>
      <m:oMath>
        <m:sSub>
          <m:sSubPr>
            <m:ctrlPr>
              <w:rPr>
                <w:rFonts w:ascii="Cambria Math" w:hAnsi="Cambria Math" w:eastAsiaTheme="minorEastAsia"/>
                <w:i/>
              </w:rPr>
            </m:ctrlPr>
          </m:sSubPr>
          <m:e>
            <m:r>
              <m:rPr/>
              <w:rPr>
                <w:rFonts w:ascii="Cambria Math" w:hAnsi="Cambria Math" w:eastAsiaTheme="minorEastAsia"/>
              </w:rPr>
              <m:t>a</m:t>
            </m:r>
            <m:ctrlPr>
              <w:rPr>
                <w:rFonts w:ascii="Cambria Math" w:hAnsi="Cambria Math" w:eastAsiaTheme="minorEastAsia"/>
                <w:i/>
              </w:rPr>
            </m:ctrlPr>
          </m:e>
          <m:sub>
            <m:r>
              <m:rPr/>
              <w:rPr>
                <w:rFonts w:ascii="Cambria Math" w:hAnsi="Cambria Math" w:eastAsiaTheme="minorEastAsia"/>
              </w:rPr>
              <m:t>lm</m:t>
            </m:r>
            <m:ctrlPr>
              <w:rPr>
                <w:rFonts w:ascii="Cambria Math" w:hAnsi="Cambria Math" w:eastAsiaTheme="minorEastAsia"/>
                <w:i/>
              </w:rPr>
            </m:ctrlPr>
          </m:sub>
        </m:sSub>
      </m:oMath>
      <w:r>
        <w:rPr>
          <w:rFonts w:eastAsiaTheme="minorEastAsia" w:cstheme="minorBidi"/>
          <w:szCs w:val="21"/>
        </w:rPr>
        <w:t>是展开系数</w:t>
      </w:r>
      <w:r>
        <w:rPr>
          <w:rFonts w:hint="eastAsia" w:eastAsiaTheme="minorEastAsia" w:cstheme="minorBidi"/>
          <w:szCs w:val="21"/>
        </w:rPr>
        <w:t>。</w:t>
      </w:r>
      <w:r>
        <w:rPr>
          <w:rFonts w:eastAsiaTheme="minorEastAsia" w:cstheme="minorBidi"/>
          <w:szCs w:val="21"/>
        </w:rPr>
        <w:t>使用的采样方案是Driscoll &amp; Healy (DH)，确保球面完全正交采样。</w:t>
      </w:r>
    </w:p>
    <w:p w14:paraId="70C24AB9">
      <w:pPr>
        <w:ind w:firstLine="420" w:firstLineChars="200"/>
        <w:rPr>
          <w:rFonts w:eastAsiaTheme="minorEastAsia" w:cstheme="minorBidi"/>
          <w:szCs w:val="21"/>
        </w:rPr>
      </w:pPr>
      <w:r>
        <w:rPr>
          <w:rFonts w:hint="eastAsia" w:eastAsiaTheme="minorEastAsia" w:cstheme="minorBidi"/>
          <w:szCs w:val="21"/>
        </w:rPr>
        <w:t>（2）截断。</w:t>
      </w:r>
      <w:r>
        <w:rPr>
          <w:rFonts w:eastAsiaTheme="minorEastAsia" w:cstheme="minorBidi"/>
          <w:szCs w:val="21"/>
        </w:rPr>
        <w:t>将球谐级数限制到某一最大阶数</w:t>
      </w:r>
      <m:oMath>
        <m:r>
          <m:rPr/>
          <w:rPr>
            <w:rFonts w:ascii="Cambria Math" w:hAnsi="Cambria Math" w:eastAsiaTheme="minorEastAsia"/>
          </w:rPr>
          <m:t>l≤</m:t>
        </m:r>
        <m:sSub>
          <m:sSubPr>
            <m:ctrlPr>
              <w:rPr>
                <w:rFonts w:ascii="Cambria Math" w:hAnsi="Cambria Math" w:eastAsiaTheme="minorEastAsia"/>
                <w:i/>
              </w:rPr>
            </m:ctrlPr>
          </m:sSubPr>
          <m:e>
            <m:r>
              <m:rPr/>
              <w:rPr>
                <w:rFonts w:ascii="Cambria Math" w:hAnsi="Cambria Math" w:eastAsiaTheme="minorEastAsia"/>
              </w:rPr>
              <m:t>L</m:t>
            </m:r>
            <m:ctrlPr>
              <w:rPr>
                <w:rFonts w:ascii="Cambria Math" w:hAnsi="Cambria Math" w:eastAsiaTheme="minorEastAsia"/>
                <w:i/>
              </w:rPr>
            </m:ctrlPr>
          </m:e>
          <m:sub>
            <m:r>
              <m:rPr/>
              <w:rPr>
                <w:rFonts w:ascii="Cambria Math" w:hAnsi="Cambria Math" w:eastAsiaTheme="minorEastAsia"/>
              </w:rPr>
              <m:t>cutoff</m:t>
            </m:r>
            <m:ctrlPr>
              <w:rPr>
                <w:rFonts w:ascii="Cambria Math" w:hAnsi="Cambria Math" w:eastAsiaTheme="minorEastAsia"/>
                <w:i/>
              </w:rPr>
            </m:ctrlPr>
          </m:sub>
        </m:sSub>
      </m:oMath>
      <w:r>
        <w:rPr>
          <w:rFonts w:hint="eastAsia" w:eastAsiaTheme="minorEastAsia" w:cstheme="minorBidi"/>
          <w:szCs w:val="21"/>
        </w:rPr>
        <w:t>，</w:t>
      </w:r>
      <w:r>
        <w:rPr>
          <w:rFonts w:eastAsiaTheme="minorEastAsia" w:cstheme="minorBidi"/>
          <w:szCs w:val="21"/>
        </w:rPr>
        <w:t>丢弃高阶项（高频信息）：</w:t>
      </w:r>
    </w:p>
    <w:p w14:paraId="68B997F6">
      <w:pPr>
        <w:rPr>
          <w:rFonts w:eastAsiaTheme="minorEastAsia" w:cstheme="minorBidi"/>
          <w:szCs w:val="21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eastAsiaTheme="minorEastAsia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Theme="minorEastAsia"/>
                    </w:rPr>
                    <m:t>f</m:t>
                  </m: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trunc</m:t>
                  </m: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ub>
              </m:sSub>
              <m:d>
                <m:d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dPr>
                <m:e>
                  <m:r>
                    <m:rPr/>
                    <w:rPr>
                      <w:rFonts w:ascii="Cambria Math" w:hAnsi="Cambria Math" w:eastAsiaTheme="minorEastAsia"/>
                    </w:rPr>
                    <m:t>θ,ϕ</m:t>
                  </m: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e>
              </m:d>
              <m:r>
                <m:rPr/>
                <w:rPr>
                  <w:rFonts w:ascii="Cambria Math" w:hAnsi="Cambria Math" w:eastAsiaTheme="minorEastAsia"/>
                </w:rPr>
                <m:t>=</m:t>
              </m:r>
              <m:nary>
                <m:naryPr>
                  <m:chr m:val="∑"/>
                  <m:grow m:val="1"/>
                  <m:limLoc m:val="undOvr"/>
                  <m:ctrlPr>
                    <w:rPr>
                      <w:rFonts w:ascii="Cambria Math" w:hAnsi="Cambria Math" w:eastAsiaTheme="minorEastAsia"/>
                      <w:i/>
                    </w:rPr>
                  </m:ctrlPr>
                </m:naryPr>
                <m:sub>
                  <m:r>
                    <m:rPr/>
                    <w:rPr>
                      <w:rFonts w:ascii="Cambria Math" w:hAnsi="Cambria Math" w:eastAsiaTheme="minorEastAsia"/>
                    </w:rPr>
                    <m:t>l=0</m:t>
                  </m: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ub>
                <m:sup>
                  <m:sSub>
                    <m:sSub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eastAsiaTheme="minorEastAsia"/>
                        </w:rPr>
                        <m:t>L</m:t>
                      </m: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eastAsiaTheme="minorEastAsia"/>
                        </w:rPr>
                        <m:t>cutoff</m:t>
                      </m: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up>
                <m:e>
                  <m:r>
                    <m:rPr/>
                    <w:rPr>
                      <w:rFonts w:ascii="Cambria Math" w:hAnsi="Cambria Math" w:eastAsiaTheme="minorEastAsia"/>
                    </w:rPr>
                    <m:t> </m:t>
                  </m: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e>
              </m:nary>
              <m:nary>
                <m:naryPr>
                  <m:chr m:val="∑"/>
                  <m:grow m:val="1"/>
                  <m:limLoc m:val="undOvr"/>
                  <m:ctrlPr>
                    <w:rPr>
                      <w:rFonts w:ascii="Cambria Math" w:hAnsi="Cambria Math" w:eastAsiaTheme="minorEastAsia"/>
                      <w:i/>
                    </w:rPr>
                  </m:ctrlPr>
                </m:naryPr>
                <m:sub>
                  <m:r>
                    <m:rPr/>
                    <w:rPr>
                      <w:rFonts w:ascii="Cambria Math" w:hAnsi="Cambria Math" w:eastAsiaTheme="minorEastAsia"/>
                    </w:rPr>
                    <m:t>m=−l</m:t>
                  </m: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ub>
                <m:sup>
                  <m:r>
                    <m:rPr/>
                    <w:rPr>
                      <w:rFonts w:ascii="Cambria Math" w:hAnsi="Cambria Math" w:eastAsiaTheme="minorEastAsia"/>
                    </w:rPr>
                    <m:t>l</m:t>
                  </m: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up>
                <m:e>
                  <m:r>
                    <m:rPr/>
                    <w:rPr>
                      <w:rFonts w:ascii="Cambria Math" w:hAnsi="Cambria Math" w:eastAsiaTheme="minorEastAsia"/>
                    </w:rPr>
                    <m:t> </m:t>
                  </m: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e>
              </m:nary>
              <m:sSub>
                <m:sSub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Theme="minorEastAsia"/>
                    </w:rPr>
                    <m:t>a</m:t>
                  </m: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Theme="minorEastAsia"/>
                    </w:rPr>
                    <m:t>lm</m:t>
                  </m: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Theme="minorEastAsia"/>
                    </w:rPr>
                    <m:t>Y</m:t>
                  </m: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Theme="minorEastAsia"/>
                    </w:rPr>
                    <m:t>lm</m:t>
                  </m: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ub>
              </m:sSub>
              <m:d>
                <m:d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dPr>
                <m:e>
                  <m:r>
                    <m:rPr/>
                    <w:rPr>
                      <w:rFonts w:ascii="Cambria Math" w:hAnsi="Cambria Math" w:eastAsiaTheme="minorEastAsia"/>
                    </w:rPr>
                    <m:t>θ,ϕ</m:t>
                  </m: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e>
              </m:d>
              <m:r>
                <m:rPr/>
                <w:rPr>
                  <w:rFonts w:ascii="Cambria Math" w:hAnsi="Cambria Math" w:eastAsiaTheme="minorEastAsia"/>
                </w:rPr>
                <m:t>.#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dPr>
                <m:e>
                  <m:r>
                    <m:rPr/>
                    <w:rPr>
                      <w:rFonts w:ascii="Cambria Math" w:hAnsi="Cambria Math" w:eastAsiaTheme="minorEastAsia"/>
                    </w:rPr>
                    <m:t>2</m:t>
                  </m: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e>
              </m:d>
              <m:ctrlPr>
                <w:rPr>
                  <w:rFonts w:ascii="Cambria Math" w:hAnsi="Cambria Math" w:eastAsiaTheme="minorEastAsia"/>
                  <w:i/>
                </w:rPr>
              </m:ctrlPr>
            </m:e>
          </m:eqArr>
        </m:oMath>
      </m:oMathPara>
    </w:p>
    <w:p w14:paraId="3307A2D7">
      <w:pPr>
        <w:rPr>
          <w:rFonts w:eastAsiaTheme="minorEastAsia" w:cstheme="minorBidi"/>
          <w:szCs w:val="21"/>
        </w:rPr>
      </w:pPr>
      <w:r>
        <w:rPr>
          <w:rFonts w:eastAsiaTheme="minorEastAsia" w:cstheme="minorBidi"/>
          <w:szCs w:val="21"/>
        </w:rPr>
        <w:t>对应于保留较大尺度、低频成分，去除高频噪声或局地扰动。</w:t>
      </w:r>
    </w:p>
    <w:p w14:paraId="46FEF037">
      <w:pPr>
        <w:ind w:firstLine="420" w:firstLineChars="200"/>
        <w:rPr>
          <w:rFonts w:eastAsiaTheme="minorEastAsia" w:cstheme="minorBidi"/>
          <w:szCs w:val="21"/>
        </w:rPr>
      </w:pPr>
      <w:r>
        <w:rPr>
          <w:rFonts w:hint="eastAsia" w:eastAsiaTheme="minorEastAsia" w:cstheme="minorBidi"/>
          <w:szCs w:val="21"/>
        </w:rPr>
        <w:t>（3）</w:t>
      </w:r>
      <w:r>
        <w:rPr>
          <w:rFonts w:eastAsiaTheme="minorEastAsia" w:cstheme="minorBidi"/>
          <w:szCs w:val="21"/>
        </w:rPr>
        <w:t>重建网格数据</w:t>
      </w:r>
      <w:r>
        <w:rPr>
          <w:rFonts w:hint="eastAsia" w:eastAsiaTheme="minorEastAsia" w:cstheme="minorBidi"/>
          <w:szCs w:val="21"/>
        </w:rPr>
        <w:t>。</w:t>
      </w:r>
      <w:r>
        <w:rPr>
          <w:rFonts w:eastAsiaTheme="minorEastAsia" w:cstheme="minorBidi"/>
          <w:szCs w:val="21"/>
        </w:rPr>
        <w:t>通过截断后的球谐系数重新合成网格场；实现从谱空间</w:t>
      </w:r>
      <w:r>
        <w:rPr>
          <w:rFonts w:hint="eastAsia" w:eastAsiaTheme="minorEastAsia" w:cstheme="minorBidi"/>
          <w:szCs w:val="21"/>
        </w:rPr>
        <w:t>到</w:t>
      </w:r>
      <w:r>
        <w:rPr>
          <w:rFonts w:eastAsiaTheme="minorEastAsia" w:cstheme="minorBidi"/>
          <w:szCs w:val="21"/>
        </w:rPr>
        <w:t>物理空间的转换。</w:t>
      </w:r>
    </w:p>
    <w:p w14:paraId="5ED1BDAF">
      <w:pPr>
        <w:bidi w:val="0"/>
        <w:rPr>
          <w:rFonts w:hint="default"/>
          <w:color w:val="0070C0"/>
          <w:u w:val="none"/>
          <w:lang w:val="en-US" w:eastAsia="zh-CN"/>
        </w:rPr>
      </w:pPr>
      <w:r>
        <w:rPr>
          <w:rFonts w:hint="default"/>
          <w:lang w:val="en-US" w:eastAsia="zh-CN"/>
        </w:rPr>
        <w:t>球谐函数平滑的程序，可参考赵森博士在github的公开库：</w:t>
      </w:r>
      <w:r>
        <w:rPr>
          <w:rFonts w:hint="default" w:ascii="Times New Roman" w:hAnsi="Times New Roman" w:cs="Times New Roman"/>
          <w:color w:val="0070C0"/>
          <w:u w:val="none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color w:val="0070C0"/>
          <w:u w:val="none"/>
          <w:lang w:val="en-US" w:eastAsia="zh-CN"/>
        </w:rPr>
        <w:instrText xml:space="preserve"> HYPERLINK "https://github.com/senclimate/xspharm" </w:instrText>
      </w:r>
      <w:r>
        <w:rPr>
          <w:rFonts w:hint="default" w:ascii="Times New Roman" w:hAnsi="Times New Roman" w:cs="Times New Roman"/>
          <w:color w:val="0070C0"/>
          <w:u w:val="none"/>
          <w:lang w:val="en-US" w:eastAsia="zh-CN"/>
        </w:rPr>
        <w:fldChar w:fldCharType="separate"/>
      </w:r>
      <w:r>
        <w:rPr>
          <w:rStyle w:val="14"/>
          <w:rFonts w:hint="default" w:ascii="Times New Roman" w:hAnsi="Times New Roman" w:cs="Times New Roman"/>
          <w:color w:val="0070C0"/>
          <w:u w:val="none"/>
          <w:lang w:val="en-US" w:eastAsia="zh-CN"/>
        </w:rPr>
        <w:t>https://github.com/senclimate/xspharm</w:t>
      </w:r>
      <w:r>
        <w:rPr>
          <w:rFonts w:hint="default" w:ascii="Times New Roman" w:hAnsi="Times New Roman" w:cs="Times New Roman"/>
          <w:color w:val="0070C0"/>
          <w:u w:val="none"/>
          <w:lang w:val="en-US" w:eastAsia="zh-CN"/>
        </w:rPr>
        <w:fldChar w:fldCharType="end"/>
      </w:r>
    </w:p>
    <w:p w14:paraId="7EDA77EA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利用Python第三方库pyshtools 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SHTOOLS for Python）</w:t>
      </w:r>
      <w:r>
        <w:rPr>
          <w:rFonts w:hint="eastAsia"/>
          <w:lang w:val="en-US" w:eastAsia="zh-CN"/>
        </w:rPr>
        <w:t>亦可</w:t>
      </w:r>
      <w:r>
        <w:rPr>
          <w:rFonts w:hint="default"/>
          <w:lang w:val="en-US" w:eastAsia="zh-CN"/>
        </w:rPr>
        <w:t>实现上述过程</w:t>
      </w:r>
      <w:r>
        <w:rPr>
          <w:rFonts w:hint="eastAsia"/>
          <w:lang w:val="en-US" w:eastAsia="zh-CN"/>
        </w:rPr>
        <w:t>，对应库中SHSF.py。</w:t>
      </w:r>
    </w:p>
    <w:p w14:paraId="4CB4F5B7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如使用NCL进行上述方法，可参考使用shaec, tri_trunc, shsec三个函数，功能或与上述三步对应。</w:t>
      </w:r>
    </w:p>
    <w:p w14:paraId="7E7A0B50">
      <w:pPr>
        <w:bidi w:val="0"/>
        <w:rPr>
          <w:rFonts w:hint="eastAsia"/>
        </w:rPr>
      </w:pPr>
    </w:p>
    <w:p w14:paraId="78A3D801">
      <w:pPr>
        <w:pStyle w:val="3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计算示例</w:t>
      </w:r>
    </w:p>
    <w:p w14:paraId="07F9161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大圆理论通常被认为是球面Rossby波传播的近乎完美的理论框架（Hoskins and Karoly 1981; Karoly 1983），以其为例使用本程序运行的结果如图1，相关背景场（ideal basic flow.nc，刘一凡提供）、计算主程序（the Great Circle calu.py）与绘图代码（the Great Circle plot.py）已上传至库中，供读者体会学习。</w:t>
      </w:r>
    </w:p>
    <w:p w14:paraId="139EC067">
      <w:pPr>
        <w:rPr>
          <w:rFonts w:hint="eastAsia"/>
          <w:lang w:val="en-US" w:eastAsia="zh-CN"/>
        </w:rPr>
      </w:pPr>
    </w:p>
    <w:p w14:paraId="1DB6B0CF">
      <w:r>
        <w:drawing>
          <wp:inline distT="0" distB="0" distL="114300" distR="114300">
            <wp:extent cx="5271135" cy="2792095"/>
            <wp:effectExtent l="0" t="0" r="1206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2B73B">
      <w:pPr>
        <w:jc w:val="center"/>
        <w:rPr>
          <w:rFonts w:hint="default" w:eastAsia="宋体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图1 基于理想基流的波射线试验，初始纬向波数为</w:t>
      </w:r>
      <m:oMath>
        <m:r>
          <m:rPr>
            <m:sty m:val="p"/>
          </m:rPr>
          <w:rPr>
            <w:rFonts w:hint="eastAsia" w:ascii="Cambria Math" w:hAnsi="Cambria Math" w:cs="Times New Roman"/>
            <w:kern w:val="2"/>
            <w:sz w:val="21"/>
            <w:szCs w:val="24"/>
            <w:lang w:val="en-US" w:eastAsia="zh-CN" w:bidi="ar-SA"/>
          </w:rPr>
          <m:t>1</m:t>
        </m:r>
        <m:r>
          <m:rPr>
            <m:sty m:val="p"/>
          </m:rPr>
          <w:rPr>
            <w:rFonts w:hint="default" w:ascii="Cambria Math" w:hAnsi="Cambria Math" w:cs="Times New Roman"/>
            <w:kern w:val="2"/>
            <w:sz w:val="21"/>
            <w:szCs w:val="21"/>
            <w:lang w:val="en-US" w:eastAsia="zh-CN" w:bidi="ar"/>
          </w:rPr>
          <m:t>–</m:t>
        </m:r>
        <m:r>
          <m:rPr>
            <m:sty m:val="p"/>
          </m:rPr>
          <w:rPr>
            <w:rFonts w:hint="eastAsia" w:ascii="Cambria Math" w:hAnsi="Cambria Math" w:cs="Times New Roman"/>
            <w:kern w:val="2"/>
            <w:sz w:val="21"/>
            <w:szCs w:val="24"/>
            <w:lang w:val="en-US" w:eastAsia="zh-CN" w:bidi="ar-SA"/>
          </w:rPr>
          <m:t>5</m:t>
        </m:r>
      </m:oMath>
      <w:r>
        <w:rPr>
          <w:rFonts w:hint="eastAsia"/>
          <w:lang w:val="en-US" w:eastAsia="zh-CN"/>
        </w:rPr>
        <w:t>波，传播时间为</w:t>
      </w:r>
      <m:oMath>
        <m:r>
          <m:rPr>
            <m:sty m:val="p"/>
          </m:rPr>
          <w:rPr>
            <w:rFonts w:hint="eastAsia" w:ascii="Cambria Math" w:hAnsi="Cambria Math" w:cs="Times New Roman"/>
            <w:kern w:val="2"/>
            <w:sz w:val="21"/>
            <w:szCs w:val="24"/>
            <w:lang w:val="en-US" w:eastAsia="zh-CN" w:bidi="ar-SA"/>
          </w:rPr>
          <m:t>30</m:t>
        </m:r>
      </m:oMath>
      <w:r>
        <w:rPr>
          <w:rFonts w:hint="eastAsia"/>
          <w:lang w:val="en-US" w:eastAsia="zh-CN"/>
        </w:rPr>
        <w:t>天。波源经度设置在</w:t>
      </w:r>
      <m:oMath>
        <m:r>
          <m:rPr>
            <m:sty m:val="p"/>
          </m:rPr>
          <w:rPr>
            <w:rFonts w:hint="eastAsia" w:ascii="Times New Roman" w:hAnsi="Times New Roman"/>
            <w:lang w:val="en-US" w:eastAsia="zh-CN"/>
          </w:rPr>
          <m:t>0°</m:t>
        </m:r>
      </m:oMath>
      <w:r>
        <w:rPr>
          <w:rFonts w:hint="eastAsia" w:hAnsi="Times New Roman"/>
          <w:i w:val="0"/>
          <w:lang w:val="en-US" w:eastAsia="zh-CN"/>
        </w:rPr>
        <w:t>，纬度沿</w:t>
      </w:r>
      <m:oMath>
        <m:r>
          <m:rPr>
            <m:sty m:val="p"/>
          </m:rPr>
          <w:rPr>
            <w:rFonts w:hint="eastAsia" w:ascii="Cambria Math" w:hAnsi="Cambria Math" w:cs="Times New Roman"/>
            <w:kern w:val="2"/>
            <w:sz w:val="21"/>
            <w:szCs w:val="24"/>
            <w:lang w:val="en-US" w:eastAsia="zh-CN" w:bidi="ar-SA"/>
          </w:rPr>
          <m:t>0°</m:t>
        </m:r>
        <m:r>
          <m:rPr>
            <m:sty m:val="p"/>
          </m:rPr>
          <w:rPr>
            <w:rFonts w:hint="default" w:ascii="Cambria Math" w:hAnsi="Cambria Math" w:cs="Times New Roman"/>
            <w:kern w:val="2"/>
            <w:sz w:val="21"/>
            <w:szCs w:val="24"/>
            <w:lang w:val="en-US" w:eastAsia="zh-CN" w:bidi="ar-SA"/>
          </w:rPr>
          <m:t>−</m:t>
        </m:r>
        <m:r>
          <m:rPr>
            <m:sty m:val="p"/>
          </m:rPr>
          <w:rPr>
            <w:rFonts w:hint="eastAsia" w:ascii="Cambria Math" w:hAnsi="Cambria Math" w:cs="Times New Roman"/>
            <w:kern w:val="2"/>
            <w:sz w:val="21"/>
            <w:szCs w:val="24"/>
            <w:lang w:val="en-US" w:eastAsia="zh-CN" w:bidi="ar-SA"/>
          </w:rPr>
          <m:t>20°N</m:t>
        </m:r>
      </m:oMath>
      <w:r>
        <w:rPr>
          <w:rFonts w:hint="eastAsia" w:hAnsi="Cambria Math" w:cs="Times New Roman"/>
          <w:b w:val="0"/>
          <w:i w:val="0"/>
          <w:kern w:val="2"/>
          <w:sz w:val="21"/>
          <w:szCs w:val="24"/>
          <w:lang w:val="en-US" w:eastAsia="zh-CN" w:bidi="ar-SA"/>
        </w:rPr>
        <w:t>，</w:t>
      </w: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分辨率为</w:t>
      </w:r>
      <m:oMath>
        <m:r>
          <m:rPr>
            <m:sty m:val="p"/>
          </m:rPr>
          <w:rPr>
            <w:rFonts w:hint="eastAsia" w:ascii="Cambria Math" w:hAnsi="Cambria Math" w:cs="Times New Roman"/>
            <w:kern w:val="2"/>
            <w:sz w:val="21"/>
            <w:szCs w:val="24"/>
            <w:lang w:val="en-US" w:eastAsia="zh-CN" w:bidi="ar-SA"/>
          </w:rPr>
          <m:t>5°</m:t>
        </m:r>
      </m:oMath>
    </w:p>
    <w:p w14:paraId="14709750">
      <w:pPr>
        <w:rPr>
          <w:rFonts w:hint="eastAsia" w:ascii="Times New Roman" w:hAnsi="Times New Roman" w:eastAsia="宋体" w:cstheme="minorBidi"/>
          <w:szCs w:val="21"/>
        </w:rPr>
      </w:pPr>
    </w:p>
    <w:p w14:paraId="3124290E">
      <w:pPr>
        <w:pStyle w:val="3"/>
        <w:numPr>
          <w:ilvl w:val="0"/>
          <w:numId w:val="3"/>
        </w:numPr>
        <w:bidi w:val="0"/>
        <w:rPr>
          <w:rFonts w:hint="eastAsia" w:ascii="Times New Roman" w:hAnsi="Times New Roman" w:eastAsia="宋体" w:cstheme="minorBidi"/>
          <w:szCs w:val="21"/>
        </w:rPr>
      </w:pPr>
      <w:r>
        <w:rPr>
          <w:rFonts w:hint="default"/>
          <w:lang w:val="en-US" w:eastAsia="zh-CN"/>
        </w:rPr>
        <w:t>波射线程序运行方法</w:t>
      </w:r>
    </w:p>
    <w:p w14:paraId="2E8122A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在主程序main_wr.py中设置参数：</w:t>
      </w:r>
    </w:p>
    <w:p w14:paraId="333C63EE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375535"/>
            <wp:effectExtent l="0" t="0" r="1905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D6C4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SW_lon, SW_lat是波源矩阵的起始位置（西南角）</w:t>
      </w:r>
    </w:p>
    <w:p w14:paraId="159972F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dlon, dlat为纬向，经向波源分辨率</w:t>
      </w:r>
    </w:p>
    <w:p w14:paraId="730E73A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Nnx, nny为纬向，经向波源个数</w:t>
      </w:r>
    </w:p>
    <w:p w14:paraId="47F569C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zwn为初始纬向波数</w:t>
      </w:r>
    </w:p>
    <w:p w14:paraId="55F541B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tstep为时间步长，ttotal为总时长</w:t>
      </w:r>
      <w:bookmarkStart w:id="0" w:name="_GoBack"/>
      <w:bookmarkEnd w:id="0"/>
    </w:p>
    <w:p w14:paraId="5AFFF72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inputuv输入背景场，规则：提供的nc文件中需要包含</w:t>
      </w:r>
      <w:r>
        <w:rPr>
          <w:rFonts w:hint="default" w:ascii="Times New Roman" w:hAnsi="Times New Roman" w:cs="Times New Roman"/>
          <w:lang w:val="en-US" w:eastAsia="zh-CN"/>
        </w:rPr>
        <w:t>’u’, ‘v’, ‘l</w:t>
      </w:r>
      <w:r>
        <w:rPr>
          <w:rFonts w:hint="eastAsia" w:cs="Times New Roman"/>
          <w:lang w:val="en-US" w:eastAsia="zh-CN"/>
        </w:rPr>
        <w:t>at</w:t>
      </w:r>
      <w:r>
        <w:rPr>
          <w:rFonts w:hint="default" w:ascii="Times New Roman" w:hAnsi="Times New Roman" w:cs="Times New Roman"/>
          <w:lang w:val="en-US" w:eastAsia="zh-CN"/>
        </w:rPr>
        <w:t>’, ‘l</w:t>
      </w:r>
      <w:r>
        <w:rPr>
          <w:rFonts w:hint="eastAsia" w:cs="Times New Roman"/>
          <w:lang w:val="en-US" w:eastAsia="zh-CN"/>
        </w:rPr>
        <w:t>on</w:t>
      </w:r>
      <w:r>
        <w:rPr>
          <w:rFonts w:hint="default" w:ascii="Times New Roman" w:hAnsi="Times New Roman" w:cs="Times New Roman"/>
          <w:lang w:val="en-US" w:eastAsia="zh-CN"/>
        </w:rPr>
        <w:t>’</w:t>
      </w:r>
      <w:r>
        <w:rPr>
          <w:rFonts w:hint="eastAsia"/>
          <w:lang w:val="en-US" w:eastAsia="zh-CN"/>
        </w:rPr>
        <w:t>四个变量；'lat', 'latitude', 'Lat', 'Latitude'四种形式均可，lon同理；u, v形状需要为（lat, lon）；lon需要严格按照</w:t>
      </w:r>
      <m:oMath>
        <m:r>
          <m:rPr>
            <m:sty m:val="p"/>
          </m:rPr>
          <w:rPr>
            <w:rFonts w:hint="eastAsia" w:ascii="Cambria Math" w:hAnsi="Cambria Math" w:cs="Times New Roman"/>
            <w:kern w:val="2"/>
            <w:sz w:val="21"/>
            <w:szCs w:val="24"/>
            <w:lang w:val="en-US" w:eastAsia="zh-CN" w:bidi="ar-SA"/>
          </w:rPr>
          <m:t>0°</m:t>
        </m:r>
        <m:r>
          <m:rPr>
            <m:sty m:val="p"/>
          </m:rPr>
          <w:rPr>
            <w:rFonts w:hint="default" w:ascii="Cambria Math" w:hAnsi="Cambria Math" w:cs="Times New Roman"/>
            <w:kern w:val="2"/>
            <w:sz w:val="21"/>
            <w:szCs w:val="24"/>
            <w:lang w:val="en-US" w:eastAsia="zh-CN" w:bidi="ar-SA"/>
          </w:rPr>
          <m:t>−</m:t>
        </m:r>
        <m:r>
          <m:rPr>
            <m:sty m:val="p"/>
          </m:rPr>
          <w:rPr>
            <w:rFonts w:hint="eastAsia" w:ascii="Cambria Math" w:hAnsi="Cambria Math" w:cs="Times New Roman"/>
            <w:kern w:val="2"/>
            <w:sz w:val="21"/>
            <w:szCs w:val="24"/>
            <w:lang w:val="en-US" w:eastAsia="zh-CN" w:bidi="ar-SA"/>
          </w:rPr>
          <m:t>360°</m:t>
        </m:r>
      </m:oMath>
      <w:r>
        <w:rPr>
          <w:rFonts w:hint="eastAsia"/>
          <w:lang w:val="en-US" w:eastAsia="zh-CN"/>
        </w:rPr>
        <w:t>；lat需要为</w:t>
      </w:r>
      <m:oMath>
        <m:r>
          <m:rPr>
            <m:sty m:val="p"/>
          </m:rPr>
          <w:rPr>
            <w:rFonts w:hint="default" w:ascii="Cambria Math"/>
            <w:lang w:val="en-US" w:eastAsia="zh-CN"/>
          </w:rPr>
          <m:t>−</m:t>
        </m:r>
        <m:r>
          <m:rPr>
            <m:sty m:val="p"/>
          </m:rPr>
          <w:rPr>
            <w:rFonts w:hint="eastAsia" w:ascii="Cambria Math" w:hAnsi="Cambria Math" w:cs="Times New Roman"/>
            <w:kern w:val="2"/>
            <w:sz w:val="21"/>
            <w:szCs w:val="24"/>
            <w:lang w:val="en-US" w:eastAsia="zh-CN" w:bidi="ar-SA"/>
          </w:rPr>
          <m:t>90（90°S）</m:t>
        </m:r>
      </m:oMath>
      <w:r>
        <w:rPr>
          <w:rFonts w:hint="eastAsia"/>
          <w:lang w:val="en-US" w:eastAsia="zh-CN"/>
        </w:rPr>
        <w:t>起始</w:t>
      </w:r>
    </w:p>
    <w:p w14:paraId="37ED909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bsfile为输出背景场的全部诊断量</w:t>
      </w:r>
    </w:p>
    <w:p w14:paraId="4C205097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ncfile输出波射线的计算结果，包含rlon（波射线路径经度变量），rlat（波射线路径纬度变量），rzwn（波射线纬向波数变量），rmwn（波射线经向波数变量）</w:t>
      </w:r>
    </w:p>
    <w:p w14:paraId="36CEC35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657D5B99"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波射线通量</w:t>
      </w:r>
      <w:r>
        <w:rPr>
          <w:rFonts w:hint="eastAsia"/>
          <w:lang w:val="en-US" w:eastAsia="zh-CN"/>
        </w:rPr>
        <w:t>程序</w:t>
      </w:r>
      <w:r>
        <w:rPr>
          <w:rFonts w:hint="default"/>
          <w:lang w:val="en-US" w:eastAsia="zh-CN"/>
        </w:rPr>
        <w:t>使用方法</w:t>
      </w:r>
    </w:p>
    <w:p w14:paraId="0D0DF24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在水平非均匀基本流场中的Rossby波射线追踪理论基础上，Yang and Li（2025）提出了一个新的概念，水平Rossby波射线通量（wave ray flux, </w:t>
      </w:r>
      <w:r>
        <w:rPr>
          <w:rFonts w:hint="eastAsia"/>
          <w:lang w:val="en-US" w:eastAsia="zh-CN"/>
        </w:rPr>
        <w:t xml:space="preserve">Li-Yang </w:t>
      </w:r>
      <w:r>
        <w:rPr>
          <w:rFonts w:hint="default"/>
          <w:lang w:val="en-US" w:eastAsia="zh-CN"/>
        </w:rPr>
        <w:t>WRF），以诊断Rossby波的传播路径、局地活跃度及传播方向。理论与方法请读者在具体文献中理解、学习。</w:t>
      </w:r>
    </w:p>
    <w:p w14:paraId="6EBE3F7E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程序分为三个函数</w:t>
      </w:r>
      <w:r>
        <w:rPr>
          <w:rFonts w:hint="eastAsia"/>
          <w:lang w:val="en-US" w:eastAsia="zh-CN"/>
        </w:rPr>
        <w:t>文件</w:t>
      </w:r>
      <w:r>
        <w:rPr>
          <w:rFonts w:hint="default"/>
          <w:lang w:val="en-US" w:eastAsia="zh-CN"/>
        </w:rPr>
        <w:t>（Fun1_threshold, Fun2_region_threshold, Fun3_WRF_calculate）与一个主程序（WRF_universal）。功能如下：</w:t>
      </w:r>
    </w:p>
    <w:p w14:paraId="7A691C64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（1）Fun1_threshold 提取计算波射线的结果变量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设置截断速度阈值，剔除波数异常（</w:t>
      </w:r>
      <w:r>
        <w:rPr>
          <w:rFonts w:hint="eastAsia"/>
          <w:lang w:val="en-US" w:eastAsia="zh-CN"/>
        </w:rPr>
        <w:t>后两者为</w:t>
      </w:r>
      <w:r>
        <w:rPr>
          <w:rFonts w:hint="default"/>
          <w:lang w:val="en-US" w:eastAsia="zh-CN"/>
        </w:rPr>
        <w:t>可选</w:t>
      </w:r>
      <w:r>
        <w:rPr>
          <w:rFonts w:hint="eastAsia"/>
          <w:lang w:val="en-US" w:eastAsia="zh-CN"/>
        </w:rPr>
        <w:t>参数</w:t>
      </w:r>
      <w:r>
        <w:rPr>
          <w:rFonts w:hint="default"/>
          <w:lang w:val="en-US" w:eastAsia="zh-CN"/>
        </w:rPr>
        <w:t>）；</w:t>
      </w:r>
    </w:p>
    <w:p w14:paraId="4FE2DD94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（2）Fun2_region_threshold 选择经过目标区域的波射线；</w:t>
      </w:r>
    </w:p>
    <w:p w14:paraId="328C157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（3）Fun3_WRF_calculate 计算波射线通量WRF。</w:t>
      </w:r>
      <w:r>
        <w:rPr>
          <w:rFonts w:hint="eastAsia"/>
          <w:lang w:val="en-US" w:eastAsia="zh-CN"/>
        </w:rPr>
        <w:t>随着程序的不断发展，能够计算的变量增多，如波传播的平均时间，平均速度，及通过目标区的波射线的波源等，同样是诊断Rossby波活动的有力工具。</w:t>
      </w:r>
    </w:p>
    <w:p w14:paraId="63DE52E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均在主程序（WRF_universal）进行操作。需注意，因研究需求的不同，如有人关注东半球东传至西半球的波，有人关注西半球东传至东半球的波，有人关注东半球西传至西半球的波等等，这都为WRF的平面可视化提出挑战。基于此，Li-Yang WRF计算的范围覆盖三圈经度（</w:t>
      </w:r>
      <m:oMath>
        <m:r>
          <m:rPr>
            <m:sty m:val="p"/>
          </m:rPr>
          <w:rPr>
            <w:rFonts w:hint="default" w:ascii="Cambria Math" w:hAnsi="Cambria Math" w:cs="Times New Roman"/>
            <w:kern w:val="2"/>
            <w:sz w:val="21"/>
            <w:szCs w:val="24"/>
            <w:lang w:val="en-US" w:eastAsia="zh-CN" w:bidi="ar-SA"/>
          </w:rPr>
          <m:t>−</m:t>
        </m:r>
        <m:r>
          <m:rPr>
            <m:sty m:val="p"/>
          </m:rPr>
          <w:rPr>
            <w:rFonts w:hint="eastAsia" w:ascii="Cambria Math" w:hAnsi="Cambria Math" w:cs="Times New Roman"/>
            <w:kern w:val="2"/>
            <w:sz w:val="21"/>
            <w:szCs w:val="24"/>
            <w:lang w:val="en-US" w:eastAsia="zh-CN" w:bidi="ar-SA"/>
          </w:rPr>
          <m:t>360°至720°</m:t>
        </m:r>
      </m:oMath>
      <w:r>
        <w:rPr>
          <w:rFonts w:hint="eastAsia"/>
          <w:lang w:val="en-US" w:eastAsia="zh-CN"/>
        </w:rPr>
        <w:t>），可满足上述需求。纬度变化由于基本流的限制无需考虑上述情况。</w:t>
      </w:r>
    </w:p>
    <w:p w14:paraId="7C406DF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159D4BD8"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lang w:val="en-US" w:eastAsia="zh-CN"/>
        </w:rPr>
      </w:pPr>
      <w:r>
        <w:rPr>
          <w:rFonts w:hint="eastAsia"/>
          <w:lang w:val="en-US" w:eastAsia="zh-CN"/>
        </w:rPr>
        <w:t>引用方式</w:t>
      </w:r>
    </w:p>
    <w:p w14:paraId="4BD49369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波射线与波射线通量</w:t>
      </w:r>
    </w:p>
    <w:p w14:paraId="4E734DCC">
      <w:pPr>
        <w:ind w:left="720" w:hanging="720"/>
        <w:rPr>
          <w:rFonts w:cs="Times New Roman"/>
          <w:szCs w:val="21"/>
          <w:lang w:bidi="ar"/>
        </w:rPr>
      </w:pPr>
      <w:r>
        <w:rPr>
          <w:rFonts w:cs="Times New Roman"/>
          <w:szCs w:val="21"/>
          <w:lang w:bidi="ar"/>
        </w:rPr>
        <w:t>Li, Y. J. and J. P. Li, 2012: Propagation of planetary waves in the horizontal non-uniform basic flow. </w:t>
      </w:r>
      <w:r>
        <w:rPr>
          <w:rFonts w:cs="Times New Roman"/>
          <w:i/>
          <w:iCs/>
          <w:szCs w:val="21"/>
          <w:lang w:bidi="ar"/>
        </w:rPr>
        <w:t>Chin. J. Geophys. (in Chinese),</w:t>
      </w:r>
      <w:r>
        <w:rPr>
          <w:rFonts w:cs="Times New Roman"/>
          <w:szCs w:val="21"/>
          <w:lang w:bidi="ar"/>
        </w:rPr>
        <w:t> </w:t>
      </w:r>
      <w:r>
        <w:rPr>
          <w:rFonts w:cs="Times New Roman"/>
          <w:b/>
          <w:bCs/>
          <w:szCs w:val="21"/>
          <w:lang w:bidi="ar"/>
        </w:rPr>
        <w:t>55</w:t>
      </w:r>
      <w:r>
        <w:rPr>
          <w:rFonts w:cs="Times New Roman"/>
          <w:szCs w:val="21"/>
          <w:lang w:bidi="ar"/>
        </w:rPr>
        <w:t xml:space="preserve">, 361–371. </w:t>
      </w:r>
    </w:p>
    <w:p w14:paraId="387C6B05">
      <w:pPr>
        <w:ind w:left="720" w:hanging="720"/>
        <w:rPr>
          <w:rFonts w:cs="Times New Roman"/>
          <w:szCs w:val="21"/>
        </w:rPr>
      </w:pPr>
      <w:r>
        <w:rPr>
          <w:rFonts w:cs="Times New Roman"/>
          <w:szCs w:val="21"/>
          <w:lang w:bidi="ar"/>
        </w:rPr>
        <w:fldChar w:fldCharType="begin"/>
      </w:r>
      <w:r>
        <w:rPr>
          <w:rFonts w:cs="Times New Roman"/>
          <w:szCs w:val="21"/>
          <w:lang w:bidi="ar"/>
        </w:rPr>
        <w:instrText xml:space="preserve"> ADDIN ZOTERO_BIBL {"uncited":[],"omitted":[],"custom":[]} CSL_BIBLIOGRAPHY </w:instrText>
      </w:r>
      <w:r>
        <w:rPr>
          <w:rFonts w:cs="Times New Roman"/>
          <w:szCs w:val="21"/>
          <w:lang w:bidi="ar"/>
        </w:rPr>
        <w:fldChar w:fldCharType="separate"/>
      </w:r>
      <w:r>
        <w:rPr>
          <w:rFonts w:cs="Times New Roman"/>
          <w:szCs w:val="21"/>
          <w:lang w:bidi="ar"/>
        </w:rPr>
        <w:t xml:space="preserve">——, ——, F.-F. Jin, and S. Zhao, 2015: Interhemispheric propagation of stationary Rossby waves in a horizontally nonuniform background flow. </w:t>
      </w:r>
      <w:r>
        <w:rPr>
          <w:rFonts w:cs="Times New Roman"/>
          <w:i/>
          <w:iCs/>
          <w:szCs w:val="21"/>
          <w:lang w:bidi="ar"/>
        </w:rPr>
        <w:t>J. Atmospheric Sci.</w:t>
      </w:r>
      <w:r>
        <w:rPr>
          <w:rFonts w:cs="Times New Roman"/>
          <w:szCs w:val="21"/>
          <w:lang w:bidi="ar"/>
        </w:rPr>
        <w:t xml:space="preserve">, </w:t>
      </w:r>
      <w:r>
        <w:rPr>
          <w:rFonts w:cs="Times New Roman"/>
          <w:b/>
          <w:bCs/>
          <w:szCs w:val="21"/>
          <w:lang w:bidi="ar"/>
        </w:rPr>
        <w:t>72</w:t>
      </w:r>
      <w:r>
        <w:rPr>
          <w:rFonts w:cs="Times New Roman"/>
          <w:szCs w:val="21"/>
          <w:lang w:bidi="ar"/>
        </w:rPr>
        <w:t xml:space="preserve">, 3233–3256, </w:t>
      </w:r>
      <w:r>
        <w:rPr>
          <w:rFonts w:cstheme="minorBidi"/>
          <w:szCs w:val="21"/>
        </w:rPr>
        <w:fldChar w:fldCharType="begin"/>
      </w:r>
      <w:r>
        <w:rPr>
          <w:rFonts w:cstheme="minorBidi"/>
          <w:szCs w:val="21"/>
        </w:rPr>
        <w:instrText xml:space="preserve"> HYPERLINK "https://doi.org/10.1175/JAS-D-14-0239.1" </w:instrText>
      </w:r>
      <w:r>
        <w:rPr>
          <w:rFonts w:cstheme="minorBidi"/>
          <w:szCs w:val="21"/>
        </w:rPr>
        <w:fldChar w:fldCharType="separate"/>
      </w:r>
      <w:r>
        <w:rPr>
          <w:rFonts w:cs="Times New Roman"/>
          <w:color w:val="0563C1" w:themeColor="hyperlink"/>
          <w:szCs w:val="21"/>
          <w:u w:val="none"/>
          <w14:textFill>
            <w14:solidFill>
              <w14:schemeClr w14:val="hlink"/>
            </w14:solidFill>
          </w14:textFill>
        </w:rPr>
        <w:t>https://doi.org/10.1175/JAS-D-14-0239.1</w:t>
      </w:r>
      <w:r>
        <w:rPr>
          <w:rFonts w:cs="Times New Roman"/>
          <w:color w:val="0563C1" w:themeColor="hyperlink"/>
          <w:szCs w:val="21"/>
          <w:u w:val="none"/>
          <w14:textFill>
            <w14:solidFill>
              <w14:schemeClr w14:val="hlink"/>
            </w14:solidFill>
          </w14:textFill>
        </w:rPr>
        <w:fldChar w:fldCharType="end"/>
      </w:r>
      <w:r>
        <w:rPr>
          <w:rFonts w:cs="Times New Roman"/>
          <w:szCs w:val="21"/>
          <w:lang w:bidi="ar"/>
        </w:rPr>
        <w:t>.</w:t>
      </w:r>
    </w:p>
    <w:p w14:paraId="1822657A">
      <w:pPr>
        <w:ind w:left="720" w:hanging="720"/>
        <w:rPr>
          <w:rFonts w:cs="Times New Roman"/>
          <w:szCs w:val="21"/>
        </w:rPr>
      </w:pPr>
      <w:r>
        <w:rPr>
          <w:rFonts w:cs="Times New Roman"/>
          <w:szCs w:val="21"/>
          <w:lang w:bidi="ar"/>
        </w:rPr>
        <w:t xml:space="preserve">——, J. Feng, J. P. Li, and A. Hu, 2019: Equatorial windows and barriers for stationary Rossby wave propagation. </w:t>
      </w:r>
      <w:r>
        <w:rPr>
          <w:rFonts w:cs="Times New Roman"/>
          <w:i/>
          <w:iCs/>
          <w:szCs w:val="21"/>
          <w:lang w:bidi="ar"/>
        </w:rPr>
        <w:t>J. Clim.</w:t>
      </w:r>
      <w:r>
        <w:rPr>
          <w:rFonts w:cs="Times New Roman"/>
          <w:szCs w:val="21"/>
          <w:lang w:bidi="ar"/>
        </w:rPr>
        <w:t xml:space="preserve">, </w:t>
      </w:r>
      <w:r>
        <w:rPr>
          <w:rFonts w:cs="Times New Roman"/>
          <w:b/>
          <w:bCs/>
          <w:szCs w:val="21"/>
          <w:lang w:bidi="ar"/>
        </w:rPr>
        <w:t>32</w:t>
      </w:r>
      <w:r>
        <w:rPr>
          <w:rFonts w:cs="Times New Roman"/>
          <w:szCs w:val="21"/>
          <w:lang w:bidi="ar"/>
        </w:rPr>
        <w:t xml:space="preserve">, 6117–6135, </w:t>
      </w:r>
      <w:r>
        <w:rPr>
          <w:rFonts w:cstheme="minorBidi"/>
          <w:szCs w:val="21"/>
        </w:rPr>
        <w:fldChar w:fldCharType="begin"/>
      </w:r>
      <w:r>
        <w:rPr>
          <w:rFonts w:cstheme="minorBidi"/>
          <w:szCs w:val="21"/>
        </w:rPr>
        <w:instrText xml:space="preserve"> HYPERLINK "https://doi.org/10.1175/JCLI-D-18-0722.1" </w:instrText>
      </w:r>
      <w:r>
        <w:rPr>
          <w:rFonts w:cstheme="minorBidi"/>
          <w:szCs w:val="21"/>
        </w:rPr>
        <w:fldChar w:fldCharType="separate"/>
      </w:r>
      <w:r>
        <w:rPr>
          <w:rFonts w:cs="Times New Roman"/>
          <w:color w:val="0563C1" w:themeColor="hyperlink"/>
          <w:szCs w:val="21"/>
          <w:u w:val="none"/>
          <w14:textFill>
            <w14:solidFill>
              <w14:schemeClr w14:val="hlink"/>
            </w14:solidFill>
          </w14:textFill>
        </w:rPr>
        <w:t>https://doi.org/10.1175/JCLI-D-18-0722.1</w:t>
      </w:r>
      <w:r>
        <w:rPr>
          <w:rFonts w:cs="Times New Roman"/>
          <w:color w:val="0563C1" w:themeColor="hyperlink"/>
          <w:szCs w:val="21"/>
          <w:u w:val="none"/>
          <w14:textFill>
            <w14:solidFill>
              <w14:schemeClr w14:val="hlink"/>
            </w14:solidFill>
          </w14:textFill>
        </w:rPr>
        <w:fldChar w:fldCharType="end"/>
      </w:r>
      <w:r>
        <w:rPr>
          <w:rFonts w:cs="Times New Roman"/>
          <w:szCs w:val="21"/>
          <w:lang w:bidi="ar"/>
        </w:rPr>
        <w:t>.</w:t>
      </w:r>
    </w:p>
    <w:p w14:paraId="7A9BB7CF">
      <w:pPr>
        <w:ind w:left="720" w:hanging="720"/>
        <w:rPr>
          <w:rFonts w:cs="Times New Roman"/>
          <w:szCs w:val="21"/>
        </w:rPr>
      </w:pPr>
      <w:r>
        <w:rPr>
          <w:rFonts w:cs="Times New Roman"/>
          <w:szCs w:val="21"/>
          <w:lang w:bidi="ar"/>
        </w:rPr>
        <w:t>Yang, Y. N. and J. P. Li, 2025: Novel monsoon indices based on vector projection and directed angle for measuring the East Asian summer monsoon. </w:t>
      </w:r>
      <w:r>
        <w:rPr>
          <w:rFonts w:cs="Times New Roman"/>
          <w:i/>
          <w:iCs/>
          <w:szCs w:val="21"/>
          <w:lang w:bidi="ar"/>
        </w:rPr>
        <w:t>Clim. Dyn.,</w:t>
      </w:r>
      <w:r>
        <w:rPr>
          <w:rFonts w:cs="Times New Roman"/>
          <w:szCs w:val="21"/>
          <w:lang w:bidi="ar"/>
        </w:rPr>
        <w:t> </w:t>
      </w:r>
      <w:r>
        <w:rPr>
          <w:rFonts w:cs="Times New Roman"/>
          <w:b/>
          <w:bCs/>
          <w:szCs w:val="21"/>
          <w:lang w:bidi="ar"/>
        </w:rPr>
        <w:t>63</w:t>
      </w:r>
      <w:r>
        <w:rPr>
          <w:rFonts w:cs="Times New Roman"/>
          <w:szCs w:val="21"/>
          <w:lang w:bidi="ar"/>
        </w:rPr>
        <w:t xml:space="preserve">, 210, </w:t>
      </w:r>
      <w:r>
        <w:rPr>
          <w:rFonts w:cstheme="minorBidi"/>
          <w:szCs w:val="21"/>
          <w:u w:val="none"/>
        </w:rPr>
        <w:fldChar w:fldCharType="begin"/>
      </w:r>
      <w:r>
        <w:rPr>
          <w:rFonts w:cstheme="minorBidi"/>
          <w:szCs w:val="21"/>
          <w:u w:val="none"/>
        </w:rPr>
        <w:instrText xml:space="preserve"> HYPERLINK "https://doi.org/10.1007/s00382-025-07696-7" </w:instrText>
      </w:r>
      <w:r>
        <w:rPr>
          <w:rFonts w:cstheme="minorBidi"/>
          <w:szCs w:val="21"/>
          <w:u w:val="none"/>
        </w:rPr>
        <w:fldChar w:fldCharType="separate"/>
      </w:r>
      <w:r>
        <w:rPr>
          <w:rFonts w:cs="Times New Roman"/>
          <w:color w:val="0563C1" w:themeColor="hyperlink"/>
          <w:szCs w:val="21"/>
          <w:u w:val="none"/>
          <w14:textFill>
            <w14:solidFill>
              <w14:schemeClr w14:val="hlink"/>
            </w14:solidFill>
          </w14:textFill>
        </w:rPr>
        <w:t>https://doi.org/10.1007/s00382-025-07696-7</w:t>
      </w:r>
      <w:r>
        <w:rPr>
          <w:rFonts w:cs="Times New Roman"/>
          <w:color w:val="0563C1" w:themeColor="hyperlink"/>
          <w:szCs w:val="21"/>
          <w:u w:val="none"/>
          <w14:textFill>
            <w14:solidFill>
              <w14:schemeClr w14:val="hlink"/>
            </w14:solidFill>
          </w14:textFill>
        </w:rPr>
        <w:fldChar w:fldCharType="end"/>
      </w:r>
    </w:p>
    <w:p w14:paraId="42E76CC5">
      <w:pPr>
        <w:ind w:left="720" w:hanging="720"/>
        <w:rPr>
          <w:rFonts w:cs="Times New Roman"/>
          <w:szCs w:val="21"/>
        </w:rPr>
      </w:pPr>
      <w:r>
        <w:rPr>
          <w:rFonts w:cs="Times New Roman"/>
          <w:szCs w:val="21"/>
          <w:lang w:bidi="ar"/>
        </w:rPr>
        <w:t xml:space="preserve">Zhao, S., J. P. Li, and Y. J. Li, 2015: Dynamics of an interhemispheric teleconnection across the critical latitude through a southerly duct during boreal winter. </w:t>
      </w:r>
      <w:r>
        <w:rPr>
          <w:rFonts w:cs="Times New Roman"/>
          <w:i/>
          <w:iCs/>
          <w:szCs w:val="21"/>
          <w:lang w:bidi="ar"/>
        </w:rPr>
        <w:t>J. Clim.</w:t>
      </w:r>
      <w:r>
        <w:rPr>
          <w:rFonts w:cs="Times New Roman"/>
          <w:szCs w:val="21"/>
          <w:lang w:bidi="ar"/>
        </w:rPr>
        <w:t xml:space="preserve">, </w:t>
      </w:r>
      <w:r>
        <w:rPr>
          <w:rFonts w:cs="Times New Roman"/>
          <w:b/>
          <w:bCs/>
          <w:szCs w:val="21"/>
          <w:lang w:bidi="ar"/>
        </w:rPr>
        <w:t>28</w:t>
      </w:r>
      <w:r>
        <w:rPr>
          <w:rFonts w:cs="Times New Roman"/>
          <w:szCs w:val="21"/>
          <w:lang w:bidi="ar"/>
        </w:rPr>
        <w:t xml:space="preserve">, 7437–7456, </w:t>
      </w:r>
      <w:r>
        <w:rPr>
          <w:rFonts w:cstheme="minorBidi"/>
          <w:szCs w:val="21"/>
        </w:rPr>
        <w:fldChar w:fldCharType="begin"/>
      </w:r>
      <w:r>
        <w:rPr>
          <w:rFonts w:cstheme="minorBidi"/>
          <w:szCs w:val="21"/>
        </w:rPr>
        <w:instrText xml:space="preserve"> HYPERLINK "https://doi.org/10.1175/JCLI-D-14-00425.1" </w:instrText>
      </w:r>
      <w:r>
        <w:rPr>
          <w:rFonts w:cstheme="minorBidi"/>
          <w:szCs w:val="21"/>
        </w:rPr>
        <w:fldChar w:fldCharType="separate"/>
      </w:r>
      <w:r>
        <w:rPr>
          <w:rFonts w:cs="Times New Roman"/>
          <w:color w:val="0563C1" w:themeColor="hyperlink"/>
          <w:szCs w:val="21"/>
          <w:u w:val="none"/>
          <w14:textFill>
            <w14:solidFill>
              <w14:schemeClr w14:val="hlink"/>
            </w14:solidFill>
          </w14:textFill>
        </w:rPr>
        <w:t>https://doi.org/10.1175/JCLI-D-14-00425.1</w:t>
      </w:r>
      <w:r>
        <w:rPr>
          <w:rFonts w:cs="Times New Roman"/>
          <w:color w:val="0563C1" w:themeColor="hyperlink"/>
          <w:szCs w:val="21"/>
          <w:u w:val="none"/>
          <w14:textFill>
            <w14:solidFill>
              <w14:schemeClr w14:val="hlink"/>
            </w14:solidFill>
          </w14:textFill>
        </w:rPr>
        <w:fldChar w:fldCharType="end"/>
      </w:r>
      <w:r>
        <w:rPr>
          <w:rFonts w:cs="Times New Roman"/>
          <w:szCs w:val="21"/>
          <w:lang w:bidi="ar"/>
        </w:rPr>
        <w:t>.</w:t>
      </w:r>
    </w:p>
    <w:p w14:paraId="4344A30C">
      <w:pPr>
        <w:ind w:left="720" w:hanging="720"/>
        <w:rPr>
          <w:rFonts w:cs="Times New Roman"/>
          <w:szCs w:val="21"/>
        </w:rPr>
      </w:pPr>
      <w:r>
        <w:rPr>
          <w:rFonts w:cs="Times New Roman"/>
          <w:szCs w:val="21"/>
          <w:lang w:bidi="ar"/>
        </w:rPr>
        <w:t xml:space="preserve">——, ——, ——, F.-F. Jin, and J. Zheng, 2019: Interhemispheric influence of Indo-Pacific convection oscillation on douthern jemisphere rainfall through southward propagation of Rossby waves. </w:t>
      </w:r>
      <w:r>
        <w:rPr>
          <w:rFonts w:cs="Times New Roman"/>
          <w:i/>
          <w:iCs/>
          <w:szCs w:val="21"/>
          <w:lang w:bidi="ar"/>
        </w:rPr>
        <w:t>Clim. Dyn.</w:t>
      </w:r>
      <w:r>
        <w:rPr>
          <w:rFonts w:cs="Times New Roman"/>
          <w:szCs w:val="21"/>
          <w:lang w:bidi="ar"/>
        </w:rPr>
        <w:t xml:space="preserve">, </w:t>
      </w:r>
      <w:r>
        <w:rPr>
          <w:rFonts w:cs="Times New Roman"/>
          <w:b/>
          <w:bCs/>
          <w:szCs w:val="21"/>
          <w:lang w:bidi="ar"/>
        </w:rPr>
        <w:t>52</w:t>
      </w:r>
      <w:r>
        <w:rPr>
          <w:rFonts w:cs="Times New Roman"/>
          <w:szCs w:val="21"/>
          <w:lang w:bidi="ar"/>
        </w:rPr>
        <w:t xml:space="preserve">, 3203–3221, </w:t>
      </w:r>
      <w:r>
        <w:rPr>
          <w:rFonts w:cstheme="minorBidi"/>
          <w:szCs w:val="21"/>
          <w:u w:val="none"/>
        </w:rPr>
        <w:fldChar w:fldCharType="begin"/>
      </w:r>
      <w:r>
        <w:rPr>
          <w:rFonts w:cstheme="minorBidi"/>
          <w:szCs w:val="21"/>
          <w:u w:val="none"/>
        </w:rPr>
        <w:instrText xml:space="preserve"> HYPERLINK "https://doi.org/10.1007/s00382-018-4324-y" </w:instrText>
      </w:r>
      <w:r>
        <w:rPr>
          <w:rFonts w:cstheme="minorBidi"/>
          <w:szCs w:val="21"/>
          <w:u w:val="none"/>
        </w:rPr>
        <w:fldChar w:fldCharType="separate"/>
      </w:r>
      <w:r>
        <w:rPr>
          <w:rFonts w:cs="Times New Roman"/>
          <w:color w:val="0563C1" w:themeColor="hyperlink"/>
          <w:szCs w:val="21"/>
          <w:u w:val="none"/>
          <w14:textFill>
            <w14:solidFill>
              <w14:schemeClr w14:val="hlink"/>
            </w14:solidFill>
          </w14:textFill>
        </w:rPr>
        <w:t>https://doi.org/10.1007/s00382-018-4324-y</w:t>
      </w:r>
      <w:r>
        <w:rPr>
          <w:rFonts w:cs="Times New Roman"/>
          <w:color w:val="0563C1" w:themeColor="hyperlink"/>
          <w:szCs w:val="21"/>
          <w:u w:val="none"/>
          <w14:textFill>
            <w14:solidFill>
              <w14:schemeClr w14:val="hlink"/>
            </w14:solidFill>
          </w14:textFill>
        </w:rPr>
        <w:fldChar w:fldCharType="end"/>
      </w:r>
      <w:r>
        <w:rPr>
          <w:rFonts w:cs="Times New Roman"/>
          <w:szCs w:val="21"/>
          <w:lang w:bidi="ar"/>
        </w:rPr>
        <w:t>.</w:t>
      </w:r>
    </w:p>
    <w:p w14:paraId="379A606D">
      <w:pPr>
        <w:bidi w:val="0"/>
        <w:rPr>
          <w:rFonts w:hint="default"/>
          <w:lang w:val="en-US" w:eastAsia="zh-CN"/>
        </w:rPr>
      </w:pPr>
      <w:r>
        <w:rPr>
          <w:rFonts w:cs="Times New Roman"/>
          <w:szCs w:val="21"/>
          <w:lang w:bidi="ar"/>
        </w:rPr>
        <w:fldChar w:fldCharType="end"/>
      </w:r>
    </w:p>
    <w:p w14:paraId="2DBC612E">
      <w:pPr>
        <w:pStyle w:val="3"/>
        <w:numPr>
          <w:ilvl w:val="0"/>
          <w:numId w:val="0"/>
        </w:numPr>
        <w:bidi w:val="0"/>
        <w:ind w:leftChars="0"/>
        <w:rPr>
          <w:rFonts w:hint="eastAsia" w:cs="Times New Roman"/>
          <w:szCs w:val="21"/>
          <w:lang w:val="en-US" w:eastAsia="zh-CN" w:bidi="ar"/>
        </w:rPr>
      </w:pPr>
      <w:r>
        <w:rPr>
          <w:rFonts w:hint="eastAsia" w:cs="Times New Roman"/>
          <w:szCs w:val="21"/>
          <w:lang w:val="en-US" w:eastAsia="zh-CN" w:bidi="ar"/>
        </w:rPr>
        <w:t>说明中提到的经典文献</w:t>
      </w:r>
    </w:p>
    <w:p w14:paraId="7680E65B">
      <w:pPr>
        <w:ind w:left="720" w:hanging="720"/>
        <w:rPr>
          <w:rFonts w:hint="default" w:cs="Times New Roman"/>
          <w:szCs w:val="21"/>
          <w:lang w:val="en-US" w:eastAsia="zh-CN" w:bidi="ar"/>
        </w:rPr>
      </w:pPr>
      <w:r>
        <w:rPr>
          <w:rFonts w:hint="default" w:cs="Times New Roman"/>
          <w:szCs w:val="21"/>
          <w:lang w:val="en-US" w:eastAsia="zh-CN" w:bidi="ar"/>
        </w:rPr>
        <w:t>Hoskins</w:t>
      </w:r>
      <w:r>
        <w:rPr>
          <w:rFonts w:hint="eastAsia" w:cs="Times New Roman"/>
          <w:szCs w:val="21"/>
          <w:lang w:val="en-US" w:eastAsia="zh-CN" w:bidi="ar"/>
        </w:rPr>
        <w:t>,</w:t>
      </w:r>
      <w:r>
        <w:rPr>
          <w:rFonts w:hint="default" w:cs="Times New Roman"/>
          <w:szCs w:val="21"/>
          <w:lang w:val="en-US" w:eastAsia="zh-CN" w:bidi="ar"/>
        </w:rPr>
        <w:t xml:space="preserve"> B</w:t>
      </w:r>
      <w:r>
        <w:rPr>
          <w:rFonts w:hint="eastAsia" w:cs="Times New Roman"/>
          <w:szCs w:val="21"/>
          <w:lang w:val="en-US" w:eastAsia="zh-CN" w:bidi="ar"/>
        </w:rPr>
        <w:t xml:space="preserve">. </w:t>
      </w:r>
      <w:r>
        <w:rPr>
          <w:rFonts w:hint="default" w:cs="Times New Roman"/>
          <w:szCs w:val="21"/>
          <w:lang w:val="en-US" w:eastAsia="zh-CN" w:bidi="ar"/>
        </w:rPr>
        <w:t>J</w:t>
      </w:r>
      <w:r>
        <w:rPr>
          <w:rFonts w:hint="eastAsia" w:cs="Times New Roman"/>
          <w:szCs w:val="21"/>
          <w:lang w:val="en-US" w:eastAsia="zh-CN" w:bidi="ar"/>
        </w:rPr>
        <w:t>.</w:t>
      </w:r>
      <w:r>
        <w:rPr>
          <w:rFonts w:hint="default" w:cs="Times New Roman"/>
          <w:szCs w:val="21"/>
          <w:lang w:val="en-US" w:eastAsia="zh-CN" w:bidi="ar"/>
        </w:rPr>
        <w:t xml:space="preserve"> </w:t>
      </w:r>
      <w:r>
        <w:rPr>
          <w:rFonts w:hint="eastAsia" w:cs="Times New Roman"/>
          <w:szCs w:val="21"/>
          <w:lang w:val="en-US" w:eastAsia="zh-CN" w:bidi="ar"/>
        </w:rPr>
        <w:t xml:space="preserve">and </w:t>
      </w:r>
      <w:r>
        <w:rPr>
          <w:rFonts w:hint="default" w:cs="Times New Roman"/>
          <w:szCs w:val="21"/>
          <w:lang w:val="en-US" w:eastAsia="zh-CN" w:bidi="ar"/>
        </w:rPr>
        <w:t>D</w:t>
      </w:r>
      <w:r>
        <w:rPr>
          <w:rFonts w:hint="eastAsia" w:cs="Times New Roman"/>
          <w:szCs w:val="21"/>
          <w:lang w:val="en-US" w:eastAsia="zh-CN" w:bidi="ar"/>
        </w:rPr>
        <w:t xml:space="preserve">. </w:t>
      </w:r>
      <w:r>
        <w:rPr>
          <w:rFonts w:hint="default" w:cs="Times New Roman"/>
          <w:szCs w:val="21"/>
          <w:lang w:val="en-US" w:eastAsia="zh-CN" w:bidi="ar"/>
        </w:rPr>
        <w:t>J</w:t>
      </w:r>
      <w:r>
        <w:rPr>
          <w:rFonts w:hint="eastAsia" w:cs="Times New Roman"/>
          <w:szCs w:val="21"/>
          <w:lang w:val="en-US" w:eastAsia="zh-CN" w:bidi="ar"/>
        </w:rPr>
        <w:t>.</w:t>
      </w:r>
      <w:r>
        <w:rPr>
          <w:rFonts w:hint="default" w:cs="Times New Roman"/>
          <w:szCs w:val="21"/>
          <w:lang w:val="en-US" w:eastAsia="zh-CN" w:bidi="ar"/>
        </w:rPr>
        <w:t xml:space="preserve"> Karoly</w:t>
      </w:r>
      <w:r>
        <w:rPr>
          <w:rFonts w:hint="eastAsia" w:cs="Times New Roman"/>
          <w:szCs w:val="21"/>
          <w:lang w:val="en-US" w:eastAsia="zh-CN" w:bidi="ar"/>
        </w:rPr>
        <w:t>,</w:t>
      </w:r>
      <w:r>
        <w:rPr>
          <w:rFonts w:hint="default" w:cs="Times New Roman"/>
          <w:szCs w:val="21"/>
          <w:lang w:val="en-US" w:eastAsia="zh-CN" w:bidi="ar"/>
        </w:rPr>
        <w:t xml:space="preserve"> 1981</w:t>
      </w:r>
      <w:r>
        <w:rPr>
          <w:rFonts w:hint="eastAsia" w:cs="Times New Roman"/>
          <w:szCs w:val="21"/>
          <w:lang w:val="en-US" w:eastAsia="zh-CN" w:bidi="ar"/>
        </w:rPr>
        <w:t>:</w:t>
      </w:r>
      <w:r>
        <w:rPr>
          <w:rFonts w:hint="default" w:cs="Times New Roman"/>
          <w:szCs w:val="21"/>
          <w:lang w:val="en-US" w:eastAsia="zh-CN" w:bidi="ar"/>
        </w:rPr>
        <w:t xml:space="preserve"> The steady linear response of a spherical atmosphere to thermal and orographic forcing. </w:t>
      </w:r>
      <w:r>
        <w:rPr>
          <w:rFonts w:hint="default" w:cs="Times New Roman"/>
          <w:i/>
          <w:iCs/>
          <w:szCs w:val="21"/>
          <w:lang w:val="en-US" w:eastAsia="zh-CN" w:bidi="ar"/>
        </w:rPr>
        <w:t>J</w:t>
      </w:r>
      <w:r>
        <w:rPr>
          <w:rFonts w:hint="eastAsia" w:cs="Times New Roman"/>
          <w:i/>
          <w:iCs/>
          <w:szCs w:val="21"/>
          <w:lang w:val="en-US" w:eastAsia="zh-CN" w:bidi="ar"/>
        </w:rPr>
        <w:t>.</w:t>
      </w:r>
      <w:r>
        <w:rPr>
          <w:rFonts w:hint="default" w:cs="Times New Roman"/>
          <w:i/>
          <w:iCs/>
          <w:szCs w:val="21"/>
          <w:lang w:val="en-US" w:eastAsia="zh-CN" w:bidi="ar"/>
        </w:rPr>
        <w:t xml:space="preserve"> Atmos</w:t>
      </w:r>
      <w:r>
        <w:rPr>
          <w:rFonts w:hint="eastAsia" w:cs="Times New Roman"/>
          <w:i/>
          <w:iCs/>
          <w:szCs w:val="21"/>
          <w:lang w:val="en-US" w:eastAsia="zh-CN" w:bidi="ar"/>
        </w:rPr>
        <w:t>.</w:t>
      </w:r>
      <w:r>
        <w:rPr>
          <w:rFonts w:hint="default" w:cs="Times New Roman"/>
          <w:i/>
          <w:iCs/>
          <w:szCs w:val="21"/>
          <w:lang w:val="en-US" w:eastAsia="zh-CN" w:bidi="ar"/>
        </w:rPr>
        <w:t xml:space="preserve"> Sci</w:t>
      </w:r>
      <w:r>
        <w:rPr>
          <w:rFonts w:hint="eastAsia" w:cs="Times New Roman"/>
          <w:i/>
          <w:iCs/>
          <w:szCs w:val="21"/>
          <w:lang w:val="en-US" w:eastAsia="zh-CN" w:bidi="ar"/>
        </w:rPr>
        <w:t>.</w:t>
      </w:r>
      <w:r>
        <w:rPr>
          <w:rFonts w:hint="eastAsia" w:cs="Times New Roman"/>
          <w:szCs w:val="21"/>
          <w:lang w:val="en-US" w:eastAsia="zh-CN" w:bidi="ar"/>
        </w:rPr>
        <w:t>,</w:t>
      </w:r>
      <w:r>
        <w:rPr>
          <w:rFonts w:hint="default" w:cs="Times New Roman"/>
          <w:szCs w:val="21"/>
          <w:lang w:val="en-US" w:eastAsia="zh-CN" w:bidi="ar"/>
        </w:rPr>
        <w:t xml:space="preserve"> </w:t>
      </w:r>
      <w:r>
        <w:rPr>
          <w:rFonts w:hint="default" w:cs="Times New Roman"/>
          <w:b/>
          <w:bCs/>
          <w:szCs w:val="21"/>
          <w:lang w:val="en-US" w:eastAsia="zh-CN" w:bidi="ar"/>
        </w:rPr>
        <w:t>38</w:t>
      </w:r>
      <w:r>
        <w:rPr>
          <w:rFonts w:hint="eastAsia" w:cs="Times New Roman"/>
          <w:szCs w:val="21"/>
          <w:lang w:val="en-US" w:eastAsia="zh-CN" w:bidi="ar"/>
        </w:rPr>
        <w:t xml:space="preserve">, </w:t>
      </w:r>
      <w:r>
        <w:rPr>
          <w:rFonts w:hint="default" w:cs="Times New Roman"/>
          <w:szCs w:val="21"/>
          <w:lang w:val="en-US" w:eastAsia="zh-CN" w:bidi="ar"/>
        </w:rPr>
        <w:t xml:space="preserve">1179–1196. </w:t>
      </w:r>
      <w:r>
        <w:rPr>
          <w:rFonts w:hint="default" w:ascii="Times New Roman" w:hAnsi="Times New Roman" w:cs="Times New Roman"/>
          <w:color w:val="0070C0"/>
          <w:szCs w:val="21"/>
          <w:u w:val="none"/>
          <w:lang w:val="en-US" w:eastAsia="zh-CN" w:bidi="ar"/>
        </w:rPr>
        <w:fldChar w:fldCharType="begin"/>
      </w:r>
      <w:r>
        <w:rPr>
          <w:rFonts w:hint="default" w:ascii="Times New Roman" w:hAnsi="Times New Roman" w:cs="Times New Roman"/>
          <w:color w:val="0070C0"/>
          <w:szCs w:val="21"/>
          <w:u w:val="none"/>
          <w:lang w:val="en-US" w:eastAsia="zh-CN" w:bidi="ar"/>
        </w:rPr>
        <w:instrText xml:space="preserve"> HYPERLINK "https://doi.org/10.1175/1520-0469(1981)038%3c1179:TSLROA%3e2.0.CO;2" </w:instrText>
      </w:r>
      <w:r>
        <w:rPr>
          <w:rFonts w:hint="default" w:ascii="Times New Roman" w:hAnsi="Times New Roman" w:cs="Times New Roman"/>
          <w:color w:val="0070C0"/>
          <w:szCs w:val="21"/>
          <w:u w:val="none"/>
          <w:lang w:val="en-US" w:eastAsia="zh-CN" w:bidi="ar"/>
        </w:rPr>
        <w:fldChar w:fldCharType="separate"/>
      </w:r>
      <w:r>
        <w:rPr>
          <w:rStyle w:val="14"/>
          <w:rFonts w:hint="default" w:ascii="Times New Roman" w:hAnsi="Times New Roman" w:cs="Times New Roman"/>
          <w:color w:val="0070C0"/>
          <w:szCs w:val="21"/>
          <w:u w:val="none"/>
          <w:lang w:val="en-US" w:eastAsia="zh-CN" w:bidi="ar"/>
        </w:rPr>
        <w:t>https://doi.org/10.1175/1520-0469(1981)038%3c1179:TSLROA%3e2.0.CO;2</w:t>
      </w:r>
      <w:r>
        <w:rPr>
          <w:rFonts w:hint="default" w:ascii="Times New Roman" w:hAnsi="Times New Roman" w:cs="Times New Roman"/>
          <w:color w:val="0070C0"/>
          <w:szCs w:val="21"/>
          <w:u w:val="none"/>
          <w:lang w:val="en-US" w:eastAsia="zh-CN" w:bidi="ar"/>
        </w:rPr>
        <w:fldChar w:fldCharType="end"/>
      </w:r>
    </w:p>
    <w:p w14:paraId="6D17EA93">
      <w:pPr>
        <w:ind w:left="720" w:hanging="720"/>
        <w:rPr>
          <w:rFonts w:hint="default" w:cs="Times New Roman"/>
          <w:szCs w:val="21"/>
          <w:lang w:val="en-US" w:eastAsia="zh-CN" w:bidi="ar"/>
        </w:rPr>
      </w:pPr>
      <w:r>
        <w:rPr>
          <w:rFonts w:hint="default" w:cs="Times New Roman"/>
          <w:szCs w:val="21"/>
          <w:lang w:val="en-US" w:eastAsia="zh-CN" w:bidi="ar"/>
        </w:rPr>
        <w:t xml:space="preserve">——, </w:t>
      </w:r>
      <w:r>
        <w:rPr>
          <w:rFonts w:hint="eastAsia" w:cs="Times New Roman"/>
          <w:szCs w:val="21"/>
          <w:lang w:val="en-US" w:eastAsia="zh-CN" w:bidi="ar"/>
        </w:rPr>
        <w:t>and</w:t>
      </w:r>
      <w:r>
        <w:rPr>
          <w:rFonts w:hint="default" w:cs="Times New Roman"/>
          <w:szCs w:val="21"/>
          <w:lang w:val="en-US" w:eastAsia="zh-CN" w:bidi="ar"/>
        </w:rPr>
        <w:t xml:space="preserve"> T.</w:t>
      </w:r>
      <w:r>
        <w:rPr>
          <w:rFonts w:hint="eastAsia" w:cs="Times New Roman"/>
          <w:szCs w:val="21"/>
          <w:lang w:val="en-US" w:eastAsia="zh-CN" w:bidi="ar"/>
        </w:rPr>
        <w:t xml:space="preserve"> </w:t>
      </w:r>
      <w:r>
        <w:rPr>
          <w:rFonts w:hint="default" w:cs="Times New Roman"/>
          <w:szCs w:val="21"/>
          <w:lang w:val="en-US" w:eastAsia="zh-CN" w:bidi="ar"/>
        </w:rPr>
        <w:t>Ambrizzi, 1993</w:t>
      </w:r>
      <w:r>
        <w:rPr>
          <w:rFonts w:hint="eastAsia" w:cs="Times New Roman"/>
          <w:szCs w:val="21"/>
          <w:lang w:val="en-US" w:eastAsia="zh-CN" w:bidi="ar"/>
        </w:rPr>
        <w:t>:</w:t>
      </w:r>
      <w:r>
        <w:rPr>
          <w:rFonts w:hint="default" w:cs="Times New Roman"/>
          <w:szCs w:val="21"/>
          <w:lang w:val="en-US" w:eastAsia="zh-CN" w:bidi="ar"/>
        </w:rPr>
        <w:t xml:space="preserve"> Rossby wave propagation on a realistic longitudinally varying flow. </w:t>
      </w:r>
      <w:r>
        <w:rPr>
          <w:rFonts w:hint="default" w:cs="Times New Roman"/>
          <w:i/>
          <w:iCs/>
          <w:szCs w:val="21"/>
          <w:lang w:val="en-US" w:eastAsia="zh-CN" w:bidi="ar"/>
        </w:rPr>
        <w:t>J. Atmos. Sci.,</w:t>
      </w:r>
      <w:r>
        <w:rPr>
          <w:rFonts w:hint="default" w:cs="Times New Roman"/>
          <w:szCs w:val="21"/>
          <w:lang w:val="en-US" w:eastAsia="zh-CN" w:bidi="ar"/>
        </w:rPr>
        <w:t xml:space="preserve"> </w:t>
      </w:r>
      <w:r>
        <w:rPr>
          <w:rFonts w:hint="default" w:cs="Times New Roman"/>
          <w:b/>
          <w:bCs/>
          <w:szCs w:val="21"/>
          <w:lang w:val="en-US" w:eastAsia="zh-CN" w:bidi="ar"/>
        </w:rPr>
        <w:t>50</w:t>
      </w:r>
      <w:r>
        <w:rPr>
          <w:rFonts w:hint="default" w:cs="Times New Roman"/>
          <w:szCs w:val="21"/>
          <w:lang w:val="en-US" w:eastAsia="zh-CN" w:bidi="ar"/>
        </w:rPr>
        <w:t xml:space="preserve">, 1661–1671. </w:t>
      </w:r>
      <w:r>
        <w:rPr>
          <w:rFonts w:hint="default" w:ascii="Times New Roman" w:hAnsi="Times New Roman" w:cs="Times New Roman"/>
          <w:color w:val="0070C0"/>
          <w:szCs w:val="21"/>
          <w:u w:val="none"/>
          <w:lang w:val="en-US" w:eastAsia="zh-CN" w:bidi="ar"/>
        </w:rPr>
        <w:fldChar w:fldCharType="begin"/>
      </w:r>
      <w:r>
        <w:rPr>
          <w:rFonts w:hint="default" w:ascii="Times New Roman" w:hAnsi="Times New Roman" w:cs="Times New Roman"/>
          <w:color w:val="0070C0"/>
          <w:szCs w:val="21"/>
          <w:u w:val="none"/>
          <w:lang w:val="en-US" w:eastAsia="zh-CN" w:bidi="ar"/>
        </w:rPr>
        <w:instrText xml:space="preserve"> HYPERLINK "https://doi.org/10.1175/1520-0469(1993)050&lt;1661:rwpoar&gt;2.0.co;2" </w:instrText>
      </w:r>
      <w:r>
        <w:rPr>
          <w:rFonts w:hint="default" w:ascii="Times New Roman" w:hAnsi="Times New Roman" w:cs="Times New Roman"/>
          <w:color w:val="0070C0"/>
          <w:szCs w:val="21"/>
          <w:u w:val="none"/>
          <w:lang w:val="en-US" w:eastAsia="zh-CN" w:bidi="ar"/>
        </w:rPr>
        <w:fldChar w:fldCharType="separate"/>
      </w:r>
      <w:r>
        <w:rPr>
          <w:rStyle w:val="14"/>
          <w:rFonts w:hint="default" w:ascii="Times New Roman" w:hAnsi="Times New Roman" w:cs="Times New Roman"/>
          <w:color w:val="0070C0"/>
          <w:szCs w:val="21"/>
          <w:u w:val="none"/>
          <w:lang w:val="en-US" w:eastAsia="zh-CN" w:bidi="ar"/>
        </w:rPr>
        <w:t>https://doi.org/10.1175/1520-0469(1993)050&lt;1661:rwpoar&gt;2.0.co;2</w:t>
      </w:r>
      <w:r>
        <w:rPr>
          <w:rFonts w:hint="default" w:ascii="Times New Roman" w:hAnsi="Times New Roman" w:cs="Times New Roman"/>
          <w:color w:val="0070C0"/>
          <w:szCs w:val="21"/>
          <w:u w:val="none"/>
          <w:lang w:val="en-US" w:eastAsia="zh-CN" w:bidi="ar"/>
        </w:rPr>
        <w:fldChar w:fldCharType="end"/>
      </w:r>
    </w:p>
    <w:p w14:paraId="22794019">
      <w:pPr>
        <w:ind w:left="720" w:hanging="720"/>
        <w:rPr>
          <w:rFonts w:hint="default" w:cs="Times New Roman"/>
          <w:szCs w:val="21"/>
          <w:lang w:val="en-US" w:eastAsia="zh-CN" w:bidi="ar"/>
        </w:rPr>
      </w:pPr>
      <w:r>
        <w:rPr>
          <w:rFonts w:hint="default" w:cs="Times New Roman"/>
          <w:szCs w:val="21"/>
          <w:lang w:val="en-US" w:eastAsia="zh-CN" w:bidi="ar"/>
        </w:rPr>
        <w:t>Karoly D</w:t>
      </w:r>
      <w:r>
        <w:rPr>
          <w:rFonts w:hint="eastAsia" w:cs="Times New Roman"/>
          <w:szCs w:val="21"/>
          <w:lang w:val="en-US" w:eastAsia="zh-CN" w:bidi="ar"/>
        </w:rPr>
        <w:t xml:space="preserve">. </w:t>
      </w:r>
      <w:r>
        <w:rPr>
          <w:rFonts w:hint="default" w:cs="Times New Roman"/>
          <w:szCs w:val="21"/>
          <w:lang w:val="en-US" w:eastAsia="zh-CN" w:bidi="ar"/>
        </w:rPr>
        <w:t>J</w:t>
      </w:r>
      <w:r>
        <w:rPr>
          <w:rFonts w:hint="eastAsia" w:cs="Times New Roman"/>
          <w:szCs w:val="21"/>
          <w:lang w:val="en-US" w:eastAsia="zh-CN" w:bidi="ar"/>
        </w:rPr>
        <w:t>.</w:t>
      </w:r>
      <w:r>
        <w:rPr>
          <w:rFonts w:hint="default" w:cs="Times New Roman"/>
          <w:szCs w:val="21"/>
          <w:lang w:val="en-US" w:eastAsia="zh-CN" w:bidi="ar"/>
        </w:rPr>
        <w:t xml:space="preserve"> 1983</w:t>
      </w:r>
      <w:r>
        <w:rPr>
          <w:rFonts w:hint="eastAsia" w:cs="Times New Roman"/>
          <w:szCs w:val="21"/>
          <w:lang w:val="en-US" w:eastAsia="zh-CN" w:bidi="ar"/>
        </w:rPr>
        <w:t>:</w:t>
      </w:r>
      <w:r>
        <w:rPr>
          <w:rFonts w:hint="default" w:cs="Times New Roman"/>
          <w:szCs w:val="21"/>
          <w:lang w:val="en-US" w:eastAsia="zh-CN" w:bidi="ar"/>
        </w:rPr>
        <w:t xml:space="preserve"> Rossby wave propagation in a barotropic atmosphere. </w:t>
      </w:r>
      <w:r>
        <w:rPr>
          <w:rFonts w:hint="default" w:cs="Times New Roman"/>
          <w:i/>
          <w:iCs/>
          <w:szCs w:val="21"/>
          <w:lang w:val="en-US" w:eastAsia="zh-CN" w:bidi="ar"/>
        </w:rPr>
        <w:t>Dyn</w:t>
      </w:r>
      <w:r>
        <w:rPr>
          <w:rFonts w:hint="eastAsia" w:cs="Times New Roman"/>
          <w:i/>
          <w:iCs/>
          <w:szCs w:val="21"/>
          <w:lang w:val="en-US" w:eastAsia="zh-CN" w:bidi="ar"/>
        </w:rPr>
        <w:t>.</w:t>
      </w:r>
      <w:r>
        <w:rPr>
          <w:rFonts w:hint="default" w:cs="Times New Roman"/>
          <w:i/>
          <w:iCs/>
          <w:szCs w:val="21"/>
          <w:lang w:val="en-US" w:eastAsia="zh-CN" w:bidi="ar"/>
        </w:rPr>
        <w:t xml:space="preserve"> Atmos</w:t>
      </w:r>
      <w:r>
        <w:rPr>
          <w:rFonts w:hint="eastAsia" w:cs="Times New Roman"/>
          <w:i/>
          <w:iCs/>
          <w:szCs w:val="21"/>
          <w:lang w:val="en-US" w:eastAsia="zh-CN" w:bidi="ar"/>
        </w:rPr>
        <w:t>.</w:t>
      </w:r>
      <w:r>
        <w:rPr>
          <w:rFonts w:hint="default" w:cs="Times New Roman"/>
          <w:i/>
          <w:iCs/>
          <w:szCs w:val="21"/>
          <w:lang w:val="en-US" w:eastAsia="zh-CN" w:bidi="ar"/>
        </w:rPr>
        <w:t xml:space="preserve"> Oceans</w:t>
      </w:r>
      <w:r>
        <w:rPr>
          <w:rFonts w:hint="eastAsia" w:cs="Times New Roman"/>
          <w:i/>
          <w:iCs/>
          <w:szCs w:val="21"/>
          <w:lang w:val="en-US" w:eastAsia="zh-CN" w:bidi="ar"/>
        </w:rPr>
        <w:t>.,</w:t>
      </w:r>
      <w:r>
        <w:rPr>
          <w:rFonts w:hint="default" w:cs="Times New Roman"/>
          <w:szCs w:val="21"/>
          <w:lang w:val="en-US" w:eastAsia="zh-CN" w:bidi="ar"/>
        </w:rPr>
        <w:t xml:space="preserve"> </w:t>
      </w:r>
      <w:r>
        <w:rPr>
          <w:rFonts w:hint="default" w:cs="Times New Roman"/>
          <w:b/>
          <w:bCs/>
          <w:szCs w:val="21"/>
          <w:lang w:val="en-US" w:eastAsia="zh-CN" w:bidi="ar"/>
        </w:rPr>
        <w:t>7</w:t>
      </w:r>
      <w:r>
        <w:rPr>
          <w:rFonts w:hint="eastAsia" w:cs="Times New Roman"/>
          <w:szCs w:val="21"/>
          <w:lang w:val="en-US" w:eastAsia="zh-CN" w:bidi="ar"/>
        </w:rPr>
        <w:t xml:space="preserve">, </w:t>
      </w:r>
      <w:r>
        <w:rPr>
          <w:rFonts w:hint="default" w:cs="Times New Roman"/>
          <w:szCs w:val="21"/>
          <w:lang w:val="en-US" w:eastAsia="zh-CN" w:bidi="ar"/>
        </w:rPr>
        <w:t xml:space="preserve">111–125. </w:t>
      </w:r>
      <w:r>
        <w:rPr>
          <w:rFonts w:hint="default" w:ascii="Times New Roman" w:hAnsi="Times New Roman" w:cs="Times New Roman"/>
          <w:color w:val="0070C0"/>
          <w:szCs w:val="21"/>
          <w:u w:val="none"/>
          <w:lang w:val="en-US" w:eastAsia="zh-CN" w:bidi="ar"/>
        </w:rPr>
        <w:fldChar w:fldCharType="begin"/>
      </w:r>
      <w:r>
        <w:rPr>
          <w:rFonts w:hint="default" w:ascii="Times New Roman" w:hAnsi="Times New Roman" w:cs="Times New Roman"/>
          <w:color w:val="0070C0"/>
          <w:szCs w:val="21"/>
          <w:u w:val="none"/>
          <w:lang w:val="en-US" w:eastAsia="zh-CN" w:bidi="ar"/>
        </w:rPr>
        <w:instrText xml:space="preserve"> HYPERLINK "https://doi.org/10.1016/0377-0265(83)90013-1" </w:instrText>
      </w:r>
      <w:r>
        <w:rPr>
          <w:rFonts w:hint="default" w:ascii="Times New Roman" w:hAnsi="Times New Roman" w:cs="Times New Roman"/>
          <w:color w:val="0070C0"/>
          <w:szCs w:val="21"/>
          <w:u w:val="none"/>
          <w:lang w:val="en-US" w:eastAsia="zh-CN" w:bidi="ar"/>
        </w:rPr>
        <w:fldChar w:fldCharType="separate"/>
      </w:r>
      <w:r>
        <w:rPr>
          <w:rStyle w:val="14"/>
          <w:rFonts w:hint="default" w:ascii="Times New Roman" w:hAnsi="Times New Roman" w:cs="Times New Roman"/>
          <w:color w:val="0070C0"/>
          <w:szCs w:val="21"/>
          <w:u w:val="none"/>
          <w:lang w:val="en-US" w:eastAsia="zh-CN" w:bidi="ar"/>
        </w:rPr>
        <w:t>https://doi.org/10.1016/0377-0265(83)90013-1</w:t>
      </w:r>
      <w:r>
        <w:rPr>
          <w:rFonts w:hint="default" w:ascii="Times New Roman" w:hAnsi="Times New Roman" w:cs="Times New Roman"/>
          <w:color w:val="0070C0"/>
          <w:szCs w:val="21"/>
          <w:u w:val="none"/>
          <w:lang w:val="en-US" w:eastAsia="zh-CN" w:bidi="ar"/>
        </w:rPr>
        <w:fldChar w:fldCharType="end"/>
      </w:r>
    </w:p>
    <w:p w14:paraId="429E0018">
      <w:pPr>
        <w:ind w:left="720" w:hanging="720"/>
        <w:rPr>
          <w:rFonts w:hint="default" w:cs="Times New Roman"/>
          <w:szCs w:val="21"/>
          <w:lang w:val="en-US" w:eastAsia="zh-CN" w:bidi="ar"/>
        </w:rPr>
      </w:pPr>
      <w:r>
        <w:rPr>
          <w:rFonts w:hint="default" w:cs="Times New Roman"/>
          <w:szCs w:val="21"/>
          <w:lang w:val="en-US" w:eastAsia="zh-CN" w:bidi="ar"/>
        </w:rPr>
        <w:t>Yang, G. Y. and B.</w:t>
      </w:r>
      <w:r>
        <w:rPr>
          <w:rFonts w:hint="eastAsia" w:cs="Times New Roman"/>
          <w:szCs w:val="21"/>
          <w:lang w:val="en-US" w:eastAsia="zh-CN" w:bidi="ar"/>
        </w:rPr>
        <w:t xml:space="preserve"> J. Hoskins, </w:t>
      </w:r>
      <w:r>
        <w:rPr>
          <w:rFonts w:hint="default" w:cs="Times New Roman"/>
          <w:szCs w:val="21"/>
          <w:lang w:val="en-US" w:eastAsia="zh-CN" w:bidi="ar"/>
        </w:rPr>
        <w:t>1996</w:t>
      </w:r>
      <w:r>
        <w:rPr>
          <w:rFonts w:hint="eastAsia" w:cs="Times New Roman"/>
          <w:szCs w:val="21"/>
          <w:lang w:val="en-US" w:eastAsia="zh-CN" w:bidi="ar"/>
        </w:rPr>
        <w:t>:</w:t>
      </w:r>
      <w:r>
        <w:rPr>
          <w:rFonts w:hint="default" w:cs="Times New Roman"/>
          <w:szCs w:val="21"/>
          <w:lang w:val="en-US" w:eastAsia="zh-CN" w:bidi="ar"/>
        </w:rPr>
        <w:t xml:space="preserve"> Propagation of Rossby waves of nonzero frequency. </w:t>
      </w:r>
      <w:r>
        <w:rPr>
          <w:rFonts w:hint="default" w:cs="Times New Roman"/>
          <w:i/>
          <w:iCs/>
          <w:szCs w:val="21"/>
          <w:lang w:val="en-US" w:eastAsia="zh-CN" w:bidi="ar"/>
        </w:rPr>
        <w:t>J. Atmos. Sci.</w:t>
      </w:r>
      <w:r>
        <w:rPr>
          <w:rFonts w:hint="default" w:cs="Times New Roman"/>
          <w:szCs w:val="21"/>
          <w:lang w:val="en-US" w:eastAsia="zh-CN" w:bidi="ar"/>
        </w:rPr>
        <w:t xml:space="preserve">, </w:t>
      </w:r>
      <w:r>
        <w:rPr>
          <w:rFonts w:hint="default" w:cs="Times New Roman"/>
          <w:b/>
          <w:bCs/>
          <w:szCs w:val="21"/>
          <w:lang w:val="en-US" w:eastAsia="zh-CN" w:bidi="ar"/>
        </w:rPr>
        <w:t>53</w:t>
      </w:r>
      <w:r>
        <w:rPr>
          <w:rFonts w:hint="default" w:cs="Times New Roman"/>
          <w:szCs w:val="21"/>
          <w:lang w:val="en-US" w:eastAsia="zh-CN" w:bidi="ar"/>
        </w:rPr>
        <w:t xml:space="preserve">, 2365–2378. </w:t>
      </w:r>
      <w:r>
        <w:rPr>
          <w:rFonts w:hint="default" w:ascii="Times New Roman" w:hAnsi="Times New Roman" w:cs="Times New Roman"/>
          <w:color w:val="0070C0"/>
          <w:szCs w:val="21"/>
          <w:u w:val="none"/>
          <w:lang w:val="en-US" w:eastAsia="zh-CN" w:bidi="ar"/>
        </w:rPr>
        <w:fldChar w:fldCharType="begin"/>
      </w:r>
      <w:r>
        <w:rPr>
          <w:rFonts w:hint="default" w:ascii="Times New Roman" w:hAnsi="Times New Roman" w:cs="Times New Roman"/>
          <w:color w:val="0070C0"/>
          <w:szCs w:val="21"/>
          <w:u w:val="none"/>
          <w:lang w:val="en-US" w:eastAsia="zh-CN" w:bidi="ar"/>
        </w:rPr>
        <w:instrText xml:space="preserve"> HYPERLINK "https://doi.org/10.1175/1520-0469(1996)053&lt;2365:porwon&gt;2.0.co;2" </w:instrText>
      </w:r>
      <w:r>
        <w:rPr>
          <w:rFonts w:hint="default" w:ascii="Times New Roman" w:hAnsi="Times New Roman" w:cs="Times New Roman"/>
          <w:color w:val="0070C0"/>
          <w:szCs w:val="21"/>
          <w:u w:val="none"/>
          <w:lang w:val="en-US" w:eastAsia="zh-CN" w:bidi="ar"/>
        </w:rPr>
        <w:fldChar w:fldCharType="separate"/>
      </w:r>
      <w:r>
        <w:rPr>
          <w:rStyle w:val="14"/>
          <w:rFonts w:hint="default" w:ascii="Times New Roman" w:hAnsi="Times New Roman" w:cs="Times New Roman"/>
          <w:color w:val="0070C0"/>
          <w:szCs w:val="21"/>
          <w:u w:val="none"/>
          <w:lang w:val="en-US" w:eastAsia="zh-CN" w:bidi="ar"/>
        </w:rPr>
        <w:t>https://doi.org/10.1175/1520-0469(1996)053&lt;2365:porwon&gt;2.0.co;2</w:t>
      </w:r>
      <w:r>
        <w:rPr>
          <w:rFonts w:hint="default" w:ascii="Times New Roman" w:hAnsi="Times New Roman" w:cs="Times New Roman"/>
          <w:color w:val="0070C0"/>
          <w:szCs w:val="21"/>
          <w:u w:val="none"/>
          <w:lang w:val="en-US" w:eastAsia="zh-CN" w:bidi="ar"/>
        </w:rPr>
        <w:fldChar w:fldCharType="end"/>
      </w:r>
    </w:p>
    <w:p w14:paraId="6AEFE580">
      <w:pPr>
        <w:ind w:left="720" w:hanging="720"/>
        <w:rPr>
          <w:rFonts w:hint="default" w:cs="Times New Roman"/>
          <w:szCs w:val="21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0E321CC"/>
    <w:multiLevelType w:val="multilevel"/>
    <w:tmpl w:val="30E321CC"/>
    <w:lvl w:ilvl="0" w:tentative="0">
      <w:start w:val="1"/>
      <w:numFmt w:val="bullet"/>
      <w:lvlText w:val="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">
    <w:nsid w:val="63303546"/>
    <w:multiLevelType w:val="singleLevel"/>
    <w:tmpl w:val="63303546"/>
    <w:lvl w:ilvl="0" w:tentative="0">
      <w:start w:val="2"/>
      <w:numFmt w:val="chineseCounting"/>
      <w:suff w:val="space"/>
      <w:lvlText w:val="%1．"/>
      <w:lvlJc w:val="left"/>
      <w:rPr>
        <w:rFonts w:hint="eastAsia"/>
      </w:rPr>
    </w:lvl>
  </w:abstractNum>
  <w:abstractNum w:abstractNumId="2">
    <w:nsid w:val="738918FF"/>
    <w:multiLevelType w:val="singleLevel"/>
    <w:tmpl w:val="738918FF"/>
    <w:lvl w:ilvl="0" w:tentative="0">
      <w:start w:val="7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A24D9F"/>
    <w:rsid w:val="01181BFF"/>
    <w:rsid w:val="06723032"/>
    <w:rsid w:val="07011CC2"/>
    <w:rsid w:val="07644792"/>
    <w:rsid w:val="09284798"/>
    <w:rsid w:val="0ED66F12"/>
    <w:rsid w:val="0F2B6FD9"/>
    <w:rsid w:val="13C454E2"/>
    <w:rsid w:val="14B52807"/>
    <w:rsid w:val="15273705"/>
    <w:rsid w:val="183C240D"/>
    <w:rsid w:val="1A7F1CED"/>
    <w:rsid w:val="1AA24D9F"/>
    <w:rsid w:val="1B4E5B1D"/>
    <w:rsid w:val="1D0B7468"/>
    <w:rsid w:val="28DA2E89"/>
    <w:rsid w:val="2A4254F9"/>
    <w:rsid w:val="2B7C05C4"/>
    <w:rsid w:val="2C752B50"/>
    <w:rsid w:val="2D1F32F4"/>
    <w:rsid w:val="30E72E3F"/>
    <w:rsid w:val="317E40BE"/>
    <w:rsid w:val="323B4D81"/>
    <w:rsid w:val="33DC3CA0"/>
    <w:rsid w:val="34B70380"/>
    <w:rsid w:val="34D950A9"/>
    <w:rsid w:val="3AE174A3"/>
    <w:rsid w:val="3CC62F17"/>
    <w:rsid w:val="40327224"/>
    <w:rsid w:val="42BA56E9"/>
    <w:rsid w:val="43446334"/>
    <w:rsid w:val="44A84E71"/>
    <w:rsid w:val="46E62229"/>
    <w:rsid w:val="477DCE1E"/>
    <w:rsid w:val="4A9D3546"/>
    <w:rsid w:val="4C46376A"/>
    <w:rsid w:val="4C8F1B4F"/>
    <w:rsid w:val="4DD92AE7"/>
    <w:rsid w:val="4EEE4370"/>
    <w:rsid w:val="50E61077"/>
    <w:rsid w:val="5537272A"/>
    <w:rsid w:val="573E1E21"/>
    <w:rsid w:val="5A882C65"/>
    <w:rsid w:val="5AD00DCE"/>
    <w:rsid w:val="5B487E91"/>
    <w:rsid w:val="5CF9550F"/>
    <w:rsid w:val="5EC450EE"/>
    <w:rsid w:val="5EFEBDE8"/>
    <w:rsid w:val="5F1F2324"/>
    <w:rsid w:val="641E6213"/>
    <w:rsid w:val="65442F1C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AA2E59"/>
    <w:rsid w:val="70DE2EF1"/>
    <w:rsid w:val="766F2C9E"/>
    <w:rsid w:val="783E5E5F"/>
    <w:rsid w:val="78C10128"/>
    <w:rsid w:val="7BC22D02"/>
    <w:rsid w:val="7C5F4108"/>
    <w:rsid w:val="7C9F0B51"/>
    <w:rsid w:val="7CA92080"/>
    <w:rsid w:val="7F335F35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 w:eastAsia="黑体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1"/>
    </w:pPr>
    <w:rPr>
      <w:rFonts w:ascii="Arial" w:hAnsi="Arial"/>
      <w:b/>
      <w:sz w:val="24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qFormat/>
    <w:uiPriority w:val="0"/>
    <w:rPr>
      <w:color w:val="0000FF"/>
      <w:u w:val="single"/>
    </w:rPr>
  </w:style>
  <w:style w:type="character" w:styleId="15">
    <w:name w:val="HTML Code"/>
    <w:basedOn w:val="13"/>
    <w:qFormat/>
    <w:uiPriority w:val="0"/>
    <w:rPr>
      <w:rFonts w:ascii="Courier New" w:hAnsi="Courier New"/>
      <w:sz w:val="20"/>
    </w:rPr>
  </w:style>
  <w:style w:type="paragraph" w:styleId="16">
    <w:name w:val="List Paragraph"/>
    <w:qFormat/>
    <w:uiPriority w:val="34"/>
    <w:pPr>
      <w:widowControl w:val="0"/>
      <w:ind w:firstLine="420" w:firstLineChars="200"/>
      <w:jc w:val="both"/>
    </w:pPr>
    <w:rPr>
      <w:rFonts w:ascii="Times New Roman" w:hAnsi="Times New Roman" w:eastAsia="宋体" w:cstheme="minorBidi"/>
      <w:kern w:val="2"/>
      <w:sz w:val="21"/>
      <w:szCs w:val="21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5</Pages>
  <Words>1220</Words>
  <Characters>1532</Characters>
  <Lines>0</Lines>
  <Paragraphs>0</Paragraphs>
  <TotalTime>168</TotalTime>
  <ScaleCrop>false</ScaleCrop>
  <LinksUpToDate>false</LinksUpToDate>
  <CharactersWithSpaces>1575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HY</dc:creator>
  <cp:lastModifiedBy>杨艺楠请一定坚持</cp:lastModifiedBy>
  <dcterms:modified xsi:type="dcterms:W3CDTF">2025-10-23T03:24:17Z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KSOTemplateDocerSaveRecord">
    <vt:lpwstr>eyJoZGlkIjoiM2VmNjQxMDY0YmIwN2ZlYTAxMWE3NmRlZDQyOTAyZjkiLCJ1c2VySWQiOiIxMTI0Mjc5ODAyIn0=</vt:lpwstr>
  </property>
  <property fmtid="{D5CDD505-2E9C-101B-9397-08002B2CF9AE}" pid="6" name="ICV">
    <vt:lpwstr>259C8B4273CC4AF58F30CEF6BC1CCBC0_13</vt:lpwstr>
  </property>
</Properties>
</file>