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2021.12.06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互联网平台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啊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机动车驾驶人档案影像化管理系统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V1.0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13270976346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︎非敏感接口   ☑全国敏感接口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123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