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C4" w:rsidRPr="00E72AC4" w:rsidRDefault="00E72AC4" w:rsidP="00E72AC4">
      <w:pPr>
        <w:jc w:val="center"/>
        <w:rPr>
          <w:rFonts w:ascii="Arial" w:eastAsia="黑体" w:hAnsi="Arial" w:cs="Arial"/>
          <w:b/>
          <w:bCs/>
          <w:sz w:val="32"/>
          <w:szCs w:val="32"/>
        </w:rPr>
      </w:pPr>
      <w:r w:rsidRPr="00E72AC4">
        <w:rPr>
          <w:rFonts w:ascii="Arial" w:eastAsia="黑体" w:hAnsi="Arial" w:cs="Arial"/>
          <w:b/>
          <w:bCs/>
          <w:sz w:val="32"/>
          <w:szCs w:val="32"/>
        </w:rPr>
        <w:t>TIDE</w:t>
      </w:r>
      <w:r w:rsidRPr="00E72AC4">
        <w:rPr>
          <w:rFonts w:ascii="Arial" w:eastAsia="黑体" w:hAnsi="Arial" w:cs="Arial" w:hint="eastAsia"/>
          <w:b/>
          <w:bCs/>
          <w:sz w:val="32"/>
          <w:szCs w:val="32"/>
        </w:rPr>
        <w:t>使用教程</w:t>
      </w:r>
    </w:p>
    <w:p w:rsidR="00FB1BA8" w:rsidRPr="00E72AC4" w:rsidRDefault="00FB1BA8" w:rsidP="00E72AC4">
      <w:pPr>
        <w:rPr>
          <w:rFonts w:ascii="Arial" w:eastAsia="黑体" w:hAnsi="Arial" w:cs="Arial"/>
          <w:b/>
          <w:bCs/>
          <w:szCs w:val="21"/>
        </w:rPr>
      </w:pPr>
      <w:r w:rsidRPr="00E72AC4">
        <w:rPr>
          <w:rFonts w:ascii="Arial" w:eastAsia="黑体" w:hAnsi="Arial" w:cs="Arial"/>
          <w:b/>
          <w:bCs/>
          <w:szCs w:val="21"/>
        </w:rPr>
        <w:t>TIDE</w:t>
      </w:r>
      <w:r w:rsidRPr="00E72AC4">
        <w:rPr>
          <w:rFonts w:ascii="Arial" w:eastAsia="黑体" w:hAnsi="Arial" w:cs="Arial" w:hint="eastAsia"/>
          <w:b/>
          <w:bCs/>
          <w:szCs w:val="21"/>
        </w:rPr>
        <w:t>是一个用于预测免疫检查点抑制剂响应性的工具，其网址为：</w:t>
      </w:r>
    </w:p>
    <w:p w:rsidR="0004714C" w:rsidRPr="00E72AC4" w:rsidRDefault="00FB1BA8" w:rsidP="00E72AC4">
      <w:pPr>
        <w:rPr>
          <w:rFonts w:ascii="Arial" w:eastAsia="黑体" w:hAnsi="Arial"/>
        </w:rPr>
      </w:pPr>
      <w:hyperlink r:id="rId5" w:history="1">
        <w:r w:rsidRPr="00E72AC4">
          <w:rPr>
            <w:rStyle w:val="a3"/>
            <w:rFonts w:ascii="Arial" w:eastAsia="黑体" w:hAnsi="Arial"/>
          </w:rPr>
          <w:t>http://tide.dfci.harvard.edu/</w:t>
        </w:r>
      </w:hyperlink>
    </w:p>
    <w:p w:rsidR="00E72AC4" w:rsidRPr="00E72AC4" w:rsidRDefault="00E72AC4">
      <w:pPr>
        <w:rPr>
          <w:rFonts w:ascii="Arial" w:eastAsia="黑体" w:hAnsi="Arial"/>
        </w:rPr>
      </w:pPr>
    </w:p>
    <w:p w:rsidR="00FB1BA8" w:rsidRPr="00E72AC4" w:rsidRDefault="00FB1BA8" w:rsidP="00E72AC4">
      <w:pPr>
        <w:rPr>
          <w:rFonts w:ascii="Arial" w:eastAsia="黑体" w:hAnsi="Arial"/>
          <w:b/>
          <w:color w:val="FF0000"/>
        </w:rPr>
      </w:pPr>
      <w:r w:rsidRPr="00E72AC4">
        <w:rPr>
          <w:rFonts w:ascii="Arial" w:eastAsia="黑体" w:hAnsi="Arial" w:hint="eastAsia"/>
          <w:b/>
          <w:color w:val="FF0000"/>
        </w:rPr>
        <w:t>使用前需要邮箱注册，如果在论文中涉及到</w:t>
      </w:r>
      <w:r w:rsidRPr="00E72AC4">
        <w:rPr>
          <w:rFonts w:ascii="Arial" w:eastAsia="黑体" w:hAnsi="Arial" w:hint="eastAsia"/>
          <w:b/>
          <w:color w:val="FF0000"/>
        </w:rPr>
        <w:t>T</w:t>
      </w:r>
      <w:r w:rsidRPr="00E72AC4">
        <w:rPr>
          <w:rFonts w:ascii="Arial" w:eastAsia="黑体" w:hAnsi="Arial"/>
          <w:b/>
          <w:color w:val="FF0000"/>
        </w:rPr>
        <w:t>IDE</w:t>
      </w:r>
      <w:r w:rsidRPr="00E72AC4">
        <w:rPr>
          <w:rFonts w:ascii="Arial" w:eastAsia="黑体" w:hAnsi="Arial" w:hint="eastAsia"/>
          <w:b/>
          <w:color w:val="FF0000"/>
        </w:rPr>
        <w:t>工具的使用，请引用：</w:t>
      </w:r>
    </w:p>
    <w:p w:rsidR="00FB1BA8" w:rsidRPr="00E72AC4" w:rsidRDefault="00FB1BA8" w:rsidP="00E72AC4">
      <w:pPr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</w:pPr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 xml:space="preserve">Jiang P, </w:t>
      </w:r>
      <w:proofErr w:type="spellStart"/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>Gu</w:t>
      </w:r>
      <w:proofErr w:type="spellEnd"/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 xml:space="preserve"> S, Pan D, Fu J, </w:t>
      </w:r>
      <w:proofErr w:type="spellStart"/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>Sahu</w:t>
      </w:r>
      <w:proofErr w:type="spellEnd"/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 xml:space="preserve"> A, Hu X,</w:t>
      </w:r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 xml:space="preserve"> Li Z, </w:t>
      </w:r>
      <w:proofErr w:type="spellStart"/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>Traugh</w:t>
      </w:r>
      <w:proofErr w:type="spellEnd"/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 xml:space="preserve"> N, Bu X, and Li B </w:t>
      </w:r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>(2018). Signatures of T cell dysfuncti</w:t>
      </w:r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 xml:space="preserve">on and exclusion predict cancer </w:t>
      </w:r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>immunotherapy response. Nat Med 24, 1550–1558.</w:t>
      </w:r>
    </w:p>
    <w:p w:rsidR="00FB1BA8" w:rsidRPr="00E72AC4" w:rsidRDefault="00FB1BA8" w:rsidP="00FB1BA8">
      <w:pPr>
        <w:rPr>
          <w:rFonts w:ascii="Arial" w:eastAsia="黑体" w:hAnsi="Arial" w:cs="Arial"/>
          <w:color w:val="222222"/>
          <w:sz w:val="20"/>
          <w:szCs w:val="20"/>
          <w:shd w:val="clear" w:color="auto" w:fill="FFFFFF"/>
        </w:rPr>
      </w:pPr>
    </w:p>
    <w:p w:rsidR="00FB1BA8" w:rsidRPr="00E72AC4" w:rsidRDefault="00FB1BA8" w:rsidP="00E72AC4">
      <w:pPr>
        <w:rPr>
          <w:rFonts w:ascii="Arial" w:eastAsia="黑体" w:hAnsi="Arial" w:cs="Arial"/>
          <w:b/>
          <w:color w:val="222222"/>
          <w:sz w:val="20"/>
          <w:szCs w:val="20"/>
          <w:shd w:val="clear" w:color="auto" w:fill="FFFFFF"/>
        </w:rPr>
      </w:pPr>
      <w:r w:rsidRPr="00E72AC4">
        <w:rPr>
          <w:rFonts w:ascii="Arial" w:eastAsia="黑体" w:hAnsi="Arial" w:cs="Arial" w:hint="eastAsia"/>
          <w:b/>
          <w:color w:val="222222"/>
          <w:sz w:val="20"/>
          <w:szCs w:val="20"/>
          <w:shd w:val="clear" w:color="auto" w:fill="FFFFFF"/>
        </w:rPr>
        <w:t>T</w:t>
      </w:r>
      <w:r w:rsidRPr="00E72AC4">
        <w:rPr>
          <w:rFonts w:ascii="Arial" w:eastAsia="黑体" w:hAnsi="Arial" w:cs="Arial"/>
          <w:b/>
          <w:color w:val="222222"/>
          <w:sz w:val="20"/>
          <w:szCs w:val="20"/>
          <w:shd w:val="clear" w:color="auto" w:fill="FFFFFF"/>
        </w:rPr>
        <w:t>IDE</w:t>
      </w:r>
      <w:r w:rsidRPr="00E72AC4">
        <w:rPr>
          <w:rFonts w:ascii="Arial" w:eastAsia="黑体" w:hAnsi="Arial" w:cs="Arial" w:hint="eastAsia"/>
          <w:b/>
          <w:color w:val="222222"/>
          <w:sz w:val="20"/>
          <w:szCs w:val="20"/>
          <w:shd w:val="clear" w:color="auto" w:fill="FFFFFF"/>
        </w:rPr>
        <w:t>界面：</w:t>
      </w:r>
    </w:p>
    <w:p w:rsidR="00FB1BA8" w:rsidRDefault="00FB1BA8" w:rsidP="00FB1BA8">
      <w:pPr>
        <w:rPr>
          <w:rFonts w:ascii="Arial" w:eastAsia="黑体" w:hAnsi="Arial" w:cs="Arial"/>
          <w:color w:val="222222"/>
          <w:sz w:val="20"/>
          <w:szCs w:val="20"/>
          <w:shd w:val="clear" w:color="auto" w:fill="FFFFFF"/>
        </w:rPr>
      </w:pPr>
      <w:r w:rsidRPr="00E72AC4">
        <w:rPr>
          <w:rFonts w:ascii="Arial" w:eastAsia="黑体" w:hAnsi="Arial"/>
          <w:noProof/>
        </w:rPr>
        <w:drawing>
          <wp:inline distT="0" distB="0" distL="0" distR="0" wp14:anchorId="75ED3AB2" wp14:editId="40911A4C">
            <wp:extent cx="5274310" cy="2590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C4" w:rsidRPr="00E72AC4" w:rsidRDefault="00E72AC4" w:rsidP="00FB1BA8">
      <w:pPr>
        <w:rPr>
          <w:rFonts w:ascii="Arial" w:eastAsia="黑体" w:hAnsi="Arial" w:cs="Arial"/>
          <w:color w:val="222222"/>
          <w:sz w:val="20"/>
          <w:szCs w:val="20"/>
          <w:shd w:val="clear" w:color="auto" w:fill="FFFFFF"/>
        </w:rPr>
      </w:pPr>
    </w:p>
    <w:p w:rsidR="00E72AC4" w:rsidRPr="00E72AC4" w:rsidRDefault="00E72AC4" w:rsidP="00E72AC4">
      <w:pPr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</w:pPr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>注意，</w:t>
      </w:r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>TIDE</w:t>
      </w:r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>网址首页提示数据需要一定的标准化</w:t>
      </w:r>
    </w:p>
    <w:p w:rsidR="00FB1BA8" w:rsidRPr="00E72AC4" w:rsidRDefault="00E72AC4" w:rsidP="00E72AC4">
      <w:pPr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</w:pPr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>Note: The gene expression value should be normalized toward a control sample which could be either normal tissues related with a cancer type or mixture samp</w:t>
      </w:r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 xml:space="preserve">le from diverse tumor samples. </w:t>
      </w:r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>The log2(RPKM+1) values from a RNA-</w:t>
      </w:r>
      <w:proofErr w:type="spellStart"/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>seq</w:t>
      </w:r>
      <w:proofErr w:type="spellEnd"/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 xml:space="preserve"> experiment may not be meaningful unless a good reference control is available to adjust the batch effe</w:t>
      </w:r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 xml:space="preserve">ct and cancer type difference. </w:t>
      </w:r>
      <w:r w:rsidRPr="00E72AC4">
        <w:rPr>
          <w:rFonts w:ascii="Arial" w:eastAsia="黑体" w:hAnsi="Arial" w:cs="Arial"/>
          <w:b/>
          <w:color w:val="FF0000"/>
          <w:sz w:val="20"/>
          <w:szCs w:val="20"/>
          <w:shd w:val="clear" w:color="auto" w:fill="FFFFFF"/>
        </w:rPr>
        <w:t>In our study, we used the all sample average in each study as the normalization control.</w:t>
      </w:r>
    </w:p>
    <w:p w:rsidR="00E72AC4" w:rsidRPr="00E72AC4" w:rsidRDefault="00E72AC4" w:rsidP="00E72AC4">
      <w:pPr>
        <w:rPr>
          <w:rFonts w:ascii="Arial" w:eastAsia="黑体" w:hAnsi="Arial" w:cs="Arial"/>
          <w:color w:val="222222"/>
          <w:sz w:val="20"/>
          <w:szCs w:val="20"/>
          <w:shd w:val="clear" w:color="auto" w:fill="FFFFFF"/>
        </w:rPr>
      </w:pPr>
    </w:p>
    <w:p w:rsidR="00FB1BA8" w:rsidRPr="00E72AC4" w:rsidRDefault="00FB1BA8" w:rsidP="00E72AC4">
      <w:pPr>
        <w:rPr>
          <w:rFonts w:ascii="Arial" w:eastAsia="黑体" w:hAnsi="Arial" w:cs="Arial"/>
          <w:b/>
          <w:color w:val="222222"/>
          <w:sz w:val="20"/>
          <w:szCs w:val="20"/>
          <w:shd w:val="clear" w:color="auto" w:fill="FFFFFF"/>
        </w:rPr>
      </w:pPr>
      <w:r w:rsidRPr="00E72AC4">
        <w:rPr>
          <w:rFonts w:ascii="Arial" w:eastAsia="黑体" w:hAnsi="Arial" w:cs="Arial" w:hint="eastAsia"/>
          <w:b/>
          <w:color w:val="222222"/>
          <w:sz w:val="20"/>
          <w:szCs w:val="20"/>
          <w:shd w:val="clear" w:color="auto" w:fill="FFFFFF"/>
        </w:rPr>
        <w:t>其中包括三个可以选择的栏目：</w:t>
      </w:r>
    </w:p>
    <w:p w:rsidR="00FB1BA8" w:rsidRPr="00E72AC4" w:rsidRDefault="00FB1BA8" w:rsidP="00E72AC4">
      <w:pPr>
        <w:rPr>
          <w:rFonts w:ascii="Arial" w:eastAsia="黑体" w:hAnsi="Arial" w:cs="Cambria Math"/>
          <w:color w:val="222222"/>
          <w:sz w:val="20"/>
          <w:szCs w:val="20"/>
          <w:shd w:val="clear" w:color="auto" w:fill="FFFFFF"/>
        </w:rPr>
      </w:pP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①选择文件：选择输入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T</w:t>
      </w:r>
      <w:r w:rsidRPr="00E72AC4">
        <w:rPr>
          <w:rFonts w:ascii="Arial" w:eastAsia="黑体" w:hAnsi="Arial" w:cs="Cambria Math"/>
          <w:color w:val="222222"/>
          <w:sz w:val="20"/>
          <w:szCs w:val="20"/>
          <w:shd w:val="clear" w:color="auto" w:fill="FFFFFF"/>
        </w:rPr>
        <w:t>IDE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的数据，这里使用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R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导出的</w:t>
      </w:r>
      <w:proofErr w:type="spellStart"/>
      <w:r w:rsidRPr="00E72AC4">
        <w:rPr>
          <w:rFonts w:ascii="Arial" w:eastAsia="黑体" w:hAnsi="Arial" w:cs="Cambria Math"/>
          <w:color w:val="222222"/>
          <w:sz w:val="20"/>
          <w:szCs w:val="20"/>
          <w:shd w:val="clear" w:color="auto" w:fill="FFFFFF"/>
        </w:rPr>
        <w:t>TIDE_input.self_subtract</w:t>
      </w:r>
      <w:proofErr w:type="spellEnd"/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；</w:t>
      </w:r>
    </w:p>
    <w:p w:rsidR="00FB1BA8" w:rsidRPr="00E72AC4" w:rsidRDefault="00FB1BA8" w:rsidP="00E72AC4">
      <w:pPr>
        <w:rPr>
          <w:rFonts w:ascii="Arial" w:eastAsia="黑体" w:hAnsi="Arial" w:cs="Cambria Math"/>
          <w:color w:val="222222"/>
          <w:sz w:val="20"/>
          <w:szCs w:val="20"/>
          <w:shd w:val="clear" w:color="auto" w:fill="FFFFFF"/>
        </w:rPr>
      </w:pP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②</w:t>
      </w:r>
      <w:r w:rsidRPr="00E72AC4">
        <w:rPr>
          <w:rFonts w:ascii="Arial" w:eastAsia="黑体" w:hAnsi="Arial" w:cs="Cambria Math"/>
          <w:color w:val="222222"/>
          <w:sz w:val="20"/>
          <w:szCs w:val="20"/>
          <w:shd w:val="clear" w:color="auto" w:fill="FFFFFF"/>
        </w:rPr>
        <w:t>C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ancer</w:t>
      </w:r>
      <w:r w:rsidRPr="00E72AC4">
        <w:rPr>
          <w:rFonts w:ascii="Arial" w:eastAsia="黑体" w:hAnsi="Arial" w:cs="Cambria Math"/>
          <w:color w:val="222222"/>
          <w:sz w:val="20"/>
          <w:szCs w:val="20"/>
          <w:shd w:val="clear" w:color="auto" w:fill="FFFFFF"/>
        </w:rPr>
        <w:t xml:space="preserve"> 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type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：包括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Melanoma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（黑色素瘤）、</w:t>
      </w:r>
      <w:proofErr w:type="spellStart"/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N</w:t>
      </w:r>
      <w:r w:rsidRPr="00E72AC4">
        <w:rPr>
          <w:rFonts w:ascii="Arial" w:eastAsia="黑体" w:hAnsi="Arial" w:cs="Cambria Math"/>
          <w:color w:val="222222"/>
          <w:sz w:val="20"/>
          <w:szCs w:val="20"/>
          <w:shd w:val="clear" w:color="auto" w:fill="FFFFFF"/>
        </w:rPr>
        <w:t>SCLC</w:t>
      </w:r>
      <w:proofErr w:type="spellEnd"/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（非小细胞肺癌）以及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Other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（其他），</w:t>
      </w:r>
      <w:r w:rsidRPr="00E72AC4">
        <w:rPr>
          <w:rFonts w:ascii="Arial" w:eastAsia="黑体" w:hAnsi="Arial" w:cs="Cambria Math" w:hint="eastAsia"/>
          <w:color w:val="FF0000"/>
          <w:sz w:val="20"/>
          <w:szCs w:val="20"/>
          <w:shd w:val="clear" w:color="auto" w:fill="FFFFFF"/>
        </w:rPr>
        <w:t>由于例文癌症不属于这两类，选择</w:t>
      </w:r>
      <w:r w:rsidRPr="00E72AC4">
        <w:rPr>
          <w:rFonts w:ascii="Arial" w:eastAsia="黑体" w:hAnsi="Arial" w:cs="Cambria Math" w:hint="eastAsia"/>
          <w:color w:val="FF0000"/>
          <w:sz w:val="20"/>
          <w:szCs w:val="20"/>
          <w:shd w:val="clear" w:color="auto" w:fill="FFFFFF"/>
        </w:rPr>
        <w:t>Other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；</w:t>
      </w:r>
    </w:p>
    <w:p w:rsidR="00FB1BA8" w:rsidRDefault="00FB1BA8" w:rsidP="00E72AC4">
      <w:pPr>
        <w:rPr>
          <w:rFonts w:ascii="Arial" w:eastAsia="黑体" w:hAnsi="Arial" w:cs="Cambria Math"/>
          <w:color w:val="222222"/>
          <w:sz w:val="20"/>
          <w:szCs w:val="20"/>
          <w:shd w:val="clear" w:color="auto" w:fill="FFFFFF"/>
        </w:rPr>
      </w:pP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③</w:t>
      </w:r>
      <w:r w:rsidRPr="00E72AC4">
        <w:rPr>
          <w:rFonts w:ascii="Arial" w:eastAsia="黑体" w:hAnsi="Arial" w:cs="Cambria Math"/>
          <w:color w:val="222222"/>
          <w:sz w:val="20"/>
          <w:szCs w:val="20"/>
          <w:shd w:val="clear" w:color="auto" w:fill="FFFFFF"/>
        </w:rPr>
        <w:t>P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revious</w:t>
      </w:r>
      <w:r w:rsidRPr="00E72AC4">
        <w:rPr>
          <w:rFonts w:ascii="Arial" w:eastAsia="黑体" w:hAnsi="Arial" w:cs="Cambria Math"/>
          <w:color w:val="222222"/>
          <w:sz w:val="20"/>
          <w:szCs w:val="20"/>
          <w:shd w:val="clear" w:color="auto" w:fill="FFFFFF"/>
        </w:rPr>
        <w:t xml:space="preserve"> 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immunotherapy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：指示数据中的患者</w:t>
      </w:r>
      <w:r w:rsidRPr="00E72AC4">
        <w:rPr>
          <w:rFonts w:ascii="Arial" w:eastAsia="黑体" w:hAnsi="Arial" w:cs="Cambria Math" w:hint="eastAsia"/>
          <w:color w:val="FF0000"/>
          <w:sz w:val="20"/>
          <w:szCs w:val="20"/>
          <w:shd w:val="clear" w:color="auto" w:fill="FFFFFF"/>
        </w:rPr>
        <w:t>是否曾经接受过免疫治疗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，一般默认选择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No</w:t>
      </w:r>
      <w:r w:rsidRPr="00E72AC4"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  <w:t>。</w:t>
      </w:r>
    </w:p>
    <w:p w:rsidR="00E72AC4" w:rsidRPr="00E72AC4" w:rsidRDefault="00E72AC4" w:rsidP="00E72AC4">
      <w:pPr>
        <w:rPr>
          <w:rFonts w:ascii="Arial" w:eastAsia="黑体" w:hAnsi="Arial" w:cs="Cambria Math" w:hint="eastAsia"/>
          <w:color w:val="222222"/>
          <w:sz w:val="20"/>
          <w:szCs w:val="20"/>
          <w:shd w:val="clear" w:color="auto" w:fill="FFFFFF"/>
        </w:rPr>
      </w:pPr>
    </w:p>
    <w:p w:rsidR="00FB1BA8" w:rsidRDefault="00FB1BA8" w:rsidP="00FB1BA8">
      <w:pPr>
        <w:rPr>
          <w:rFonts w:ascii="Arial" w:eastAsia="黑体" w:hAnsi="Arial" w:cs="Arial"/>
          <w:color w:val="222222"/>
          <w:sz w:val="20"/>
          <w:szCs w:val="20"/>
          <w:shd w:val="clear" w:color="auto" w:fill="FFFFFF"/>
        </w:rPr>
      </w:pPr>
      <w:r w:rsidRPr="00E72AC4">
        <w:rPr>
          <w:rFonts w:ascii="Arial" w:eastAsia="黑体" w:hAnsi="Arial"/>
          <w:noProof/>
        </w:rPr>
        <w:lastRenderedPageBreak/>
        <w:drawing>
          <wp:inline distT="0" distB="0" distL="0" distR="0" wp14:anchorId="63A46202" wp14:editId="2B64482B">
            <wp:extent cx="5274310" cy="1488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C4" w:rsidRPr="00E72AC4" w:rsidRDefault="00E72AC4" w:rsidP="00FB1BA8">
      <w:pPr>
        <w:rPr>
          <w:rFonts w:ascii="Arial" w:eastAsia="黑体" w:hAnsi="Arial" w:cs="Arial"/>
          <w:color w:val="222222"/>
          <w:sz w:val="20"/>
          <w:szCs w:val="20"/>
          <w:shd w:val="clear" w:color="auto" w:fill="FFFFFF"/>
        </w:rPr>
      </w:pPr>
    </w:p>
    <w:p w:rsidR="00FB1BA8" w:rsidRPr="00E72AC4" w:rsidRDefault="00FB1BA8" w:rsidP="00FB1BA8">
      <w:pPr>
        <w:rPr>
          <w:rFonts w:ascii="Arial" w:eastAsia="黑体" w:hAnsi="Arial" w:cs="Arial"/>
          <w:color w:val="222222"/>
          <w:sz w:val="20"/>
          <w:szCs w:val="20"/>
          <w:shd w:val="clear" w:color="auto" w:fill="FFFFFF"/>
        </w:rPr>
      </w:pPr>
      <w:r w:rsidRPr="00E72AC4">
        <w:rPr>
          <w:rFonts w:ascii="Arial" w:eastAsia="黑体" w:hAnsi="Arial" w:cs="Arial" w:hint="eastAsia"/>
          <w:color w:val="222222"/>
          <w:sz w:val="20"/>
          <w:szCs w:val="20"/>
          <w:shd w:val="clear" w:color="auto" w:fill="FFFFFF"/>
        </w:rPr>
        <w:t>选择完成后点击</w:t>
      </w:r>
      <w:r w:rsidRPr="00E72AC4">
        <w:rPr>
          <w:rFonts w:ascii="Arial" w:eastAsia="黑体" w:hAnsi="Arial" w:cs="Arial" w:hint="eastAsia"/>
          <w:color w:val="222222"/>
          <w:sz w:val="20"/>
          <w:szCs w:val="20"/>
          <w:shd w:val="clear" w:color="auto" w:fill="FFFFFF"/>
        </w:rPr>
        <w:t>Predict</w:t>
      </w:r>
      <w:r w:rsidRPr="00E72AC4">
        <w:rPr>
          <w:rFonts w:ascii="Arial" w:eastAsia="黑体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E72AC4">
        <w:rPr>
          <w:rFonts w:ascii="Arial" w:eastAsia="黑体" w:hAnsi="Arial" w:cs="Arial" w:hint="eastAsia"/>
          <w:color w:val="222222"/>
          <w:sz w:val="20"/>
          <w:szCs w:val="20"/>
          <w:shd w:val="clear" w:color="auto" w:fill="FFFFFF"/>
        </w:rPr>
        <w:t>response</w:t>
      </w:r>
      <w:r w:rsidRPr="00E72AC4">
        <w:rPr>
          <w:rFonts w:ascii="Arial" w:eastAsia="黑体" w:hAnsi="Arial" w:cs="Arial" w:hint="eastAsia"/>
          <w:color w:val="222222"/>
          <w:sz w:val="20"/>
          <w:szCs w:val="20"/>
          <w:shd w:val="clear" w:color="auto" w:fill="FFFFFF"/>
        </w:rPr>
        <w:t>，然后耐心等待，若使用谷歌浏览器在左下角左下角看到进度：</w:t>
      </w:r>
    </w:p>
    <w:p w:rsidR="00FB1BA8" w:rsidRDefault="00FB1BA8" w:rsidP="00313AF1">
      <w:pPr>
        <w:jc w:val="left"/>
        <w:rPr>
          <w:rFonts w:ascii="Arial" w:eastAsia="黑体" w:hAnsi="Arial" w:cs="Arial"/>
          <w:color w:val="222222"/>
          <w:sz w:val="20"/>
          <w:szCs w:val="20"/>
          <w:shd w:val="clear" w:color="auto" w:fill="FFFFFF"/>
        </w:rPr>
      </w:pPr>
      <w:r w:rsidRPr="00E72AC4">
        <w:rPr>
          <w:rFonts w:ascii="Arial" w:eastAsia="黑体" w:hAnsi="Arial"/>
          <w:noProof/>
        </w:rPr>
        <w:drawing>
          <wp:inline distT="0" distB="0" distL="0" distR="0" wp14:anchorId="38CAF804" wp14:editId="6C2B8FA0">
            <wp:extent cx="1180952" cy="5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C4" w:rsidRPr="00E72AC4" w:rsidRDefault="00E72AC4" w:rsidP="00313AF1">
      <w:pPr>
        <w:jc w:val="left"/>
        <w:rPr>
          <w:rFonts w:ascii="Arial" w:eastAsia="黑体" w:hAnsi="Arial" w:cs="Arial"/>
          <w:color w:val="222222"/>
          <w:sz w:val="20"/>
          <w:szCs w:val="20"/>
          <w:shd w:val="clear" w:color="auto" w:fill="FFFFFF"/>
        </w:rPr>
      </w:pPr>
    </w:p>
    <w:p w:rsidR="00313AF1" w:rsidRPr="00E72AC4" w:rsidRDefault="00313AF1" w:rsidP="00313AF1">
      <w:pPr>
        <w:jc w:val="left"/>
        <w:rPr>
          <w:rFonts w:ascii="Arial" w:eastAsia="黑体" w:hAnsi="Arial" w:cs="Arial"/>
          <w:color w:val="222222"/>
          <w:sz w:val="20"/>
          <w:szCs w:val="20"/>
          <w:shd w:val="clear" w:color="auto" w:fill="FFFFFF"/>
        </w:rPr>
      </w:pPr>
      <w:r w:rsidRPr="00E72AC4">
        <w:rPr>
          <w:rFonts w:ascii="Arial" w:eastAsia="黑体" w:hAnsi="Arial" w:cs="Arial" w:hint="eastAsia"/>
          <w:color w:val="222222"/>
          <w:sz w:val="20"/>
          <w:szCs w:val="20"/>
          <w:shd w:val="clear" w:color="auto" w:fill="FFFFFF"/>
        </w:rPr>
        <w:t>完成后弹出界面如下：</w:t>
      </w:r>
    </w:p>
    <w:p w:rsidR="00313AF1" w:rsidRDefault="00313AF1" w:rsidP="00313AF1">
      <w:pPr>
        <w:jc w:val="left"/>
        <w:rPr>
          <w:rFonts w:ascii="Arial" w:eastAsia="黑体" w:hAnsi="Arial" w:cs="Arial"/>
          <w:color w:val="222222"/>
          <w:sz w:val="20"/>
          <w:szCs w:val="20"/>
          <w:shd w:val="clear" w:color="auto" w:fill="FFFFFF"/>
        </w:rPr>
      </w:pPr>
      <w:r w:rsidRPr="00E72AC4">
        <w:rPr>
          <w:rFonts w:ascii="Arial" w:eastAsia="黑体" w:hAnsi="Arial"/>
          <w:noProof/>
        </w:rPr>
        <w:drawing>
          <wp:inline distT="0" distB="0" distL="0" distR="0" wp14:anchorId="52A4FEE5" wp14:editId="25F1B752">
            <wp:extent cx="5274310" cy="2768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C4" w:rsidRPr="00E72AC4" w:rsidRDefault="00E72AC4" w:rsidP="00313AF1">
      <w:pPr>
        <w:jc w:val="left"/>
        <w:rPr>
          <w:rFonts w:ascii="Arial" w:eastAsia="黑体" w:hAnsi="Arial" w:cs="Arial"/>
          <w:color w:val="222222"/>
          <w:sz w:val="20"/>
          <w:szCs w:val="20"/>
          <w:shd w:val="clear" w:color="auto" w:fill="FFFFFF"/>
        </w:rPr>
      </w:pPr>
    </w:p>
    <w:p w:rsidR="00313AF1" w:rsidRPr="00E72AC4" w:rsidRDefault="00313AF1" w:rsidP="00313AF1">
      <w:pPr>
        <w:jc w:val="left"/>
        <w:rPr>
          <w:rFonts w:ascii="Arial" w:eastAsia="黑体" w:hAnsi="Arial" w:cs="Arial"/>
          <w:color w:val="222222"/>
          <w:sz w:val="20"/>
          <w:szCs w:val="20"/>
          <w:shd w:val="clear" w:color="auto" w:fill="FFFFFF"/>
        </w:rPr>
      </w:pPr>
      <w:r w:rsidRPr="00E72AC4">
        <w:rPr>
          <w:rFonts w:ascii="Arial" w:eastAsia="黑体" w:hAnsi="Arial" w:cs="Arial" w:hint="eastAsia"/>
          <w:color w:val="222222"/>
          <w:sz w:val="20"/>
          <w:szCs w:val="20"/>
          <w:shd w:val="clear" w:color="auto" w:fill="FFFFFF"/>
        </w:rPr>
        <w:t>直接翻到</w:t>
      </w:r>
      <w:r w:rsidRPr="00E72AC4">
        <w:rPr>
          <w:rFonts w:ascii="Arial" w:eastAsia="黑体" w:hAnsi="Arial" w:cs="Arial" w:hint="eastAsia"/>
          <w:color w:val="FF0000"/>
          <w:sz w:val="20"/>
          <w:szCs w:val="20"/>
          <w:shd w:val="clear" w:color="auto" w:fill="FFFFFF"/>
        </w:rPr>
        <w:t>最下方导出结果</w:t>
      </w:r>
      <w:r w:rsidR="00E72AC4" w:rsidRPr="00E72AC4">
        <w:rPr>
          <w:rFonts w:ascii="Arial" w:eastAsia="黑体" w:hAnsi="Arial" w:cs="Arial" w:hint="eastAsia"/>
          <w:color w:val="222222"/>
          <w:sz w:val="20"/>
          <w:szCs w:val="20"/>
          <w:shd w:val="clear" w:color="auto" w:fill="FFFFFF"/>
        </w:rPr>
        <w:t>为</w:t>
      </w:r>
      <w:proofErr w:type="spellStart"/>
      <w:r w:rsidR="00E72AC4" w:rsidRPr="00E72AC4">
        <w:rPr>
          <w:rFonts w:ascii="Arial" w:eastAsia="黑体" w:hAnsi="Arial" w:cs="Arial"/>
          <w:color w:val="222222"/>
          <w:sz w:val="20"/>
          <w:szCs w:val="20"/>
          <w:shd w:val="clear" w:color="auto" w:fill="FFFFFF"/>
        </w:rPr>
        <w:t>TIDE_output</w:t>
      </w:r>
      <w:proofErr w:type="spellEnd"/>
      <w:r w:rsidRPr="00E72AC4">
        <w:rPr>
          <w:rFonts w:ascii="Arial" w:eastAsia="黑体" w:hAnsi="Arial" w:cs="Arial" w:hint="eastAsia"/>
          <w:color w:val="222222"/>
          <w:sz w:val="20"/>
          <w:szCs w:val="20"/>
          <w:shd w:val="clear" w:color="auto" w:fill="FFFFFF"/>
        </w:rPr>
        <w:t>：</w:t>
      </w:r>
    </w:p>
    <w:p w:rsidR="00313AF1" w:rsidRPr="00E72AC4" w:rsidRDefault="00313AF1" w:rsidP="00313AF1">
      <w:pPr>
        <w:jc w:val="left"/>
        <w:rPr>
          <w:rFonts w:ascii="Arial" w:eastAsia="黑体" w:hAnsi="Arial" w:cs="Arial" w:hint="eastAsia"/>
          <w:color w:val="222222"/>
          <w:sz w:val="20"/>
          <w:szCs w:val="20"/>
          <w:shd w:val="clear" w:color="auto" w:fill="FFFFFF"/>
        </w:rPr>
      </w:pPr>
      <w:r w:rsidRPr="00E72AC4">
        <w:rPr>
          <w:rFonts w:ascii="Arial" w:eastAsia="黑体" w:hAnsi="Arial"/>
          <w:noProof/>
        </w:rPr>
        <w:lastRenderedPageBreak/>
        <w:drawing>
          <wp:inline distT="0" distB="0" distL="0" distR="0" wp14:anchorId="7678FC60" wp14:editId="79BFA348">
            <wp:extent cx="5274310" cy="3858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A8" w:rsidRPr="00E72AC4" w:rsidRDefault="00FB1BA8" w:rsidP="00FB1BA8">
      <w:pPr>
        <w:jc w:val="left"/>
        <w:rPr>
          <w:rFonts w:ascii="Arial" w:eastAsia="黑体" w:hAnsi="Arial" w:cs="Arial" w:hint="eastAsia"/>
          <w:color w:val="222222"/>
          <w:sz w:val="20"/>
          <w:szCs w:val="20"/>
          <w:shd w:val="clear" w:color="auto" w:fill="FFFFFF"/>
        </w:rPr>
      </w:pPr>
    </w:p>
    <w:p w:rsidR="00FB1BA8" w:rsidRPr="00E72AC4" w:rsidRDefault="00546F8C" w:rsidP="00FB1BA8">
      <w:pPr>
        <w:rPr>
          <w:rFonts w:ascii="Arial" w:eastAsia="黑体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eastAsia="黑体" w:hAnsi="Arial" w:cs="Arial" w:hint="eastAsia"/>
          <w:color w:val="222222"/>
          <w:sz w:val="20"/>
          <w:szCs w:val="20"/>
          <w:shd w:val="clear" w:color="auto" w:fill="FFFFFF"/>
        </w:rPr>
        <w:t>回到</w:t>
      </w:r>
      <w:r>
        <w:rPr>
          <w:rFonts w:ascii="Arial" w:eastAsia="黑体" w:hAnsi="Arial" w:cs="Arial" w:hint="eastAsia"/>
          <w:color w:val="222222"/>
          <w:sz w:val="20"/>
          <w:szCs w:val="20"/>
          <w:shd w:val="clear" w:color="auto" w:fill="FFFFFF"/>
        </w:rPr>
        <w:t>R</w:t>
      </w:r>
      <w:r>
        <w:rPr>
          <w:rFonts w:ascii="Arial" w:eastAsia="黑体" w:hAnsi="Arial" w:cs="Arial" w:hint="eastAsia"/>
          <w:color w:val="222222"/>
          <w:sz w:val="20"/>
          <w:szCs w:val="20"/>
          <w:shd w:val="clear" w:color="auto" w:fill="FFFFFF"/>
        </w:rPr>
        <w:t>程序，</w:t>
      </w:r>
      <w:r>
        <w:rPr>
          <w:rFonts w:ascii="Arial" w:eastAsia="黑体" w:hAnsi="Arial" w:cs="Arial" w:hint="eastAsia"/>
          <w:color w:val="222222"/>
          <w:sz w:val="20"/>
          <w:szCs w:val="20"/>
          <w:shd w:val="clear" w:color="auto" w:fill="FFFFFF"/>
        </w:rPr>
        <w:t>continue</w:t>
      </w:r>
      <w:r>
        <w:rPr>
          <w:rFonts w:ascii="Arial" w:eastAsia="黑体" w:hAnsi="Arial" w:cs="Arial"/>
          <w:color w:val="222222"/>
          <w:sz w:val="20"/>
          <w:szCs w:val="20"/>
          <w:shd w:val="clear" w:color="auto" w:fill="FFFFFF"/>
        </w:rPr>
        <w:t>…</w:t>
      </w:r>
      <w:bookmarkStart w:id="0" w:name="_GoBack"/>
      <w:bookmarkEnd w:id="0"/>
    </w:p>
    <w:sectPr w:rsidR="00FB1BA8" w:rsidRPr="00E72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3DD3"/>
    <w:multiLevelType w:val="hybridMultilevel"/>
    <w:tmpl w:val="3704F1B2"/>
    <w:lvl w:ilvl="0" w:tplc="8F1CADA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05C31"/>
    <w:multiLevelType w:val="hybridMultilevel"/>
    <w:tmpl w:val="2C284092"/>
    <w:lvl w:ilvl="0" w:tplc="8F1CADA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74E32"/>
    <w:multiLevelType w:val="hybridMultilevel"/>
    <w:tmpl w:val="1576A4BE"/>
    <w:lvl w:ilvl="0" w:tplc="8F1CADA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2B77"/>
    <w:multiLevelType w:val="hybridMultilevel"/>
    <w:tmpl w:val="5BE4B33E"/>
    <w:lvl w:ilvl="0" w:tplc="8F1CADA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47"/>
    <w:rsid w:val="0004714C"/>
    <w:rsid w:val="00313AF1"/>
    <w:rsid w:val="00546F8C"/>
    <w:rsid w:val="00783F47"/>
    <w:rsid w:val="00E72AC4"/>
    <w:rsid w:val="00FB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70FE"/>
  <w15:chartTrackingRefBased/>
  <w15:docId w15:val="{EBB803B1-F2DB-4ED5-A392-91B2A77E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1BA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72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tide.dfci.harvard.edu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Xiaofan</dc:creator>
  <cp:keywords/>
  <dc:description/>
  <cp:lastModifiedBy>Lu Xiaofan</cp:lastModifiedBy>
  <cp:revision>4</cp:revision>
  <dcterms:created xsi:type="dcterms:W3CDTF">2019-06-06T02:47:00Z</dcterms:created>
  <dcterms:modified xsi:type="dcterms:W3CDTF">2019-06-06T03:04:00Z</dcterms:modified>
</cp:coreProperties>
</file>