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E12A3" w14:textId="77777777" w:rsidR="005E7828" w:rsidRDefault="00000000">
      <w:pPr>
        <w:pStyle w:val="AcademicTitle"/>
      </w:pPr>
      <w:r>
        <w:t>Credit Default Prediction: A Cost-Sensitive Classification Approach with SHAP Interpretability</w:t>
      </w:r>
    </w:p>
    <w:p w14:paraId="6F1DB554" w14:textId="77777777" w:rsidR="005E7828" w:rsidRDefault="005E7828"/>
    <w:p w14:paraId="61C2479B" w14:textId="77777777" w:rsidR="005E7828" w:rsidRDefault="00000000">
      <w:pPr>
        <w:pStyle w:val="Heading1"/>
      </w:pPr>
      <w:r>
        <w:t>Introduction and Motivation</w:t>
      </w:r>
    </w:p>
    <w:p w14:paraId="7541FB51" w14:textId="77777777" w:rsidR="005E7828" w:rsidRDefault="00000000">
      <w:pPr>
        <w:spacing w:line="360" w:lineRule="auto"/>
        <w:jc w:val="both"/>
      </w:pPr>
      <w:r>
        <w:t>In consumer finance, credit default prediction balances expected return against non-payment risk. Misclassifying a risky customer causes direct credit loss, while rejecting creditworthy customers reduces income opportunities. Traditional models optimize accuracy or F1-score, ignoring the asymmetric business costs: approving a defaulter (False Negative) typically costs 10× more than rejecting a good borrower (False Positive) due to Loss-Given-Default (45%) versus foregone profit margin (4.5%). Moreover, default events are rare (25.6% in our dataset), customer behavior evolves over time, and regulators demand transparent, explainable scoring systems.</w:t>
      </w:r>
    </w:p>
    <w:p w14:paraId="7F5355D9" w14:textId="77777777" w:rsidR="005E7828" w:rsidRDefault="00000000">
      <w:pPr>
        <w:spacing w:line="360" w:lineRule="auto"/>
        <w:jc w:val="both"/>
      </w:pPr>
      <w:r>
        <w:t>This study addresses these challenges by developing cost-sensitive credit models for small-amount loans (≤200,000 NT$) suitable for automated decisions. We compare five models—three glassbox (Ridge, Logistic Regression, Linear SVM) and two blackbox (LightGBM with L2/Cross-Entropy loss)—to examine how learning objectives affect predictive performance and business outcomes. Our final model (LightGBM with Cross-Entropy) achieves 0.7642 validation AUC and reduces business cost by 40% through threshold optimization (0.10 vs. F1-optimal 0.30). Using SHAP analysis, we demonstrate that payment behavior features dominate predictions while demographics show minimal impact, enabling focused data collection and regulatory compliance.</w:t>
      </w:r>
    </w:p>
    <w:p w14:paraId="3B1156C0" w14:textId="77777777" w:rsidR="005E7828" w:rsidRDefault="005E7828"/>
    <w:p w14:paraId="2339D367" w14:textId="77777777" w:rsidR="005E7828" w:rsidRDefault="00000000">
      <w:pPr>
        <w:pStyle w:val="Heading1"/>
      </w:pPr>
      <w:r>
        <w:t>Data and Methods</w:t>
      </w:r>
    </w:p>
    <w:p w14:paraId="7C6FCD1D" w14:textId="77777777" w:rsidR="005E7828" w:rsidRDefault="00000000">
      <w:pPr>
        <w:pStyle w:val="Heading2"/>
      </w:pPr>
      <w:r>
        <w:t>Dataset</w:t>
      </w:r>
    </w:p>
    <w:p w14:paraId="681CC24D" w14:textId="77777777" w:rsidR="005E7828" w:rsidRDefault="00000000">
      <w:pPr>
        <w:spacing w:line="360" w:lineRule="auto"/>
        <w:jc w:val="both"/>
      </w:pPr>
      <w:r>
        <w:t>We use the UCI Credit Card Default dataset (30,000 Taiwanese cardholders, April–September 2005, binary target for October 2005 default). Filtering to credit limits ≤200,000 NT$ yields 20,378 observations (25.6% default rate). Features include demographics (SEX, EDUCATION, MARRIAGE, AGE), credit limit, repayment status (PAY_1–PAY_6: -2=no consumption, -</w:t>
      </w:r>
      <w:r>
        <w:lastRenderedPageBreak/>
        <w:t>1=paid full, 0=revolving, 1-9=months late), bill amounts (BILL_AMT1–BILL_AMT6), and payment amounts (PAY_AMT1–PAY_AMT6). Data split: 60% training (12,226), 20% validation (4,076), 20% test (4,076), stratified by default rate.</w:t>
      </w:r>
    </w:p>
    <w:p w14:paraId="3256EC0D" w14:textId="77777777" w:rsidR="005E7828" w:rsidRDefault="00000000">
      <w:pPr>
        <w:pStyle w:val="Heading2"/>
      </w:pPr>
      <w:r>
        <w:t>Data Cleaning</w:t>
      </w:r>
    </w:p>
    <w:p w14:paraId="4BAA6DA9" w14:textId="77777777" w:rsidR="005E7828" w:rsidRDefault="00000000">
      <w:pPr>
        <w:spacing w:line="360" w:lineRule="auto"/>
        <w:jc w:val="both"/>
      </w:pPr>
      <w:r>
        <w:t>Quality checks confirmed no missing values and unique IDs. We consolidated invalid EDUCATION codes (0,5,6→4:others) and MARRIAGE code (0→3:others). Negative bills (2.25%, refunds) were retained. All payment statuses validated within [-2,9] range.</w:t>
      </w:r>
    </w:p>
    <w:p w14:paraId="643DDC69" w14:textId="77777777" w:rsidR="005E7828" w:rsidRDefault="00000000">
      <w:pPr>
        <w:pStyle w:val="Heading2"/>
      </w:pPr>
      <w:r>
        <w:t>Feature Engineering</w:t>
      </w:r>
    </w:p>
    <w:p w14:paraId="343D9730" w14:textId="77777777" w:rsidR="005E7828" w:rsidRDefault="00000000">
      <w:pPr>
        <w:spacing w:line="360" w:lineRule="auto"/>
        <w:jc w:val="both"/>
      </w:pPr>
      <w:r>
        <w:t xml:space="preserve">We created eight behavioral features from 6-month history using OLS slopes and statistical aggregations: </w:t>
      </w:r>
      <w:r>
        <w:rPr>
          <w:b/>
        </w:rPr>
        <w:t>BILL_SLOPE</w:t>
      </w:r>
      <w:r>
        <w:t xml:space="preserve"> (bill trend), </w:t>
      </w:r>
      <w:r>
        <w:rPr>
          <w:b/>
        </w:rPr>
        <w:t>PAY_SLOPE</w:t>
      </w:r>
      <w:r>
        <w:t xml:space="preserve"> (payment trend), </w:t>
      </w:r>
      <w:r>
        <w:rPr>
          <w:b/>
        </w:rPr>
        <w:t>DELINQUENCY_PERSISTENCE</w:t>
      </w:r>
      <w:r>
        <w:t xml:space="preserve"> (max consecutive late months), </w:t>
      </w:r>
      <w:r>
        <w:rPr>
          <w:b/>
        </w:rPr>
        <w:t>MAX_DELINQUENCY</w:t>
      </w:r>
      <w:r>
        <w:t xml:space="preserve"> (worst delay), </w:t>
      </w:r>
      <w:r>
        <w:rPr>
          <w:b/>
        </w:rPr>
        <w:t>REPAYMENT_RATIO</w:t>
      </w:r>
      <w:r>
        <w:t xml:space="preserve"> (total pay/bills), </w:t>
      </w:r>
      <w:r>
        <w:rPr>
          <w:b/>
        </w:rPr>
        <w:t>REPAYMENT_STABILITY</w:t>
      </w:r>
      <w:r>
        <w:t xml:space="preserve"> (payment std dev), </w:t>
      </w:r>
      <w:r>
        <w:rPr>
          <w:b/>
        </w:rPr>
        <w:t>UTILIZATION_RATE</w:t>
      </w:r>
      <w:r>
        <w:t xml:space="preserve"> (avg bills/credit limit), </w:t>
      </w:r>
      <w:r>
        <w:rPr>
          <w:b/>
        </w:rPr>
        <w:t>UTILIZATION_TREND</w:t>
      </w:r>
      <w:r>
        <w:t xml:space="preserve"> (utilization change). Total: 31 features (23 original + 8 engineered).</w:t>
      </w:r>
    </w:p>
    <w:p w14:paraId="39DDED9F" w14:textId="77777777" w:rsidR="005E7828" w:rsidRDefault="005E7828"/>
    <w:p w14:paraId="11F1B6CB" w14:textId="77777777" w:rsidR="005E7828" w:rsidRDefault="00000000">
      <w:pPr>
        <w:pStyle w:val="Heading1"/>
      </w:pPr>
      <w:r>
        <w:t>Model Development and Comparison</w:t>
      </w:r>
    </w:p>
    <w:p w14:paraId="00FE4EE9" w14:textId="77777777" w:rsidR="005E7828" w:rsidRDefault="00000000">
      <w:pPr>
        <w:pStyle w:val="Heading2"/>
      </w:pPr>
      <w:r>
        <w:t>Model Specifications</w:t>
      </w:r>
    </w:p>
    <w:p w14:paraId="3725E6DC" w14:textId="77777777" w:rsidR="005E7828" w:rsidRDefault="00000000">
      <w:pPr>
        <w:spacing w:line="360" w:lineRule="auto"/>
        <w:jc w:val="both"/>
      </w:pPr>
      <w:r>
        <w:rPr>
          <w:b/>
        </w:rPr>
        <w:t>Glassbox Models</w:t>
      </w:r>
      <w:r>
        <w:t xml:space="preserve">: (1) </w:t>
      </w:r>
      <w:r>
        <w:rPr>
          <w:b/>
        </w:rPr>
        <w:t>Ridge Regression</w:t>
      </w:r>
      <w:r>
        <w:t xml:space="preserve"> uses L2-penalized least squares (GridSearchCV: α=1, best), providing a baseline for classification-via-regression. (2) </w:t>
      </w:r>
      <w:r>
        <w:rPr>
          <w:b/>
        </w:rPr>
        <w:t>Logistic Regression</w:t>
      </w:r>
      <w:r>
        <w:t xml:space="preserve"> links predictors to default probability via logistic function (C=10, class_weight=balanced), offering transparent log-odds coefficients. (3) </w:t>
      </w:r>
      <w:r>
        <w:rPr>
          <w:b/>
        </w:rPr>
        <w:t>Linear SVM</w:t>
      </w:r>
      <w:r>
        <w:t xml:space="preserve"> applies margin-based classification with squared hinge loss (C=1, class_weight=balanced), calibrated via CalibratedClassifierCV for probability outputs.</w:t>
      </w:r>
    </w:p>
    <w:p w14:paraId="441651D3" w14:textId="77777777" w:rsidR="005E7828" w:rsidRDefault="00000000">
      <w:pPr>
        <w:spacing w:line="360" w:lineRule="auto"/>
        <w:jc w:val="both"/>
      </w:pPr>
      <w:r>
        <w:rPr>
          <w:b/>
        </w:rPr>
        <w:t>Blackbox Models</w:t>
      </w:r>
      <w:r>
        <w:t xml:space="preserve">: (1) </w:t>
      </w:r>
      <w:r>
        <w:rPr>
          <w:b/>
        </w:rPr>
        <w:t>LightGBM Regressor (L2)</w:t>
      </w:r>
      <w:r>
        <w:t xml:space="preserve"> uses gradient-boosted trees with squared error, capturing non-linear interactions without heavy feature engineering. (2) </w:t>
      </w:r>
      <w:r>
        <w:rPr>
          <w:b/>
        </w:rPr>
        <w:t>LightGBM Classifier (Cross-Entropy)</w:t>
      </w:r>
      <w:r>
        <w:t xml:space="preserve"> optimizes binary cross-entropy for probability outputs, combined with SHAP TreeExplainer for post-hoc interpretability.</w:t>
      </w:r>
    </w:p>
    <w:p w14:paraId="274DF108" w14:textId="77777777" w:rsidR="005E7828" w:rsidRDefault="00000000">
      <w:pPr>
        <w:pStyle w:val="Heading2"/>
      </w:pPr>
      <w:r>
        <w:lastRenderedPageBreak/>
        <w:t>Performance Comparison</w:t>
      </w:r>
    </w:p>
    <w:tbl>
      <w:tblPr>
        <w:tblStyle w:val="LightGrid-Accent1"/>
        <w:tblW w:w="0" w:type="auto"/>
        <w:tblLook w:val="04A0" w:firstRow="1" w:lastRow="0" w:firstColumn="1" w:lastColumn="0" w:noHBand="0" w:noVBand="1"/>
      </w:tblPr>
      <w:tblGrid>
        <w:gridCol w:w="2340"/>
        <w:gridCol w:w="2340"/>
        <w:gridCol w:w="2340"/>
        <w:gridCol w:w="2340"/>
      </w:tblGrid>
      <w:tr w:rsidR="005E7828" w14:paraId="6A709C22" w14:textId="77777777" w:rsidTr="005E7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4249087" w14:textId="77777777" w:rsidR="005E7828" w:rsidRDefault="00000000">
            <w:pPr>
              <w:jc w:val="center"/>
            </w:pPr>
            <w:r>
              <w:rPr>
                <w:sz w:val="22"/>
              </w:rPr>
              <w:t>Model</w:t>
            </w:r>
          </w:p>
        </w:tc>
        <w:tc>
          <w:tcPr>
            <w:tcW w:w="2340" w:type="dxa"/>
          </w:tcPr>
          <w:p w14:paraId="39C975F7" w14:textId="77777777" w:rsidR="005E7828"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Type</w:t>
            </w:r>
          </w:p>
        </w:tc>
        <w:tc>
          <w:tcPr>
            <w:tcW w:w="2340" w:type="dxa"/>
          </w:tcPr>
          <w:p w14:paraId="00BF665E" w14:textId="77777777" w:rsidR="005E7828" w:rsidRDefault="00000000">
            <w:pPr>
              <w:jc w:val="center"/>
              <w:cnfStyle w:val="100000000000" w:firstRow="1" w:lastRow="0" w:firstColumn="0" w:lastColumn="0" w:oddVBand="0" w:evenVBand="0" w:oddHBand="0" w:evenHBand="0" w:firstRowFirstColumn="0" w:firstRowLastColumn="0" w:lastRowFirstColumn="0" w:lastRowLastColumn="0"/>
            </w:pPr>
            <w:r>
              <w:rPr>
                <w:sz w:val="22"/>
              </w:rPr>
              <w:t>Loss</w:t>
            </w:r>
          </w:p>
        </w:tc>
        <w:tc>
          <w:tcPr>
            <w:tcW w:w="2340" w:type="dxa"/>
          </w:tcPr>
          <w:p w14:paraId="49C6CB43" w14:textId="77777777" w:rsidR="005E7828" w:rsidRDefault="00000000">
            <w:pPr>
              <w:jc w:val="center"/>
              <w:cnfStyle w:val="100000000000" w:firstRow="1" w:lastRow="0" w:firstColumn="0" w:lastColumn="0" w:oddVBand="0" w:evenVBand="0" w:oddHBand="0" w:evenHBand="0" w:firstRowFirstColumn="0" w:firstRowLastColumn="0" w:lastRowFirstColumn="0" w:lastRowLastColumn="0"/>
            </w:pPr>
            <w:r>
              <w:rPr>
                <w:sz w:val="22"/>
              </w:rPr>
              <w:t>Validation AUC</w:t>
            </w:r>
          </w:p>
        </w:tc>
      </w:tr>
      <w:tr w:rsidR="005E7828" w14:paraId="1750F4D8" w14:textId="77777777" w:rsidTr="005E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D22C500" w14:textId="77777777" w:rsidR="005E7828" w:rsidRDefault="00000000">
            <w:r>
              <w:rPr>
                <w:sz w:val="20"/>
              </w:rPr>
              <w:t>Ridge Regression</w:t>
            </w:r>
          </w:p>
        </w:tc>
        <w:tc>
          <w:tcPr>
            <w:tcW w:w="2340" w:type="dxa"/>
          </w:tcPr>
          <w:p w14:paraId="39EC8C7C" w14:textId="77777777" w:rsidR="005E7828" w:rsidRDefault="00000000">
            <w:pPr>
              <w:cnfStyle w:val="000000100000" w:firstRow="0" w:lastRow="0" w:firstColumn="0" w:lastColumn="0" w:oddVBand="0" w:evenVBand="0" w:oddHBand="1" w:evenHBand="0" w:firstRowFirstColumn="0" w:firstRowLastColumn="0" w:lastRowFirstColumn="0" w:lastRowLastColumn="0"/>
            </w:pPr>
            <w:r>
              <w:rPr>
                <w:sz w:val="20"/>
              </w:rPr>
              <w:t>Glassbox</w:t>
            </w:r>
          </w:p>
        </w:tc>
        <w:tc>
          <w:tcPr>
            <w:tcW w:w="2340" w:type="dxa"/>
          </w:tcPr>
          <w:p w14:paraId="42D631B6" w14:textId="77777777" w:rsidR="005E7828" w:rsidRDefault="00000000">
            <w:pPr>
              <w:cnfStyle w:val="000000100000" w:firstRow="0" w:lastRow="0" w:firstColumn="0" w:lastColumn="0" w:oddVBand="0" w:evenVBand="0" w:oddHBand="1" w:evenHBand="0" w:firstRowFirstColumn="0" w:firstRowLastColumn="0" w:lastRowFirstColumn="0" w:lastRowLastColumn="0"/>
            </w:pPr>
            <w:r>
              <w:rPr>
                <w:sz w:val="20"/>
              </w:rPr>
              <w:t>L2</w:t>
            </w:r>
          </w:p>
        </w:tc>
        <w:tc>
          <w:tcPr>
            <w:tcW w:w="2340" w:type="dxa"/>
          </w:tcPr>
          <w:p w14:paraId="2E3DE397" w14:textId="77777777" w:rsidR="005E7828" w:rsidRDefault="00000000">
            <w:pPr>
              <w:cnfStyle w:val="000000100000" w:firstRow="0" w:lastRow="0" w:firstColumn="0" w:lastColumn="0" w:oddVBand="0" w:evenVBand="0" w:oddHBand="1" w:evenHBand="0" w:firstRowFirstColumn="0" w:firstRowLastColumn="0" w:lastRowFirstColumn="0" w:lastRowLastColumn="0"/>
            </w:pPr>
            <w:r>
              <w:rPr>
                <w:sz w:val="20"/>
              </w:rPr>
              <w:t>0.7385</w:t>
            </w:r>
          </w:p>
        </w:tc>
      </w:tr>
      <w:tr w:rsidR="005E7828" w14:paraId="3E8D68DD" w14:textId="77777777" w:rsidTr="005E78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7CDC5E8" w14:textId="77777777" w:rsidR="005E7828" w:rsidRDefault="00000000">
            <w:r>
              <w:rPr>
                <w:sz w:val="20"/>
              </w:rPr>
              <w:t>Logistic Regression</w:t>
            </w:r>
          </w:p>
        </w:tc>
        <w:tc>
          <w:tcPr>
            <w:tcW w:w="2340" w:type="dxa"/>
          </w:tcPr>
          <w:p w14:paraId="4C2E1B0A" w14:textId="77777777" w:rsidR="005E7828" w:rsidRDefault="00000000">
            <w:pPr>
              <w:cnfStyle w:val="000000010000" w:firstRow="0" w:lastRow="0" w:firstColumn="0" w:lastColumn="0" w:oddVBand="0" w:evenVBand="0" w:oddHBand="0" w:evenHBand="1" w:firstRowFirstColumn="0" w:firstRowLastColumn="0" w:lastRowFirstColumn="0" w:lastRowLastColumn="0"/>
            </w:pPr>
            <w:r>
              <w:rPr>
                <w:sz w:val="20"/>
              </w:rPr>
              <w:t>Glassbox</w:t>
            </w:r>
          </w:p>
        </w:tc>
        <w:tc>
          <w:tcPr>
            <w:tcW w:w="2340" w:type="dxa"/>
          </w:tcPr>
          <w:p w14:paraId="1FD02C98" w14:textId="77777777" w:rsidR="005E7828" w:rsidRDefault="00000000">
            <w:pPr>
              <w:cnfStyle w:val="000000010000" w:firstRow="0" w:lastRow="0" w:firstColumn="0" w:lastColumn="0" w:oddVBand="0" w:evenVBand="0" w:oddHBand="0" w:evenHBand="1" w:firstRowFirstColumn="0" w:firstRowLastColumn="0" w:lastRowFirstColumn="0" w:lastRowLastColumn="0"/>
            </w:pPr>
            <w:r>
              <w:rPr>
                <w:sz w:val="20"/>
              </w:rPr>
              <w:t>Log Loss</w:t>
            </w:r>
          </w:p>
        </w:tc>
        <w:tc>
          <w:tcPr>
            <w:tcW w:w="2340" w:type="dxa"/>
          </w:tcPr>
          <w:p w14:paraId="104B9485" w14:textId="77777777" w:rsidR="005E7828" w:rsidRDefault="00000000">
            <w:pPr>
              <w:cnfStyle w:val="000000010000" w:firstRow="0" w:lastRow="0" w:firstColumn="0" w:lastColumn="0" w:oddVBand="0" w:evenVBand="0" w:oddHBand="0" w:evenHBand="1" w:firstRowFirstColumn="0" w:firstRowLastColumn="0" w:lastRowFirstColumn="0" w:lastRowLastColumn="0"/>
            </w:pPr>
            <w:r>
              <w:rPr>
                <w:sz w:val="20"/>
              </w:rPr>
              <w:t>0.7449</w:t>
            </w:r>
          </w:p>
        </w:tc>
      </w:tr>
      <w:tr w:rsidR="005E7828" w14:paraId="705EFD1A" w14:textId="77777777" w:rsidTr="005E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1FCC91D" w14:textId="77777777" w:rsidR="005E7828" w:rsidRDefault="00000000">
            <w:r>
              <w:rPr>
                <w:sz w:val="20"/>
              </w:rPr>
              <w:t>Linear SVM</w:t>
            </w:r>
          </w:p>
        </w:tc>
        <w:tc>
          <w:tcPr>
            <w:tcW w:w="2340" w:type="dxa"/>
          </w:tcPr>
          <w:p w14:paraId="69BC4DC7" w14:textId="77777777" w:rsidR="005E7828" w:rsidRDefault="00000000">
            <w:pPr>
              <w:cnfStyle w:val="000000100000" w:firstRow="0" w:lastRow="0" w:firstColumn="0" w:lastColumn="0" w:oddVBand="0" w:evenVBand="0" w:oddHBand="1" w:evenHBand="0" w:firstRowFirstColumn="0" w:firstRowLastColumn="0" w:lastRowFirstColumn="0" w:lastRowLastColumn="0"/>
            </w:pPr>
            <w:r>
              <w:rPr>
                <w:sz w:val="20"/>
              </w:rPr>
              <w:t>Glassbox</w:t>
            </w:r>
          </w:p>
        </w:tc>
        <w:tc>
          <w:tcPr>
            <w:tcW w:w="2340" w:type="dxa"/>
          </w:tcPr>
          <w:p w14:paraId="7800A8E0" w14:textId="77777777" w:rsidR="005E7828" w:rsidRDefault="00000000">
            <w:pPr>
              <w:cnfStyle w:val="000000100000" w:firstRow="0" w:lastRow="0" w:firstColumn="0" w:lastColumn="0" w:oddVBand="0" w:evenVBand="0" w:oddHBand="1" w:evenHBand="0" w:firstRowFirstColumn="0" w:firstRowLastColumn="0" w:lastRowFirstColumn="0" w:lastRowLastColumn="0"/>
            </w:pPr>
            <w:r>
              <w:rPr>
                <w:sz w:val="20"/>
              </w:rPr>
              <w:t>Hinge</w:t>
            </w:r>
          </w:p>
        </w:tc>
        <w:tc>
          <w:tcPr>
            <w:tcW w:w="2340" w:type="dxa"/>
          </w:tcPr>
          <w:p w14:paraId="4C5B948F" w14:textId="77777777" w:rsidR="005E7828" w:rsidRDefault="00000000">
            <w:pPr>
              <w:cnfStyle w:val="000000100000" w:firstRow="0" w:lastRow="0" w:firstColumn="0" w:lastColumn="0" w:oddVBand="0" w:evenVBand="0" w:oddHBand="1" w:evenHBand="0" w:firstRowFirstColumn="0" w:firstRowLastColumn="0" w:lastRowFirstColumn="0" w:lastRowLastColumn="0"/>
            </w:pPr>
            <w:r>
              <w:rPr>
                <w:sz w:val="20"/>
              </w:rPr>
              <w:t>0.7442</w:t>
            </w:r>
          </w:p>
        </w:tc>
      </w:tr>
      <w:tr w:rsidR="005E7828" w14:paraId="179B9DD5" w14:textId="77777777" w:rsidTr="005E78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720AF68" w14:textId="77777777" w:rsidR="005E7828" w:rsidRDefault="00000000">
            <w:r>
              <w:rPr>
                <w:sz w:val="20"/>
              </w:rPr>
              <w:t>LightGBM (L2)</w:t>
            </w:r>
          </w:p>
        </w:tc>
        <w:tc>
          <w:tcPr>
            <w:tcW w:w="2340" w:type="dxa"/>
          </w:tcPr>
          <w:p w14:paraId="0BF5DE0F" w14:textId="77777777" w:rsidR="005E7828" w:rsidRDefault="00000000">
            <w:pPr>
              <w:cnfStyle w:val="000000010000" w:firstRow="0" w:lastRow="0" w:firstColumn="0" w:lastColumn="0" w:oddVBand="0" w:evenVBand="0" w:oddHBand="0" w:evenHBand="1" w:firstRowFirstColumn="0" w:firstRowLastColumn="0" w:lastRowFirstColumn="0" w:lastRowLastColumn="0"/>
            </w:pPr>
            <w:r>
              <w:rPr>
                <w:sz w:val="20"/>
              </w:rPr>
              <w:t>Blackbox</w:t>
            </w:r>
          </w:p>
        </w:tc>
        <w:tc>
          <w:tcPr>
            <w:tcW w:w="2340" w:type="dxa"/>
          </w:tcPr>
          <w:p w14:paraId="72549E8B" w14:textId="77777777" w:rsidR="005E7828" w:rsidRDefault="00000000">
            <w:pPr>
              <w:cnfStyle w:val="000000010000" w:firstRow="0" w:lastRow="0" w:firstColumn="0" w:lastColumn="0" w:oddVBand="0" w:evenVBand="0" w:oddHBand="0" w:evenHBand="1" w:firstRowFirstColumn="0" w:firstRowLastColumn="0" w:lastRowFirstColumn="0" w:lastRowLastColumn="0"/>
            </w:pPr>
            <w:r>
              <w:rPr>
                <w:sz w:val="20"/>
              </w:rPr>
              <w:t>L2</w:t>
            </w:r>
          </w:p>
        </w:tc>
        <w:tc>
          <w:tcPr>
            <w:tcW w:w="2340" w:type="dxa"/>
          </w:tcPr>
          <w:p w14:paraId="33532412" w14:textId="77777777" w:rsidR="005E7828" w:rsidRDefault="00000000">
            <w:pPr>
              <w:cnfStyle w:val="000000010000" w:firstRow="0" w:lastRow="0" w:firstColumn="0" w:lastColumn="0" w:oddVBand="0" w:evenVBand="0" w:oddHBand="0" w:evenHBand="1" w:firstRowFirstColumn="0" w:firstRowLastColumn="0" w:lastRowFirstColumn="0" w:lastRowLastColumn="0"/>
            </w:pPr>
            <w:r>
              <w:rPr>
                <w:sz w:val="20"/>
              </w:rPr>
              <w:t>0.7599</w:t>
            </w:r>
          </w:p>
        </w:tc>
      </w:tr>
      <w:tr w:rsidR="005E7828" w14:paraId="078FC7FD" w14:textId="77777777" w:rsidTr="005E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802BF4F" w14:textId="77777777" w:rsidR="005E7828" w:rsidRDefault="00000000">
            <w:r>
              <w:rPr>
                <w:sz w:val="20"/>
              </w:rPr>
              <w:t>LightGBM (CE)</w:t>
            </w:r>
          </w:p>
        </w:tc>
        <w:tc>
          <w:tcPr>
            <w:tcW w:w="2340" w:type="dxa"/>
          </w:tcPr>
          <w:p w14:paraId="2C7205C1" w14:textId="77777777" w:rsidR="005E7828" w:rsidRDefault="00000000">
            <w:pPr>
              <w:cnfStyle w:val="000000100000" w:firstRow="0" w:lastRow="0" w:firstColumn="0" w:lastColumn="0" w:oddVBand="0" w:evenVBand="0" w:oddHBand="1" w:evenHBand="0" w:firstRowFirstColumn="0" w:firstRowLastColumn="0" w:lastRowFirstColumn="0" w:lastRowLastColumn="0"/>
            </w:pPr>
            <w:r>
              <w:rPr>
                <w:sz w:val="20"/>
              </w:rPr>
              <w:t>Blackbox</w:t>
            </w:r>
          </w:p>
        </w:tc>
        <w:tc>
          <w:tcPr>
            <w:tcW w:w="2340" w:type="dxa"/>
          </w:tcPr>
          <w:p w14:paraId="2D537E9A" w14:textId="77777777" w:rsidR="005E7828" w:rsidRDefault="00000000">
            <w:pPr>
              <w:cnfStyle w:val="000000100000" w:firstRow="0" w:lastRow="0" w:firstColumn="0" w:lastColumn="0" w:oddVBand="0" w:evenVBand="0" w:oddHBand="1" w:evenHBand="0" w:firstRowFirstColumn="0" w:firstRowLastColumn="0" w:lastRowFirstColumn="0" w:lastRowLastColumn="0"/>
            </w:pPr>
            <w:r>
              <w:rPr>
                <w:sz w:val="20"/>
              </w:rPr>
              <w:t>Cross-Entropy</w:t>
            </w:r>
          </w:p>
        </w:tc>
        <w:tc>
          <w:tcPr>
            <w:tcW w:w="2340" w:type="dxa"/>
          </w:tcPr>
          <w:p w14:paraId="772CAA57" w14:textId="77777777" w:rsidR="005E7828" w:rsidRDefault="00000000">
            <w:pPr>
              <w:cnfStyle w:val="000000100000" w:firstRow="0" w:lastRow="0" w:firstColumn="0" w:lastColumn="0" w:oddVBand="0" w:evenVBand="0" w:oddHBand="1" w:evenHBand="0" w:firstRowFirstColumn="0" w:firstRowLastColumn="0" w:lastRowFirstColumn="0" w:lastRowLastColumn="0"/>
            </w:pPr>
            <w:r>
              <w:rPr>
                <w:sz w:val="20"/>
              </w:rPr>
              <w:t>0.7642</w:t>
            </w:r>
          </w:p>
        </w:tc>
      </w:tr>
    </w:tbl>
    <w:p w14:paraId="119D4CFB" w14:textId="4275AF1D" w:rsidR="005E7828" w:rsidRDefault="00000000">
      <w:pPr>
        <w:spacing w:line="360" w:lineRule="auto"/>
        <w:jc w:val="both"/>
      </w:pPr>
      <w:r>
        <w:t>All models achieved AUC 0.74–0.77, effectively separating defaulters. Logistic Regression and Linear SVM perform similarly (0.7449 vs. 0.7442), showing minimal effect of surrogate loss changes. LightGBM models outperform linear models by ~2%, with Cross-Entropy achieving highest AUC (0.7642), confirming tree-based models better capture non-linear payment behavior patterns. LightGBM with Cross-Entropy is selected as final model.</w:t>
      </w:r>
    </w:p>
    <w:p w14:paraId="5A9EF44D" w14:textId="77777777" w:rsidR="005E7828" w:rsidRDefault="005E7828"/>
    <w:p w14:paraId="1F0F13E1" w14:textId="77777777" w:rsidR="005E7828" w:rsidRDefault="00000000">
      <w:pPr>
        <w:pStyle w:val="Heading1"/>
      </w:pPr>
      <w:r>
        <w:t>Cost-Sensitive Threshold Optimization</w:t>
      </w:r>
    </w:p>
    <w:p w14:paraId="0FDED796" w14:textId="0ADED445" w:rsidR="005E7828" w:rsidRDefault="00000000">
      <w:pPr>
        <w:pStyle w:val="Heading2"/>
      </w:pPr>
      <w:r>
        <w:t>Cost Function Design</w:t>
      </w:r>
    </w:p>
    <w:tbl>
      <w:tblPr>
        <w:tblStyle w:val="LightGrid-Accent1"/>
        <w:tblW w:w="0" w:type="auto"/>
        <w:tblLook w:val="04A0" w:firstRow="1" w:lastRow="0" w:firstColumn="1" w:lastColumn="0" w:noHBand="0" w:noVBand="1"/>
      </w:tblPr>
      <w:tblGrid>
        <w:gridCol w:w="1560"/>
        <w:gridCol w:w="1560"/>
        <w:gridCol w:w="1560"/>
        <w:gridCol w:w="1560"/>
        <w:gridCol w:w="1560"/>
        <w:gridCol w:w="1560"/>
      </w:tblGrid>
      <w:tr w:rsidR="005E7828" w14:paraId="54443DC7" w14:textId="77777777" w:rsidTr="005E7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301534E" w14:textId="77777777" w:rsidR="005E7828" w:rsidRDefault="00000000">
            <w:pPr>
              <w:jc w:val="center"/>
            </w:pPr>
            <w:r>
              <w:rPr>
                <w:sz w:val="22"/>
              </w:rPr>
              <w:t>Threshold</w:t>
            </w:r>
          </w:p>
        </w:tc>
        <w:tc>
          <w:tcPr>
            <w:tcW w:w="1560" w:type="dxa"/>
          </w:tcPr>
          <w:p w14:paraId="14E5D1EC" w14:textId="77777777" w:rsidR="005E7828" w:rsidRDefault="00000000">
            <w:pPr>
              <w:jc w:val="center"/>
              <w:cnfStyle w:val="100000000000" w:firstRow="1" w:lastRow="0" w:firstColumn="0" w:lastColumn="0" w:oddVBand="0" w:evenVBand="0" w:oddHBand="0" w:evenHBand="0" w:firstRowFirstColumn="0" w:firstRowLastColumn="0" w:lastRowFirstColumn="0" w:lastRowLastColumn="0"/>
            </w:pPr>
            <w:r>
              <w:rPr>
                <w:sz w:val="22"/>
              </w:rPr>
              <w:t>Precision</w:t>
            </w:r>
          </w:p>
        </w:tc>
        <w:tc>
          <w:tcPr>
            <w:tcW w:w="1560" w:type="dxa"/>
          </w:tcPr>
          <w:p w14:paraId="4FB30481" w14:textId="77777777" w:rsidR="005E7828" w:rsidRDefault="00000000">
            <w:pPr>
              <w:jc w:val="center"/>
              <w:cnfStyle w:val="100000000000" w:firstRow="1" w:lastRow="0" w:firstColumn="0" w:lastColumn="0" w:oddVBand="0" w:evenVBand="0" w:oddHBand="0" w:evenHBand="0" w:firstRowFirstColumn="0" w:firstRowLastColumn="0" w:lastRowFirstColumn="0" w:lastRowLastColumn="0"/>
            </w:pPr>
            <w:r>
              <w:rPr>
                <w:sz w:val="22"/>
              </w:rPr>
              <w:t>Recall</w:t>
            </w:r>
          </w:p>
        </w:tc>
        <w:tc>
          <w:tcPr>
            <w:tcW w:w="1560" w:type="dxa"/>
          </w:tcPr>
          <w:p w14:paraId="21C0A46E" w14:textId="77777777" w:rsidR="005E7828" w:rsidRDefault="00000000">
            <w:pPr>
              <w:jc w:val="center"/>
              <w:cnfStyle w:val="100000000000" w:firstRow="1" w:lastRow="0" w:firstColumn="0" w:lastColumn="0" w:oddVBand="0" w:evenVBand="0" w:oddHBand="0" w:evenHBand="0" w:firstRowFirstColumn="0" w:firstRowLastColumn="0" w:lastRowFirstColumn="0" w:lastRowLastColumn="0"/>
            </w:pPr>
            <w:r>
              <w:rPr>
                <w:sz w:val="22"/>
              </w:rPr>
              <w:t>F1</w:t>
            </w:r>
          </w:p>
        </w:tc>
        <w:tc>
          <w:tcPr>
            <w:tcW w:w="1560" w:type="dxa"/>
          </w:tcPr>
          <w:p w14:paraId="7670C216" w14:textId="77777777" w:rsidR="005E7828" w:rsidRDefault="00000000">
            <w:pPr>
              <w:jc w:val="center"/>
              <w:cnfStyle w:val="100000000000" w:firstRow="1" w:lastRow="0" w:firstColumn="0" w:lastColumn="0" w:oddVBand="0" w:evenVBand="0" w:oddHBand="0" w:evenHBand="0" w:firstRowFirstColumn="0" w:firstRowLastColumn="0" w:lastRowFirstColumn="0" w:lastRowLastColumn="0"/>
            </w:pPr>
            <w:r>
              <w:rPr>
                <w:sz w:val="22"/>
              </w:rPr>
              <w:t>Cost</w:t>
            </w:r>
          </w:p>
        </w:tc>
        <w:tc>
          <w:tcPr>
            <w:tcW w:w="1560" w:type="dxa"/>
          </w:tcPr>
          <w:p w14:paraId="5ED2B3B0" w14:textId="77777777" w:rsidR="005E7828" w:rsidRDefault="00000000">
            <w:pPr>
              <w:jc w:val="center"/>
              <w:cnfStyle w:val="100000000000" w:firstRow="1" w:lastRow="0" w:firstColumn="0" w:lastColumn="0" w:oddVBand="0" w:evenVBand="0" w:oddHBand="0" w:evenHBand="0" w:firstRowFirstColumn="0" w:firstRowLastColumn="0" w:lastRowFirstColumn="0" w:lastRowLastColumn="0"/>
            </w:pPr>
            <w:r>
              <w:rPr>
                <w:sz w:val="22"/>
              </w:rPr>
              <w:t>Approval Rate</w:t>
            </w:r>
          </w:p>
        </w:tc>
      </w:tr>
      <w:tr w:rsidR="005E7828" w14:paraId="5F0939F9" w14:textId="77777777" w:rsidTr="005E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902E923" w14:textId="77777777" w:rsidR="005E7828" w:rsidRDefault="00000000">
            <w:r>
              <w:rPr>
                <w:sz w:val="20"/>
              </w:rPr>
              <w:t>F1-Optimal (0.30)</w:t>
            </w:r>
          </w:p>
        </w:tc>
        <w:tc>
          <w:tcPr>
            <w:tcW w:w="1560" w:type="dxa"/>
          </w:tcPr>
          <w:p w14:paraId="5FB6C87E" w14:textId="77777777" w:rsidR="005E7828" w:rsidRDefault="00000000">
            <w:pPr>
              <w:cnfStyle w:val="000000100000" w:firstRow="0" w:lastRow="0" w:firstColumn="0" w:lastColumn="0" w:oddVBand="0" w:evenVBand="0" w:oddHBand="1" w:evenHBand="0" w:firstRowFirstColumn="0" w:firstRowLastColumn="0" w:lastRowFirstColumn="0" w:lastRowLastColumn="0"/>
            </w:pPr>
            <w:r>
              <w:rPr>
                <w:sz w:val="20"/>
              </w:rPr>
              <w:t>51%</w:t>
            </w:r>
          </w:p>
        </w:tc>
        <w:tc>
          <w:tcPr>
            <w:tcW w:w="1560" w:type="dxa"/>
          </w:tcPr>
          <w:p w14:paraId="02366F61" w14:textId="77777777" w:rsidR="005E7828" w:rsidRDefault="00000000">
            <w:pPr>
              <w:cnfStyle w:val="000000100000" w:firstRow="0" w:lastRow="0" w:firstColumn="0" w:lastColumn="0" w:oddVBand="0" w:evenVBand="0" w:oddHBand="1" w:evenHBand="0" w:firstRowFirstColumn="0" w:firstRowLastColumn="0" w:lastRowFirstColumn="0" w:lastRowLastColumn="0"/>
            </w:pPr>
            <w:r>
              <w:rPr>
                <w:sz w:val="20"/>
              </w:rPr>
              <w:t>58%</w:t>
            </w:r>
          </w:p>
        </w:tc>
        <w:tc>
          <w:tcPr>
            <w:tcW w:w="1560" w:type="dxa"/>
          </w:tcPr>
          <w:p w14:paraId="7D5B9B66" w14:textId="77777777" w:rsidR="005E7828" w:rsidRDefault="00000000">
            <w:pPr>
              <w:cnfStyle w:val="000000100000" w:firstRow="0" w:lastRow="0" w:firstColumn="0" w:lastColumn="0" w:oddVBand="0" w:evenVBand="0" w:oddHBand="1" w:evenHBand="0" w:firstRowFirstColumn="0" w:firstRowLastColumn="0" w:lastRowFirstColumn="0" w:lastRowLastColumn="0"/>
            </w:pPr>
            <w:r>
              <w:rPr>
                <w:sz w:val="20"/>
              </w:rPr>
              <w:t>0.55</w:t>
            </w:r>
          </w:p>
        </w:tc>
        <w:tc>
          <w:tcPr>
            <w:tcW w:w="1560" w:type="dxa"/>
          </w:tcPr>
          <w:p w14:paraId="3E659CFB" w14:textId="77777777" w:rsidR="005E7828" w:rsidRDefault="00000000">
            <w:pPr>
              <w:cnfStyle w:val="000000100000" w:firstRow="0" w:lastRow="0" w:firstColumn="0" w:lastColumn="0" w:oddVBand="0" w:evenVBand="0" w:oddHBand="1" w:evenHBand="0" w:firstRowFirstColumn="0" w:firstRowLastColumn="0" w:lastRowFirstColumn="0" w:lastRowLastColumn="0"/>
            </w:pPr>
            <w:r>
              <w:rPr>
                <w:sz w:val="20"/>
              </w:rPr>
              <w:t>4,928</w:t>
            </w:r>
          </w:p>
        </w:tc>
        <w:tc>
          <w:tcPr>
            <w:tcW w:w="1560" w:type="dxa"/>
          </w:tcPr>
          <w:p w14:paraId="5B441C94" w14:textId="77777777" w:rsidR="005E7828" w:rsidRDefault="00000000">
            <w:pPr>
              <w:cnfStyle w:val="000000100000" w:firstRow="0" w:lastRow="0" w:firstColumn="0" w:lastColumn="0" w:oddVBand="0" w:evenVBand="0" w:oddHBand="1" w:evenHBand="0" w:firstRowFirstColumn="0" w:firstRowLastColumn="0" w:lastRowFirstColumn="0" w:lastRowLastColumn="0"/>
            </w:pPr>
            <w:r>
              <w:rPr>
                <w:sz w:val="20"/>
              </w:rPr>
              <w:t>72%</w:t>
            </w:r>
          </w:p>
        </w:tc>
      </w:tr>
      <w:tr w:rsidR="005E7828" w14:paraId="6B789E18" w14:textId="77777777" w:rsidTr="005E78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001E7FE" w14:textId="77777777" w:rsidR="005E7828" w:rsidRDefault="00000000">
            <w:r>
              <w:rPr>
                <w:sz w:val="20"/>
              </w:rPr>
              <w:t>Cost-Optimal (0.10)</w:t>
            </w:r>
          </w:p>
        </w:tc>
        <w:tc>
          <w:tcPr>
            <w:tcW w:w="1560" w:type="dxa"/>
          </w:tcPr>
          <w:p w14:paraId="642DA947" w14:textId="77777777" w:rsidR="005E7828" w:rsidRDefault="00000000">
            <w:pPr>
              <w:cnfStyle w:val="000000010000" w:firstRow="0" w:lastRow="0" w:firstColumn="0" w:lastColumn="0" w:oddVBand="0" w:evenVBand="0" w:oddHBand="0" w:evenHBand="1" w:firstRowFirstColumn="0" w:firstRowLastColumn="0" w:lastRowFirstColumn="0" w:lastRowLastColumn="0"/>
            </w:pPr>
            <w:r>
              <w:rPr>
                <w:sz w:val="20"/>
              </w:rPr>
              <w:t>32%</w:t>
            </w:r>
          </w:p>
        </w:tc>
        <w:tc>
          <w:tcPr>
            <w:tcW w:w="1560" w:type="dxa"/>
          </w:tcPr>
          <w:p w14:paraId="46C3F6DD" w14:textId="77777777" w:rsidR="005E7828" w:rsidRDefault="00000000">
            <w:pPr>
              <w:cnfStyle w:val="000000010000" w:firstRow="0" w:lastRow="0" w:firstColumn="0" w:lastColumn="0" w:oddVBand="0" w:evenVBand="0" w:oddHBand="0" w:evenHBand="1" w:firstRowFirstColumn="0" w:firstRowLastColumn="0" w:lastRowFirstColumn="0" w:lastRowLastColumn="0"/>
            </w:pPr>
            <w:r>
              <w:rPr>
                <w:sz w:val="20"/>
              </w:rPr>
              <w:t>91%</w:t>
            </w:r>
          </w:p>
        </w:tc>
        <w:tc>
          <w:tcPr>
            <w:tcW w:w="1560" w:type="dxa"/>
          </w:tcPr>
          <w:p w14:paraId="66E25D77" w14:textId="77777777" w:rsidR="005E7828" w:rsidRDefault="00000000">
            <w:pPr>
              <w:cnfStyle w:val="000000010000" w:firstRow="0" w:lastRow="0" w:firstColumn="0" w:lastColumn="0" w:oddVBand="0" w:evenVBand="0" w:oddHBand="0" w:evenHBand="1" w:firstRowFirstColumn="0" w:firstRowLastColumn="0" w:lastRowFirstColumn="0" w:lastRowLastColumn="0"/>
            </w:pPr>
            <w:r>
              <w:rPr>
                <w:sz w:val="20"/>
              </w:rPr>
              <w:t>0.48</w:t>
            </w:r>
          </w:p>
        </w:tc>
        <w:tc>
          <w:tcPr>
            <w:tcW w:w="1560" w:type="dxa"/>
          </w:tcPr>
          <w:p w14:paraId="15288EA0" w14:textId="77777777" w:rsidR="005E7828" w:rsidRDefault="00000000">
            <w:pPr>
              <w:cnfStyle w:val="000000010000" w:firstRow="0" w:lastRow="0" w:firstColumn="0" w:lastColumn="0" w:oddVBand="0" w:evenVBand="0" w:oddHBand="0" w:evenHBand="1" w:firstRowFirstColumn="0" w:firstRowLastColumn="0" w:lastRowFirstColumn="0" w:lastRowLastColumn="0"/>
            </w:pPr>
            <w:r>
              <w:rPr>
                <w:sz w:val="20"/>
              </w:rPr>
              <w:t>2,950</w:t>
            </w:r>
          </w:p>
        </w:tc>
        <w:tc>
          <w:tcPr>
            <w:tcW w:w="1560" w:type="dxa"/>
          </w:tcPr>
          <w:p w14:paraId="4FF45548" w14:textId="77777777" w:rsidR="005E7828" w:rsidRDefault="00000000">
            <w:pPr>
              <w:cnfStyle w:val="000000010000" w:firstRow="0" w:lastRow="0" w:firstColumn="0" w:lastColumn="0" w:oddVBand="0" w:evenVBand="0" w:oddHBand="0" w:evenHBand="1" w:firstRowFirstColumn="0" w:firstRowLastColumn="0" w:lastRowFirstColumn="0" w:lastRowLastColumn="0"/>
            </w:pPr>
            <w:r>
              <w:rPr>
                <w:sz w:val="20"/>
              </w:rPr>
              <w:t>28%</w:t>
            </w:r>
          </w:p>
        </w:tc>
      </w:tr>
    </w:tbl>
    <w:p w14:paraId="350ACD89" w14:textId="51DFE33F" w:rsidR="005E7828" w:rsidRDefault="00AD4D60">
      <w:pPr>
        <w:spacing w:line="360" w:lineRule="auto"/>
        <w:jc w:val="both"/>
      </w:pPr>
      <w:r>
        <w:rPr>
          <w:i/>
          <w:noProof/>
        </w:rPr>
        <w:drawing>
          <wp:anchor distT="0" distB="0" distL="114300" distR="114300" simplePos="0" relativeHeight="251647488" behindDoc="0" locked="0" layoutInCell="1" allowOverlap="1" wp14:anchorId="33053C8B" wp14:editId="701F6DF1">
            <wp:simplePos x="0" y="0"/>
            <wp:positionH relativeFrom="column">
              <wp:posOffset>1155700</wp:posOffset>
            </wp:positionH>
            <wp:positionV relativeFrom="paragraph">
              <wp:posOffset>749935</wp:posOffset>
            </wp:positionV>
            <wp:extent cx="3530600" cy="210128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0600" cy="2101287"/>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 xml:space="preserve">Switching to cost-optimal threshold achieves </w:t>
      </w:r>
      <w:r w:rsidR="00000000">
        <w:rPr>
          <w:b/>
        </w:rPr>
        <w:t>40% cost reduction</w:t>
      </w:r>
      <w:r w:rsidR="00000000">
        <w:t xml:space="preserve"> (4,928→2,950) and 91% recall (vs. 58%). The trade-off—higher false positives—is financially justified given 10:1 cost asymmetry. Figure 1 shows cost minimization at threshold=0.10.</w:t>
      </w:r>
    </w:p>
    <w:p w14:paraId="3283C3E6" w14:textId="77777777" w:rsidR="00AD4D60" w:rsidRDefault="00AD4D60">
      <w:pPr>
        <w:spacing w:line="360" w:lineRule="auto"/>
        <w:jc w:val="both"/>
        <w:rPr>
          <w:i/>
        </w:rPr>
      </w:pPr>
    </w:p>
    <w:p w14:paraId="6B426474" w14:textId="77777777" w:rsidR="00AD4D60" w:rsidRDefault="00AD4D60">
      <w:pPr>
        <w:spacing w:line="360" w:lineRule="auto"/>
        <w:jc w:val="both"/>
        <w:rPr>
          <w:i/>
        </w:rPr>
      </w:pPr>
    </w:p>
    <w:p w14:paraId="4A8DCECA" w14:textId="77777777" w:rsidR="00AD4D60" w:rsidRDefault="00AD4D60">
      <w:pPr>
        <w:spacing w:line="360" w:lineRule="auto"/>
        <w:jc w:val="both"/>
        <w:rPr>
          <w:i/>
        </w:rPr>
      </w:pPr>
    </w:p>
    <w:p w14:paraId="4E58CB46" w14:textId="1D60D887" w:rsidR="00AD4D60" w:rsidRDefault="00AD4D60">
      <w:pPr>
        <w:spacing w:line="360" w:lineRule="auto"/>
        <w:jc w:val="both"/>
        <w:rPr>
          <w:i/>
        </w:rPr>
      </w:pPr>
    </w:p>
    <w:p w14:paraId="275F6A1E" w14:textId="77777777" w:rsidR="00AD4D60" w:rsidRDefault="00AD4D60">
      <w:pPr>
        <w:spacing w:line="360" w:lineRule="auto"/>
        <w:jc w:val="both"/>
        <w:rPr>
          <w:i/>
        </w:rPr>
      </w:pPr>
    </w:p>
    <w:p w14:paraId="430A3704" w14:textId="00C99A96" w:rsidR="005E7828" w:rsidRDefault="00000000" w:rsidP="00AD4D60">
      <w:pPr>
        <w:spacing w:line="360" w:lineRule="auto"/>
        <w:jc w:val="both"/>
      </w:pPr>
      <w:r>
        <w:rPr>
          <w:i/>
        </w:rPr>
        <w:t>Figure 1: Total cost minimizes at threshold 0.10 (red), reducing cost 40% vs. F1-optimal 0.30 (green).</w:t>
      </w:r>
    </w:p>
    <w:p w14:paraId="79ED6034" w14:textId="77777777" w:rsidR="005E7828" w:rsidRDefault="00000000">
      <w:pPr>
        <w:pStyle w:val="Heading1"/>
      </w:pPr>
      <w:r>
        <w:lastRenderedPageBreak/>
        <w:t>Model Interpretation Using SHAP</w:t>
      </w:r>
    </w:p>
    <w:p w14:paraId="22909D3C" w14:textId="77777777" w:rsidR="005E7828" w:rsidRDefault="00000000">
      <w:pPr>
        <w:pStyle w:val="Heading2"/>
      </w:pPr>
      <w:r>
        <w:t>SHAP Methodology</w:t>
      </w:r>
    </w:p>
    <w:p w14:paraId="20ECC178" w14:textId="77777777" w:rsidR="005E7828" w:rsidRDefault="00000000">
      <w:pPr>
        <w:spacing w:line="360" w:lineRule="auto"/>
        <w:jc w:val="both"/>
      </w:pPr>
      <w:r>
        <w:t>SHAP (SHapley Additive exPlanations) quantifies each feature's contribution to predictions using Shapley values from game theory. Since SHAP only requires model inputs and outputs, it explains any blackbox model. As Gafsi (2025) notes, SHAP is widely accepted in banking for reconciling ML performance with regulatory transparency requirements.</w:t>
      </w:r>
    </w:p>
    <w:p w14:paraId="35C6D4B0" w14:textId="775A71C3" w:rsidR="005E7828" w:rsidRDefault="00AD4D60">
      <w:pPr>
        <w:pStyle w:val="Heading2"/>
      </w:pPr>
      <w:r>
        <w:rPr>
          <w:i/>
          <w:noProof/>
        </w:rPr>
        <w:drawing>
          <wp:anchor distT="0" distB="0" distL="114300" distR="114300" simplePos="0" relativeHeight="251659776" behindDoc="0" locked="0" layoutInCell="1" allowOverlap="1" wp14:anchorId="7F5E1B09" wp14:editId="19DADE6C">
            <wp:simplePos x="0" y="0"/>
            <wp:positionH relativeFrom="column">
              <wp:posOffset>-95700</wp:posOffset>
            </wp:positionH>
            <wp:positionV relativeFrom="paragraph">
              <wp:posOffset>362585</wp:posOffset>
            </wp:positionV>
            <wp:extent cx="2729045" cy="2546350"/>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29495" cy="254677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Global Feature Importance</w:t>
      </w:r>
    </w:p>
    <w:p w14:paraId="00F9DE0B" w14:textId="7043E2A3" w:rsidR="00AD4D60" w:rsidRDefault="00AD4D60">
      <w:pPr>
        <w:spacing w:line="360" w:lineRule="auto"/>
        <w:jc w:val="both"/>
        <w:rPr>
          <w:i/>
        </w:rPr>
      </w:pPr>
      <w:r>
        <w:rPr>
          <w:i/>
          <w:noProof/>
        </w:rPr>
        <w:drawing>
          <wp:anchor distT="0" distB="0" distL="114300" distR="114300" simplePos="0" relativeHeight="251668992" behindDoc="0" locked="0" layoutInCell="1" allowOverlap="1" wp14:anchorId="44FAE07A" wp14:editId="67CFB366">
            <wp:simplePos x="0" y="0"/>
            <wp:positionH relativeFrom="column">
              <wp:posOffset>3247390</wp:posOffset>
            </wp:positionH>
            <wp:positionV relativeFrom="paragraph">
              <wp:posOffset>29210</wp:posOffset>
            </wp:positionV>
            <wp:extent cx="2656703" cy="25019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6703" cy="2501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7E182E" w14:textId="170D7C09" w:rsidR="00AD4D60" w:rsidRDefault="00AD4D60">
      <w:pPr>
        <w:spacing w:line="360" w:lineRule="auto"/>
        <w:jc w:val="both"/>
        <w:rPr>
          <w:i/>
        </w:rPr>
      </w:pPr>
    </w:p>
    <w:p w14:paraId="6C8C3ACA" w14:textId="78FAE052" w:rsidR="00AD4D60" w:rsidRDefault="00AD4D60">
      <w:pPr>
        <w:spacing w:line="360" w:lineRule="auto"/>
        <w:jc w:val="both"/>
        <w:rPr>
          <w:i/>
        </w:rPr>
      </w:pPr>
    </w:p>
    <w:p w14:paraId="6A3EE71B" w14:textId="63A905A5" w:rsidR="00AD4D60" w:rsidRDefault="00AD4D60">
      <w:pPr>
        <w:spacing w:line="360" w:lineRule="auto"/>
        <w:jc w:val="both"/>
        <w:rPr>
          <w:i/>
        </w:rPr>
      </w:pPr>
    </w:p>
    <w:p w14:paraId="2A34BF73" w14:textId="1BB1ABC3" w:rsidR="00AD4D60" w:rsidRDefault="00AD4D60">
      <w:pPr>
        <w:spacing w:line="360" w:lineRule="auto"/>
        <w:jc w:val="both"/>
        <w:rPr>
          <w:i/>
        </w:rPr>
      </w:pPr>
    </w:p>
    <w:p w14:paraId="7DA0A4FA" w14:textId="77777777" w:rsidR="00AD4D60" w:rsidRDefault="00AD4D60">
      <w:pPr>
        <w:spacing w:line="360" w:lineRule="auto"/>
        <w:jc w:val="both"/>
        <w:rPr>
          <w:i/>
        </w:rPr>
      </w:pPr>
    </w:p>
    <w:p w14:paraId="0B8EB347" w14:textId="58F5D9FC" w:rsidR="00AD4D60" w:rsidRDefault="00AD4D60">
      <w:pPr>
        <w:spacing w:line="360" w:lineRule="auto"/>
        <w:jc w:val="both"/>
        <w:rPr>
          <w:i/>
        </w:rPr>
      </w:pPr>
    </w:p>
    <w:p w14:paraId="78A3A26E" w14:textId="216A7171" w:rsidR="005E7828" w:rsidRDefault="00000000">
      <w:pPr>
        <w:spacing w:line="360" w:lineRule="auto"/>
        <w:jc w:val="both"/>
      </w:pPr>
      <w:r>
        <w:rPr>
          <w:i/>
        </w:rPr>
        <w:t>Figure 2: Payment behavior dominates feature importance (SHAP values).</w:t>
      </w:r>
    </w:p>
    <w:p w14:paraId="393CE6E7" w14:textId="4589BC63" w:rsidR="005E7828" w:rsidRDefault="00000000">
      <w:pPr>
        <w:spacing w:line="360" w:lineRule="auto"/>
        <w:jc w:val="both"/>
      </w:pPr>
      <w:r>
        <w:rPr>
          <w:i/>
        </w:rPr>
        <w:t>Figure 3: High MAX_DELINQUENCY (red dots, right) increases default risk; paid-in-full status (blue, left) decreases risk.</w:t>
      </w:r>
    </w:p>
    <w:p w14:paraId="707307C7" w14:textId="77777777" w:rsidR="005E7828" w:rsidRDefault="00000000">
      <w:pPr>
        <w:pStyle w:val="Heading2"/>
      </w:pPr>
      <w:r>
        <w:t>Local Case Studies</w:t>
      </w:r>
    </w:p>
    <w:p w14:paraId="07FE51A9" w14:textId="77777777" w:rsidR="005E7828" w:rsidRDefault="00000000">
      <w:pPr>
        <w:spacing w:line="360" w:lineRule="auto"/>
        <w:jc w:val="both"/>
      </w:pPr>
      <w:r>
        <w:rPr>
          <w:b/>
        </w:rPr>
        <w:t>True Positive</w:t>
      </w:r>
      <w:r>
        <w:t xml:space="preserve"> (predicted 0.78, actual default): MAX_DELINQUENCY=8 (+0.95 SHAP), PAY_1=4 (+0.42), UTILIZATION_RATE=1.2 (+0.28, over limit). Clear high-risk profile.</w:t>
      </w:r>
    </w:p>
    <w:p w14:paraId="428F7751" w14:textId="77777777" w:rsidR="005E7828" w:rsidRDefault="00000000">
      <w:pPr>
        <w:spacing w:line="360" w:lineRule="auto"/>
        <w:jc w:val="both"/>
      </w:pPr>
      <w:r>
        <w:rPr>
          <w:b/>
        </w:rPr>
        <w:t>False Positive</w:t>
      </w:r>
      <w:r>
        <w:t xml:space="preserve"> (predicted 0.71, actual non-default): MAX_DELINQUENCY=6 (+0.72), PAY_1=2 (+0.31), but REPAYMENT_RATIO=0.9 (-0.22). Model flagged past late history; client was recovering—acceptable trade-off of conservative threshold.</w:t>
      </w:r>
    </w:p>
    <w:p w14:paraId="14E13DBD" w14:textId="77777777" w:rsidR="005E7828" w:rsidRDefault="00000000">
      <w:pPr>
        <w:spacing w:line="360" w:lineRule="auto"/>
        <w:jc w:val="both"/>
      </w:pPr>
      <w:r>
        <w:rPr>
          <w:b/>
        </w:rPr>
        <w:lastRenderedPageBreak/>
        <w:t>False Negative</w:t>
      </w:r>
      <w:r>
        <w:t xml:space="preserve"> (predicted 0.22, actual default): PAY_1=0 (-0.31, revolving), MAX_DELINQUENCY=2 (+0.15), low bills (-0.18). Sudden default without warning—9% slip-through acceptable given cost-benefit.</w:t>
      </w:r>
    </w:p>
    <w:p w14:paraId="200A30F0" w14:textId="77777777" w:rsidR="005E7828" w:rsidRDefault="005E7828"/>
    <w:p w14:paraId="42042048" w14:textId="77777777" w:rsidR="005E7828" w:rsidRDefault="00000000">
      <w:pPr>
        <w:pStyle w:val="Heading1"/>
      </w:pPr>
      <w:r>
        <w:t>Final Model and Business Recommendations</w:t>
      </w:r>
    </w:p>
    <w:p w14:paraId="335753BB" w14:textId="77777777" w:rsidR="005E7828" w:rsidRDefault="00000000">
      <w:pPr>
        <w:pStyle w:val="Heading2"/>
      </w:pPr>
      <w:r>
        <w:t>Model Selection</w:t>
      </w:r>
    </w:p>
    <w:p w14:paraId="38340427" w14:textId="77777777" w:rsidR="005E7828" w:rsidRDefault="00000000">
      <w:pPr>
        <w:spacing w:line="360" w:lineRule="auto"/>
        <w:jc w:val="both"/>
      </w:pPr>
      <w:r>
        <w:t>LightGBM with Cross-Entropy is selected based on: (1) Highest validation AUC (0.7642 vs. 0.7449 for best glassbox), (2) Lowest cost (2,950 vs. 2,987 for Logistic Regression), (3) Practical approval rate (28% vs. 5%), (4) SHAP interpretability, (5) 91% recall. While glassbox models offer intrinsic interpretability, LightGBM's 2% AUC gain and 23% higher approval rate justify blackbox+SHAP. SHAP provides actionable insights comparable to coefficients while capturing non-linear interactions.</w:t>
      </w:r>
    </w:p>
    <w:p w14:paraId="3E901021" w14:textId="77777777" w:rsidR="005E7828" w:rsidRDefault="00000000">
      <w:pPr>
        <w:pStyle w:val="Heading2"/>
      </w:pPr>
      <w:r>
        <w:t>Deployment Strategy</w:t>
      </w:r>
    </w:p>
    <w:p w14:paraId="37C7922A" w14:textId="77777777" w:rsidR="005E7828" w:rsidRDefault="00000000">
      <w:pPr>
        <w:spacing w:line="360" w:lineRule="auto"/>
        <w:jc w:val="both"/>
      </w:pPr>
      <w:r>
        <w:rPr>
          <w:b/>
        </w:rPr>
        <w:t>Threshold policy</w:t>
      </w:r>
      <w:r>
        <w:t>: Use 0.10 to minimize cost and detect 91% of defaulters. Implement three-tier system: (1) Auto-approve &lt;0.05 (safest 5%), (2) Auto-reject &gt;0.10 (risky 72%), (3) Manual review 0.05–0.10 (borderline 23%). Monitor actual FN/FP costs monthly, recalibrate if recovery rates change, retrain quarterly.</w:t>
      </w:r>
    </w:p>
    <w:p w14:paraId="7E3F165E" w14:textId="77777777" w:rsidR="005E7828" w:rsidRDefault="005E7828"/>
    <w:p w14:paraId="554A0E6E" w14:textId="77777777" w:rsidR="005E7828" w:rsidRDefault="00000000">
      <w:pPr>
        <w:pStyle w:val="Heading1"/>
      </w:pPr>
      <w:r w:rsidRPr="00AD4D60">
        <w:rPr>
          <w:highlight w:val="yellow"/>
        </w:rPr>
        <w:t>Conclusion</w:t>
      </w:r>
    </w:p>
    <w:p w14:paraId="15187C96" w14:textId="77777777" w:rsidR="005E7828" w:rsidRDefault="005E7828"/>
    <w:p w14:paraId="67704C2C" w14:textId="77777777" w:rsidR="005E7828" w:rsidRDefault="00000000">
      <w:pPr>
        <w:pStyle w:val="Heading1"/>
      </w:pPr>
      <w:r>
        <w:t>References</w:t>
      </w:r>
    </w:p>
    <w:p w14:paraId="5A273157" w14:textId="77777777" w:rsidR="005E7828" w:rsidRDefault="00000000">
      <w:pPr>
        <w:spacing w:line="360" w:lineRule="auto"/>
        <w:jc w:val="both"/>
      </w:pPr>
      <w:r>
        <w:t xml:space="preserve">Bank for International Settlements. (2005). </w:t>
      </w:r>
      <w:r>
        <w:rPr>
          <w:i/>
        </w:rPr>
        <w:t>Studies on the validation of internal rating systems</w:t>
      </w:r>
      <w:r>
        <w:t xml:space="preserve"> (Working Paper No. 14). BIS. https://www.bis.org/publ/bcbs_wp14.htm</w:t>
      </w:r>
    </w:p>
    <w:p w14:paraId="2C9CAC06" w14:textId="77777777" w:rsidR="005E7828" w:rsidRDefault="00000000">
      <w:pPr>
        <w:spacing w:line="360" w:lineRule="auto"/>
        <w:jc w:val="both"/>
      </w:pPr>
      <w:r>
        <w:t xml:space="preserve">Gafsi, N. (2025). Machine Learning Approaches to Credit Risk: Comparative Evidence from Participation and Conventional Banks in the UK. </w:t>
      </w:r>
      <w:r>
        <w:rPr>
          <w:i/>
        </w:rPr>
        <w:t>Journal of Risk and Financial Management</w:t>
      </w:r>
      <w:r>
        <w:t xml:space="preserve">, </w:t>
      </w:r>
      <w:r>
        <w:rPr>
          <w:i/>
        </w:rPr>
        <w:t>18</w:t>
      </w:r>
      <w:r>
        <w:t>(7), 345. https://doi.org/10.3390/jrfm18070345</w:t>
      </w:r>
    </w:p>
    <w:p w14:paraId="11803EB8" w14:textId="77777777" w:rsidR="005E7828" w:rsidRDefault="00000000">
      <w:pPr>
        <w:spacing w:line="360" w:lineRule="auto"/>
        <w:jc w:val="both"/>
      </w:pPr>
      <w:r>
        <w:lastRenderedPageBreak/>
        <w:t xml:space="preserve">Lessmann, S., Baesens, B., Seow, H. V., &amp; Thomas, L. C. (2015). Benchmarking state-of-the-art classification algorithms for credit scoring: A ten-year update. </w:t>
      </w:r>
      <w:r>
        <w:rPr>
          <w:i/>
        </w:rPr>
        <w:t>European Journal of Operational Research</w:t>
      </w:r>
      <w:r>
        <w:t xml:space="preserve">, </w:t>
      </w:r>
      <w:r>
        <w:rPr>
          <w:i/>
        </w:rPr>
        <w:t>247</w:t>
      </w:r>
      <w:r>
        <w:t>(1), 124–136. https://doi.org/10.1016/j.ejor.2015.05.030</w:t>
      </w:r>
    </w:p>
    <w:sectPr w:rsidR="005E7828"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12D8" w14:textId="77777777" w:rsidR="0073155C" w:rsidRDefault="0073155C" w:rsidP="00AD4D60">
      <w:pPr>
        <w:spacing w:after="0" w:line="240" w:lineRule="auto"/>
      </w:pPr>
      <w:r>
        <w:separator/>
      </w:r>
    </w:p>
  </w:endnote>
  <w:endnote w:type="continuationSeparator" w:id="0">
    <w:p w14:paraId="7C56C3FE" w14:textId="77777777" w:rsidR="0073155C" w:rsidRDefault="0073155C" w:rsidP="00AD4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CC208" w14:textId="77777777" w:rsidR="0073155C" w:rsidRDefault="0073155C" w:rsidP="00AD4D60">
      <w:pPr>
        <w:spacing w:after="0" w:line="240" w:lineRule="auto"/>
      </w:pPr>
      <w:r>
        <w:separator/>
      </w:r>
    </w:p>
  </w:footnote>
  <w:footnote w:type="continuationSeparator" w:id="0">
    <w:p w14:paraId="12DE5F44" w14:textId="77777777" w:rsidR="0073155C" w:rsidRDefault="0073155C" w:rsidP="00AD4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8426899">
    <w:abstractNumId w:val="8"/>
  </w:num>
  <w:num w:numId="2" w16cid:durableId="903688369">
    <w:abstractNumId w:val="6"/>
  </w:num>
  <w:num w:numId="3" w16cid:durableId="1105152520">
    <w:abstractNumId w:val="5"/>
  </w:num>
  <w:num w:numId="4" w16cid:durableId="469520421">
    <w:abstractNumId w:val="4"/>
  </w:num>
  <w:num w:numId="5" w16cid:durableId="1626694548">
    <w:abstractNumId w:val="7"/>
  </w:num>
  <w:num w:numId="6" w16cid:durableId="560793443">
    <w:abstractNumId w:val="3"/>
  </w:num>
  <w:num w:numId="7" w16cid:durableId="233396967">
    <w:abstractNumId w:val="2"/>
  </w:num>
  <w:num w:numId="8" w16cid:durableId="1191341013">
    <w:abstractNumId w:val="1"/>
  </w:num>
  <w:num w:numId="9" w16cid:durableId="154555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7828"/>
    <w:rsid w:val="0073155C"/>
    <w:rsid w:val="00AA1D8D"/>
    <w:rsid w:val="00AD4D6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1D2733"/>
  <w14:defaultImageDpi w14:val="300"/>
  <w15:docId w15:val="{7C109564-5B9C-4E11-8438-444431372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Title">
    <w:name w:val="Academic Title"/>
    <w:pPr>
      <w:spacing w:after="240"/>
      <w:jc w:val="center"/>
    </w:pPr>
    <w:rPr>
      <w:rFonts w:ascii="Times New Roman" w:hAnsi="Times New Roman"/>
      <w:b/>
      <w:sz w:val="32"/>
    </w:rPr>
  </w:style>
  <w:style w:type="paragraph" w:customStyle="1" w:styleId="AbstractStyle">
    <w:name w:val="Abstract Style"/>
    <w:pPr>
      <w:ind w:left="720" w:right="720"/>
      <w:jc w:val="both"/>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1276157455@qq.com</cp:lastModifiedBy>
  <cp:revision>2</cp:revision>
  <dcterms:created xsi:type="dcterms:W3CDTF">2013-12-23T23:15:00Z</dcterms:created>
  <dcterms:modified xsi:type="dcterms:W3CDTF">2025-11-26T07:24:00Z</dcterms:modified>
  <cp:category/>
</cp:coreProperties>
</file>