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900"/>
        <w:jc w:val="center"/>
      </w:pPr>
      <w:r>
        <w:rPr>
          <w:rFonts w:ascii="Noto Sans CJK SC" w:hAnsi="Noto Sans CJK SC" w:eastAsia="Noto Sans CJK SC"/>
          <w:b/>
          <w:color w:val="1F4E78"/>
          <w:sz w:val="52"/>
        </w:rPr>
        <w:t>GridCrew</w:t>
      </w:r>
    </w:p>
    <w:p>
      <w:pPr>
        <w:jc w:val="center"/>
      </w:pPr>
      <w:r>
        <w:rPr>
          <w:rFonts w:ascii="Noto Sans CJK SC" w:hAnsi="Noto Sans CJK SC" w:eastAsia="Noto Sans CJK SC"/>
          <w:color w:val="2F75B5"/>
          <w:sz w:val="28"/>
        </w:rPr>
        <w:t>电力行业数字员工平台 · 终局架构与产品版本路线PRD</w:t>
      </w:r>
    </w:p>
    <w:p>
      <w:pPr>
        <w:spacing w:before="560"/>
        <w:jc w:val="center"/>
      </w:pPr>
      <w:r>
        <w:rPr>
          <w:rFonts w:ascii="Noto Sans CJK SC" w:hAnsi="Noto Sans CJK SC" w:eastAsia="Noto Sans CJK SC"/>
          <w:b/>
          <w:color w:val="1F2937"/>
          <w:sz w:val="24"/>
        </w:rPr>
        <w:t>终局架构版 · 与GridCrew高保真原型V2.2一致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088"/>
            <w:shd w:fill="D9EAF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文档版本</w:t>
            </w:r>
          </w:p>
        </w:tc>
        <w:tc>
          <w:tcPr>
            <w:tcW w:type="dxa" w:w="4896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20"/>
              </w:rPr>
              <w:t>V2.2</w:t>
            </w:r>
          </w:p>
        </w:tc>
      </w:tr>
      <w:tr>
        <w:tc>
          <w:tcPr>
            <w:tcW w:type="dxa" w:w="2088"/>
            <w:shd w:fill="D9EAF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编制日期</w:t>
            </w:r>
          </w:p>
        </w:tc>
        <w:tc>
          <w:tcPr>
            <w:tcW w:type="dxa" w:w="4896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20"/>
              </w:rPr>
              <w:t>2026年7月24日</w:t>
            </w:r>
          </w:p>
        </w:tc>
      </w:tr>
      <w:tr>
        <w:tc>
          <w:tcPr>
            <w:tcW w:type="dxa" w:w="2088"/>
            <w:shd w:fill="D9EAF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文档状态</w:t>
            </w:r>
          </w:p>
        </w:tc>
        <w:tc>
          <w:tcPr>
            <w:tcW w:type="dxa" w:w="4896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20"/>
              </w:rPr>
              <w:t>规划基线 / 待产品评审冻结</w:t>
            </w:r>
          </w:p>
        </w:tc>
      </w:tr>
      <w:tr>
        <w:tc>
          <w:tcPr>
            <w:tcW w:type="dxa" w:w="2088"/>
            <w:shd w:fill="D9EAF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适用范围</w:t>
            </w:r>
          </w:p>
        </w:tc>
        <w:tc>
          <w:tcPr>
            <w:tcW w:type="dxa" w:w="4896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20"/>
              </w:rPr>
              <w:t>产品立项、原型确认、架构设计、研发与验收</w:t>
            </w:r>
          </w:p>
        </w:tc>
      </w:tr>
    </w:tbl>
    <w:p/>
    <w:p>
      <w:pPr>
        <w:jc w:val="center"/>
      </w:pPr>
      <w:r>
        <w:rPr>
          <w:rFonts w:ascii="Noto Sans CJK SC" w:hAnsi="Noto Sans CJK SC" w:eastAsia="Noto Sans CJK SC"/>
          <w:b/>
          <w:color w:val="1F2937"/>
          <w:sz w:val="22"/>
        </w:rPr>
        <w:t>核心原则：终局逻辑架构一步到位，R1只减少启用范围，不建设未来需要废弃的临时内核。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/>
          <w:color w:val="1F4E78"/>
          <w:sz w:val="21"/>
        </w:rPr>
        <w:t>1. 文档定位与本次重构结论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/>
          <w:color w:val="1F4E78"/>
          <w:sz w:val="21"/>
        </w:rPr>
        <w:t>2. 产品愿景、定位与战略原则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/>
          <w:color w:val="1F4E78"/>
          <w:sz w:val="21"/>
        </w:rPr>
        <w:t>3. 市场问题、目标客户与用户角色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/>
          <w:color w:val="1F4E78"/>
          <w:sz w:val="21"/>
        </w:rPr>
        <w:t>4. 终局产品架构与产品域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/>
          <w:color w:val="1F4E78"/>
          <w:sz w:val="21"/>
        </w:rPr>
        <w:t>5. 核心领域对象与统一语言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/>
          <w:color w:val="1F4E78"/>
          <w:sz w:val="21"/>
        </w:rPr>
        <w:t>6. 数字员工全生命周期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/>
          <w:color w:val="1F4E78"/>
          <w:sz w:val="21"/>
        </w:rPr>
        <w:t>7. 协作工作台功能需求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/>
          <w:color w:val="1F4E78"/>
          <w:sz w:val="21"/>
        </w:rPr>
        <w:t>8. 数字员工管理中心功能需求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/>
          <w:color w:val="1F4E78"/>
          <w:sz w:val="21"/>
        </w:rPr>
        <w:t>9. Agent智能运行时与Temporal可靠执行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/>
          <w:color w:val="1F4E78"/>
          <w:sz w:val="21"/>
        </w:rPr>
        <w:t>10. Skill、工具网关与连接器体系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/>
          <w:color w:val="1F4E78"/>
          <w:sz w:val="21"/>
        </w:rPr>
        <w:t>11. 知识、数据、记忆、成果与证据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/>
          <w:color w:val="1F4E78"/>
          <w:sz w:val="21"/>
        </w:rPr>
        <w:t>12. 身份、权限、审批、安全与审计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/>
          <w:color w:val="1F4E78"/>
          <w:sz w:val="21"/>
        </w:rPr>
        <w:t>13. 评测、绩效、成本与可观测性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/>
          <w:color w:val="1F4E78"/>
          <w:sz w:val="21"/>
        </w:rPr>
        <w:t>14. 重点业务场景与通用性验证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/>
          <w:color w:val="1F4E78"/>
          <w:sz w:val="21"/>
        </w:rPr>
        <w:t>15. 非功能需求与部署要求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/>
          <w:color w:val="1F4E78"/>
          <w:sz w:val="21"/>
        </w:rPr>
        <w:t>16. 产品版本路线与终局能力启用计划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/>
          <w:color w:val="1F4E78"/>
          <w:sz w:val="21"/>
        </w:rPr>
        <w:t>17. 产品指标、版本门禁与成功条件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/>
          <w:color w:val="1F4E78"/>
          <w:sz w:val="21"/>
        </w:rPr>
        <w:t>18. 风险、边界与待决策事项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/>
          <w:color w:val="1F4E78"/>
          <w:sz w:val="21"/>
        </w:rPr>
        <w:t>附录A. 术语表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/>
          <w:color w:val="1F4E78"/>
          <w:sz w:val="21"/>
        </w:rPr>
        <w:t>附录B. 关键需求追踪矩阵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/>
          <w:color w:val="1F4E78"/>
          <w:sz w:val="21"/>
        </w:rPr>
        <w:t>附录C. 参考资料</w:t>
      </w:r>
    </w:p>
    <w:p>
      <w:r>
        <w:br w:type="page"/>
      </w:r>
    </w:p>
    <w:p>
      <w:pPr>
        <w:pStyle w:val="Heading1"/>
      </w:pPr>
      <w:r>
        <w:t>1. 文档定位与本次重构结论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5FB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pStyle w:val="Callout"/>
              <w:spacing w:after="0"/>
            </w:pPr>
            <w:r>
              <w:rPr>
                <w:rFonts w:ascii="Noto Sans CJK SC" w:hAnsi="Noto Sans CJK SC" w:eastAsia="Noto Sans CJK SC"/>
                <w:b/>
                <w:color w:val="2F75B5"/>
              </w:rPr>
              <w:t>本文件在V2.1终局架构与产品版本路线基线上，统一采用GridCrew产品品牌、模块命名和工程标识，作为GridCrew高保真原型V2.2、总体架构设计、开发计划、Codex任务书和后续验收的统一产品基线。</w:t>
            </w:r>
          </w:p>
        </w:tc>
      </w:tr>
    </w:tbl>
    <w:p>
      <w:pPr>
        <w:spacing w:after="0"/>
      </w:pPr>
    </w:p>
    <w:p>
      <w:pPr>
        <w:pStyle w:val="Heading2"/>
      </w:pPr>
      <w:r>
        <w:t>1.1 重构背景</w:t>
      </w:r>
    </w:p>
    <w:p>
      <w:r>
        <w:t>在高保真原型确认和多轮架构讨论后，产品已从“运筹优化平台的Agent入口”进一步明确为“面向电力行业的数字员工协作、装配、运行与治理平台”。运筹优化、预测、视觉识别、知识管理、数据分析、仿真及各类业务系统均属于可插拔能力，而非平台中心。</w:t>
      </w:r>
    </w:p>
    <w:p>
      <w:pPr>
        <w:pStyle w:val="Heading2"/>
      </w:pPr>
      <w:r>
        <w:t>1.2 三项根本修正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1872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修正项</w:t>
            </w:r>
          </w:p>
        </w:tc>
        <w:tc>
          <w:tcPr>
            <w:tcW w:type="dxa" w:w="3240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原有倾向</w:t>
            </w:r>
          </w:p>
        </w:tc>
        <w:tc>
          <w:tcPr>
            <w:tcW w:type="dxa" w:w="460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当前正式结论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产品中心</w:t>
            </w:r>
          </w:p>
        </w:tc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突出运筹优化与交易场景</w:t>
            </w:r>
          </w:p>
        </w:tc>
        <w:tc>
          <w:tcPr>
            <w:tcW w:type="dxa" w:w="4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数字员工平台是上层组织与工作系统；运筹优化仅为首批专业能力组件之一。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任务内核</w:t>
            </w:r>
          </w:p>
        </w:tc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首期可先用数据库状态机与队列</w:t>
            </w:r>
          </w:p>
        </w:tc>
        <w:tc>
          <w:tcPr>
            <w:tcW w:type="dxa" w:w="4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Temporal自Release 1（R1）起成为正式任务、审批、定时、长任务及跨系统执行的唯一可靠内核。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研发策略</w:t>
            </w:r>
          </w:p>
        </w:tc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MVP先行、成熟后替换底座</w:t>
            </w:r>
          </w:p>
        </w:tc>
        <w:tc>
          <w:tcPr>
            <w:tcW w:type="dxa" w:w="4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终局逻辑架构、领域对象、协议和治理一次冻结；R1只缩小启用范围，不建设未来要废弃的临时实现。</w:t>
            </w:r>
          </w:p>
        </w:tc>
      </w:tr>
    </w:tbl>
    <w:p>
      <w:pPr>
        <w:spacing w:after="0"/>
      </w:pPr>
    </w:p>
    <w:p>
      <w:pPr>
        <w:pStyle w:val="Heading2"/>
      </w:pPr>
      <w:r>
        <w:t>1.3 文档优先级</w:t>
      </w:r>
    </w:p>
    <w:p>
      <w:pPr>
        <w:spacing w:after="40"/>
        <w:ind w:left="230" w:hanging="230"/>
      </w:pPr>
      <w:r>
        <w:rPr>
          <w:b/>
        </w:rPr>
        <w:t xml:space="preserve">1. </w:t>
      </w:r>
      <w:r>
        <w:t>本PRD定义“做什么、为什么做、业务规则和产品边界”。</w:t>
      </w:r>
    </w:p>
    <w:p>
      <w:pPr>
        <w:spacing w:after="40"/>
        <w:ind w:left="230" w:hanging="230"/>
      </w:pPr>
      <w:r>
        <w:rPr>
          <w:b/>
        </w:rPr>
        <w:t xml:space="preserve">2. </w:t>
      </w:r>
      <w:r>
        <w:t>高保真原型V2.0定义主要页面、交互结构和五条端到端演示流程。</w:t>
      </w:r>
    </w:p>
    <w:p>
      <w:pPr>
        <w:spacing w:after="40"/>
        <w:ind w:left="230" w:hanging="230"/>
      </w:pPr>
      <w:r>
        <w:rPr>
          <w:b/>
        </w:rPr>
        <w:t xml:space="preserve">3. </w:t>
      </w:r>
      <w:r>
        <w:t>总体架构设计和开发计划定义“如何建设、如何分阶段交付”。</w:t>
      </w:r>
    </w:p>
    <w:p>
      <w:pPr>
        <w:spacing w:after="40"/>
        <w:ind w:left="230" w:hanging="230"/>
      </w:pPr>
      <w:r>
        <w:rPr>
          <w:b/>
        </w:rPr>
        <w:t xml:space="preserve">4. </w:t>
      </w:r>
      <w:r>
        <w:t>Codex开发任务书应在上述三者一致的前提下拆分工程任务，不能自行改变核心对象和架构边界。</w:t>
      </w:r>
    </w:p>
    <w:p>
      <w:pPr>
        <w:pStyle w:val="Heading1"/>
      </w:pPr>
      <w:r>
        <w:t>2. 产品愿景、定位与战略原则</w:t>
      </w:r>
    </w:p>
    <w:p>
      <w:pPr>
        <w:pStyle w:val="Heading2"/>
      </w:pPr>
      <w:r>
        <w:t>2.1 产品愿景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5E9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pStyle w:val="Callout"/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E7D32"/>
              </w:rPr>
              <w:t>让电力企业能够招聘、培养、管理和使用一支真正参与业务工作的数字员工队伍。</w:t>
            </w:r>
          </w:p>
        </w:tc>
      </w:tr>
    </w:tbl>
    <w:p>
      <w:pPr>
        <w:spacing w:after="0"/>
      </w:pPr>
    </w:p>
    <w:p>
      <w:pPr>
        <w:pStyle w:val="Heading2"/>
      </w:pPr>
      <w:r>
        <w:t>2.2 品牌与产品命名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208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命名层级</w:t>
            </w:r>
          </w:p>
        </w:tc>
        <w:tc>
          <w:tcPr>
            <w:tcW w:type="dxa" w:w="2880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正式名称</w:t>
            </w:r>
          </w:p>
        </w:tc>
        <w:tc>
          <w:tcPr>
            <w:tcW w:type="dxa" w:w="5040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使用说明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主产品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GridCrew</w:t>
            </w:r>
          </w:p>
        </w:tc>
        <w:tc>
          <w:tcPr>
            <w:tcW w:type="dxa" w:w="50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产品简称及对外主品牌；不代表单一Agent框架、模型或专业能力。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正式全称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GridCrew 电力行业数字员工平台</w:t>
            </w:r>
          </w:p>
        </w:tc>
        <w:tc>
          <w:tcPr>
            <w:tcW w:type="dxa" w:w="50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用于合同、PRD、方案、软著及正式交付物。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协作端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GridCrew Workspace</w:t>
            </w:r>
          </w:p>
        </w:tc>
        <w:tc>
          <w:tcPr>
            <w:tcW w:type="dxa" w:w="50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面向业务人员的人机协作、群聊、任务、审批与成果工作台。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员工装配与管理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GridCrew Studio</w:t>
            </w:r>
          </w:p>
        </w:tc>
        <w:tc>
          <w:tcPr>
            <w:tcW w:type="dxa" w:w="50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数字员工创建、岗位、Skill、知识、权限、评测与发布中心。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可靠运行底座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GridCrew Runtime</w:t>
            </w:r>
          </w:p>
        </w:tc>
        <w:tc>
          <w:tcPr>
            <w:tcW w:type="dxa" w:w="50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Temporal可靠执行、Agent运行时、网关、证据与可观测性底座。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能力体系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GridCrew Skills</w:t>
            </w:r>
          </w:p>
        </w:tc>
        <w:tc>
          <w:tcPr>
            <w:tcW w:type="dxa" w:w="50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Skill、Tool、Connector、知识和专业能力的注册与治理体系。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开放生态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GridCrew Open Platform</w:t>
            </w:r>
          </w:p>
        </w:tc>
        <w:tc>
          <w:tcPr>
            <w:tcW w:type="dxa" w:w="50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R3阶段开放API、SDK、能力市场与生态伙伴体系。</w:t>
            </w:r>
          </w:p>
        </w:tc>
      </w:tr>
    </w:tbl>
    <w:p>
      <w:pPr>
        <w:spacing w:after="0"/>
      </w:pPr>
    </w:p>
    <w:p>
      <w:r>
        <w:t>英文品牌语：AI Crews for the Power Industry。中文品牌语：让数字员工真正参与电力业务。</w:t>
      </w:r>
    </w:p>
    <w:p>
      <w:pPr>
        <w:pStyle w:val="Heading2"/>
      </w:pPr>
      <w:r>
        <w:t>2.3 一句话定位</w:t>
      </w:r>
    </w:p>
    <w:p>
      <w:r>
        <w:t>GridCrew是面向电力企业的人机协同与专业任务执行平台：为AI配置岗位、职责、知识、Skills、工具、工作流、权限和评价标准，使数字员工能够进入业务空间，像同事一样接收任务、调用系统、汇报过程、提交成果并接受监督。</w:t>
      </w:r>
    </w:p>
    <w:p>
      <w:pPr>
        <w:pStyle w:val="Heading2"/>
      </w:pPr>
      <w:r>
        <w:t>2.4 产品不是什么</w:t>
      </w:r>
    </w:p>
    <w:p>
      <w:pPr>
        <w:pStyle w:val="ListBullet"/>
        <w:spacing w:after="40"/>
      </w:pPr>
      <w:r>
        <w:t>不是单纯的大模型问答或企业知识库。</w:t>
      </w:r>
    </w:p>
    <w:p>
      <w:pPr>
        <w:pStyle w:val="ListBullet"/>
        <w:spacing w:after="40"/>
      </w:pPr>
      <w:r>
        <w:t>不是重新开发一套大而全的钉钉、企业微信或飞书。</w:t>
      </w:r>
    </w:p>
    <w:p>
      <w:pPr>
        <w:pStyle w:val="ListBullet"/>
        <w:spacing w:after="40"/>
      </w:pPr>
      <w:r>
        <w:t>不是只面向运筹优化、交易或调度场景的专用壳层。</w:t>
      </w:r>
    </w:p>
    <w:p>
      <w:pPr>
        <w:pStyle w:val="ListBullet"/>
        <w:spacing w:after="40"/>
      </w:pPr>
      <w:r>
        <w:t>不是把一个Dify应用、一段Prompt或一个LangGraph图包装成“数字员工”。</w:t>
      </w:r>
    </w:p>
    <w:p>
      <w:pPr>
        <w:pStyle w:val="ListBullet"/>
        <w:spacing w:after="40"/>
      </w:pPr>
      <w:r>
        <w:t>不是允许大模型无边界自主执行生产控制或高风险业务动作的平台。</w:t>
      </w:r>
    </w:p>
    <w:p>
      <w:pPr>
        <w:pStyle w:val="Heading2"/>
      </w:pPr>
      <w:r>
        <w:t>2.5 一级设计原则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1944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原则</w:t>
            </w:r>
          </w:p>
        </w:tc>
        <w:tc>
          <w:tcPr>
            <w:tcW w:type="dxa" w:w="7776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产品要求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任务为核心</w:t>
            </w:r>
          </w:p>
        </w:tc>
        <w:tc>
          <w:tcPr>
            <w:tcW w:type="dxa" w:w="77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聊天是入口，正式任务、执行步骤、审批、成果和证据才是长期业务资产。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人机共事</w:t>
            </w:r>
          </w:p>
        </w:tc>
        <w:tc>
          <w:tcPr>
            <w:tcW w:type="dxa" w:w="77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人类与数字员工使用统一空间、频道、任务和成果对象，但身份和权限明确区分。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岗位化装配</w:t>
            </w:r>
          </w:p>
        </w:tc>
        <w:tc>
          <w:tcPr>
            <w:tcW w:type="dxa" w:w="77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以岗位模板、职责边界、Skills和评测集装配员工，不以空白Prompt为主要创建方式。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能力开放</w:t>
            </w:r>
          </w:p>
        </w:tc>
        <w:tc>
          <w:tcPr>
            <w:tcW w:type="dxa" w:w="77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知识、预测、识别、优化、仿真、数据分析、业务API和RPA均可通过标准契约接入。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可靠执行</w:t>
            </w:r>
          </w:p>
        </w:tc>
        <w:tc>
          <w:tcPr>
            <w:tcW w:type="dxa" w:w="77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所有正式任务进入Temporal；所有外部调用由幂等Activity执行。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可信治理</w:t>
            </w:r>
          </w:p>
        </w:tc>
        <w:tc>
          <w:tcPr>
            <w:tcW w:type="dxa" w:w="77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每个结论可追溯到数据、模型、工具、版本、审批与人工修改。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架构解耦</w:t>
            </w:r>
          </w:p>
        </w:tc>
        <w:tc>
          <w:tcPr>
            <w:tcW w:type="dxa" w:w="77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不绑定单一大模型、低代码Agent平台、专业平台或第三方即时通信渠道。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终局一致</w:t>
            </w:r>
          </w:p>
        </w:tc>
        <w:tc>
          <w:tcPr>
            <w:tcW w:type="dxa" w:w="77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首期交付可小，但底层对象、协议、安全和版本体系不得做临时替代。</w:t>
            </w:r>
          </w:p>
        </w:tc>
      </w:tr>
    </w:tbl>
    <w:p>
      <w:pPr>
        <w:spacing w:after="0"/>
      </w:pPr>
    </w:p>
    <w:p>
      <w:pPr>
        <w:pStyle w:val="Heading1"/>
      </w:pPr>
      <w:r>
        <w:t>3. 市场问题、目标客户与用户角色</w:t>
      </w:r>
    </w:p>
    <w:p>
      <w:pPr>
        <w:pStyle w:val="Heading2"/>
      </w:pPr>
      <w:r>
        <w:t>3.1 核心业务问题</w:t>
      </w:r>
    </w:p>
    <w:p>
      <w:pPr>
        <w:pStyle w:val="ListBullet"/>
        <w:spacing w:after="40"/>
      </w:pPr>
      <w:r>
        <w:rPr>
          <w:b/>
        </w:rPr>
        <w:t>系统割裂：</w:t>
      </w:r>
      <w:r>
        <w:t>电力企业拥有生产、交易、安全、设备、OA、数据中台等多套系统，但仍依靠人工跨系统取数、判断、协调和填报。</w:t>
      </w:r>
    </w:p>
    <w:p>
      <w:pPr>
        <w:pStyle w:val="ListBullet"/>
        <w:spacing w:after="40"/>
      </w:pPr>
      <w:r>
        <w:rPr>
          <w:b/>
        </w:rPr>
        <w:t>专业能力难复制：</w:t>
      </w:r>
      <w:r>
        <w:t>优秀交易员、调度员、安全专家和设备专家的经验难以沉淀为组织能力。</w:t>
      </w:r>
    </w:p>
    <w:p>
      <w:pPr>
        <w:pStyle w:val="ListBullet"/>
        <w:spacing w:after="40"/>
      </w:pPr>
      <w:r>
        <w:rPr>
          <w:b/>
        </w:rPr>
        <w:t>AI停留在问答：</w:t>
      </w:r>
      <w:r>
        <w:t>大量AI应用能够检索和生成文本，却无法可靠完成真实任务并形成正式业务成果。</w:t>
      </w:r>
    </w:p>
    <w:p>
      <w:pPr>
        <w:pStyle w:val="ListBullet"/>
        <w:spacing w:after="40"/>
      </w:pPr>
      <w:r>
        <w:rPr>
          <w:b/>
        </w:rPr>
        <w:t>过程不可审计：</w:t>
      </w:r>
      <w:r>
        <w:t>Agent可能“说已完成”，但外部系统并未成功执行，或无法解释使用了什么数据和模型。</w:t>
      </w:r>
    </w:p>
    <w:p>
      <w:pPr>
        <w:pStyle w:val="ListBullet"/>
        <w:spacing w:after="40"/>
      </w:pPr>
      <w:r>
        <w:rPr>
          <w:b/>
        </w:rPr>
        <w:t>工具与组织脱节：</w:t>
      </w:r>
      <w:r>
        <w:t>算法、预测、知识和专业平台各自独立，缺少能够按岗位组合、统一权限、统一审批和统一评价的上层平台。</w:t>
      </w:r>
    </w:p>
    <w:p>
      <w:pPr>
        <w:pStyle w:val="Heading2"/>
      </w:pPr>
      <w:r>
        <w:t>3.2 目标客户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2232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客户类型</w:t>
            </w:r>
          </w:p>
        </w:tc>
        <w:tc>
          <w:tcPr>
            <w:tcW w:type="dxa" w:w="2376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优先部门</w:t>
            </w:r>
          </w:p>
        </w:tc>
        <w:tc>
          <w:tcPr>
            <w:tcW w:type="dxa" w:w="5112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高价值切入点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发电集团及基层电厂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生产、安监、设备、经营</w:t>
            </w:r>
          </w:p>
        </w:tc>
        <w:tc>
          <w:tcPr>
            <w:tcW w:type="dxa" w:w="51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两票审核、安全闭环、设备异常、生产经营分析、调度优化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售电公司与综合能源公司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市场交易、运营、风控</w:t>
            </w:r>
          </w:p>
        </w:tc>
        <w:tc>
          <w:tcPr>
            <w:tcW w:type="dxa" w:w="51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市场信息、预测、交易方案、偏差监测、复盘与审批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新能源与储能运营商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集控、运维、交易</w:t>
            </w:r>
          </w:p>
        </w:tc>
        <w:tc>
          <w:tcPr>
            <w:tcW w:type="dxa" w:w="51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功率预测、场站运营、故障分析、储能策略、日报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电网及能源服务机构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调控、营销、规划、客服</w:t>
            </w:r>
          </w:p>
        </w:tc>
        <w:tc>
          <w:tcPr>
            <w:tcW w:type="dxa" w:w="51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数据分析、风险研判、客户服务、规划辅助、跨系统流程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核电与大型能源基地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安全、消防、检修、生产</w:t>
            </w:r>
          </w:p>
        </w:tc>
        <w:tc>
          <w:tcPr>
            <w:tcW w:type="dxa" w:w="51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票证、风险、应急、检修协同、知识与多系统联动</w:t>
            </w:r>
          </w:p>
        </w:tc>
      </w:tr>
    </w:tbl>
    <w:p>
      <w:pPr>
        <w:spacing w:after="0"/>
      </w:pPr>
    </w:p>
    <w:p>
      <w:pPr>
        <w:pStyle w:val="Heading2"/>
      </w:pPr>
      <w:r>
        <w:t>3.3 用户角色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2016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460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典型诉求</w:t>
            </w:r>
          </w:p>
        </w:tc>
        <w:tc>
          <w:tcPr>
            <w:tcW w:type="dxa" w:w="316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关键权限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业务主管</w:t>
            </w:r>
          </w:p>
        </w:tc>
        <w:tc>
          <w:tcPr>
            <w:tcW w:type="dxa" w:w="4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派发任务、看进度、审方案、追结果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空间管理、任务分配、审批、成果发布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业务人员</w:t>
            </w:r>
          </w:p>
        </w:tc>
        <w:tc>
          <w:tcPr>
            <w:tcW w:type="dxa" w:w="4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群组协作、补充参数、查看结果、人工接管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任务参与、数据提交、评论、有限操作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数字员工管理员</w:t>
            </w:r>
          </w:p>
        </w:tc>
        <w:tc>
          <w:tcPr>
            <w:tcW w:type="dxa" w:w="4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创建员工、装配能力、发布版本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员工、Skill、知识、工具和评测管理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平台管理员</w:t>
            </w:r>
          </w:p>
        </w:tc>
        <w:tc>
          <w:tcPr>
            <w:tcW w:type="dxa" w:w="4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租户、组织、身份、连接器和环境治理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全局配置、密钥、SSO、审计与运行治理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安全审计人员</w:t>
            </w:r>
          </w:p>
        </w:tc>
        <w:tc>
          <w:tcPr>
            <w:tcW w:type="dxa" w:w="4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检查越权、审批、调用和证据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只读审计、策略检查、告警处理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集成开发人员</w:t>
            </w:r>
          </w:p>
        </w:tc>
        <w:tc>
          <w:tcPr>
            <w:tcW w:type="dxa" w:w="4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建设Skill和连接器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开发环境、契约测试、发布申请</w:t>
            </w:r>
          </w:p>
        </w:tc>
      </w:tr>
    </w:tbl>
    <w:p>
      <w:pPr>
        <w:spacing w:after="0"/>
      </w:pPr>
    </w:p>
    <w:p>
      <w:pPr>
        <w:pStyle w:val="Heading1"/>
      </w:pPr>
      <w:r>
        <w:t>4. 终局产品架构与产品域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7763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76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B7280"/>
          <w:sz w:val="18"/>
        </w:rPr>
        <w:t>图1 终局逻辑架构：Temporal负责企业任务可靠执行，Agent运行时负责智能判断，专业能力通过Skill和连接器接入。</w:t>
      </w:r>
    </w:p>
    <w:p>
      <w:pPr>
        <w:pStyle w:val="Heading2"/>
      </w:pPr>
      <w:r>
        <w:t>4.1 两个产品前台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244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产品域</w:t>
            </w:r>
          </w:p>
        </w:tc>
        <w:tc>
          <w:tcPr>
            <w:tcW w:type="dxa" w:w="2880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面向用户</w:t>
            </w:r>
          </w:p>
        </w:tc>
        <w:tc>
          <w:tcPr>
            <w:tcW w:type="dxa" w:w="4464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一级功能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8"/>
              </w:rPr>
              <w:t>协作工作台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8"/>
              </w:rPr>
              <w:t>业务主管、业务人员、数字员工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8"/>
              </w:rPr>
              <w:t>工作台、协作空间、频道群聊、任务中心、审批中心、成果中心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8"/>
              </w:rPr>
              <w:t>数字员工管理中心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8"/>
              </w:rPr>
              <w:t>员工管理员、平台管理员、集成开发人员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8"/>
              </w:rPr>
              <w:t>数字员工、岗位组织、能力中心、知识数据、系统连接、运行监控、评测运营、权限安全</w:t>
            </w:r>
          </w:p>
        </w:tc>
      </w:tr>
    </w:tbl>
    <w:p>
      <w:pPr>
        <w:spacing w:after="0"/>
      </w:pPr>
    </w:p>
    <w:p>
      <w:pPr>
        <w:pStyle w:val="Heading2"/>
      </w:pPr>
      <w:r>
        <w:t>4.2 统一后台能力域</w:t>
      </w:r>
    </w:p>
    <w:p>
      <w:pPr>
        <w:pStyle w:val="ListBullet"/>
        <w:spacing w:after="40"/>
      </w:pPr>
      <w:r>
        <w:t>协作与消息域：空间、频道、消息、提及、附件、渠道适配和统一事件。</w:t>
      </w:r>
    </w:p>
    <w:p>
      <w:pPr>
        <w:pStyle w:val="ListBullet"/>
        <w:spacing w:after="40"/>
      </w:pPr>
      <w:r>
        <w:t>任务执行域：Temporal Workflow、Activity、Signal/Update、Schedule、Child Workflow、补偿和人工接管。</w:t>
      </w:r>
    </w:p>
    <w:p>
      <w:pPr>
        <w:pStyle w:val="ListBullet"/>
        <w:spacing w:after="40"/>
      </w:pPr>
      <w:r>
        <w:t>Agent运行域：意图理解、岗位路由、Skill选择、计划生成、工具调用、解释和多Agent协作。</w:t>
      </w:r>
    </w:p>
    <w:p>
      <w:pPr>
        <w:pStyle w:val="ListBullet"/>
        <w:spacing w:after="40"/>
      </w:pPr>
      <w:r>
        <w:t>能力域：Skill Registry、Workflow Registry、Tool Gateway、Connector Registry、Model Gateway。</w:t>
      </w:r>
    </w:p>
    <w:p>
      <w:pPr>
        <w:pStyle w:val="ListBullet"/>
        <w:spacing w:after="40"/>
      </w:pPr>
      <w:r>
        <w:t>数据与知识域：知识源、业务数据源、记忆、成果、证据和版本。</w:t>
      </w:r>
    </w:p>
    <w:p>
      <w:pPr>
        <w:pStyle w:val="ListBullet"/>
        <w:spacing w:after="40"/>
      </w:pPr>
      <w:r>
        <w:t>治理域：身份、租户、组织、RBAC+ABAC、审批、审计、评测、成本和可观测性。</w:t>
      </w:r>
    </w:p>
    <w:p>
      <w:pPr>
        <w:pStyle w:val="Heading2"/>
      </w:pPr>
      <w:r>
        <w:t>4.3 物理部署原则</w:t>
      </w:r>
    </w:p>
    <w:p>
      <w:r>
        <w:t>逻辑边界一步到位，R1采用“模块化单体API + 独立Temporal Workers + 独立基础设施”的物理形态；当并发、团队和隔离需求增长时，可按既定接口拆分服务，不改变领域模型和外部协议。</w:t>
      </w:r>
    </w:p>
    <w:p>
      <w:pPr>
        <w:pStyle w:val="Heading1"/>
      </w:pPr>
      <w:r>
        <w:t>5. 核心领域对象与统一语言</w:t>
      </w:r>
    </w:p>
    <w:p>
      <w:pPr>
        <w:pStyle w:val="Heading2"/>
      </w:pPr>
      <w:r>
        <w:t>5.1 核心对象清单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172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领域</w:t>
            </w:r>
          </w:p>
        </w:tc>
        <w:tc>
          <w:tcPr>
            <w:tcW w:type="dxa" w:w="3744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核心对象</w:t>
            </w:r>
          </w:p>
        </w:tc>
        <w:tc>
          <w:tcPr>
            <w:tcW w:type="dxa" w:w="460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租户与组织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Tenant、Organization、Department、User、ServiceIdentity</w:t>
            </w:r>
          </w:p>
        </w:tc>
        <w:tc>
          <w:tcPr>
            <w:tcW w:type="dxa" w:w="4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隔离客户、组织、人员和系统身份。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协作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Workspace、Channel、Conversation、Message、Mention、Attachment</w:t>
            </w:r>
          </w:p>
        </w:tc>
        <w:tc>
          <w:tcPr>
            <w:tcW w:type="dxa" w:w="4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承载人机群组协作和渠道映射。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数字员工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DigitalEmployee、RoleTemplate、EmployeeRelease、AutonomyPolicy</w:t>
            </w:r>
          </w:p>
        </w:tc>
        <w:tc>
          <w:tcPr>
            <w:tcW w:type="dxa" w:w="4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定义企业数字角色及其发布版本。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能力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Skill、SkillVersion、WorkflowDefinition、Tool、Connector、ModelPolicy</w:t>
            </w:r>
          </w:p>
        </w:tc>
        <w:tc>
          <w:tcPr>
            <w:tcW w:type="dxa" w:w="4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以稳定契约装配员工能力。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知识与记忆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KnowledgeSource、DataSource、MemoryScope、MemoryItem</w:t>
            </w:r>
          </w:p>
        </w:tc>
        <w:tc>
          <w:tcPr>
            <w:tcW w:type="dxa" w:w="4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知识、业务数据和记忆分层治理。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任务与执行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Task、TaskStep、WorkflowExecution、AgentRun、SkillRun、ToolCall</w:t>
            </w:r>
          </w:p>
        </w:tc>
        <w:tc>
          <w:tcPr>
            <w:tcW w:type="dxa" w:w="4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业务投影与执行追踪。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审批与接管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Approval、ApprovalPolicy、HumanIntervention、Compensation</w:t>
            </w:r>
          </w:p>
        </w:tc>
        <w:tc>
          <w:tcPr>
            <w:tcW w:type="dxa" w:w="4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控制高风险动作和异常恢复。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成果与证据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Artifact、ArtifactVersion、Evidence、DecisionRecord</w:t>
            </w:r>
          </w:p>
        </w:tc>
        <w:tc>
          <w:tcPr>
            <w:tcW w:type="dxa" w:w="4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形成可交付、可复现、可追溯的业务资产。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评测与运营</w:t>
            </w:r>
          </w:p>
        </w:tc>
        <w:tc>
          <w:tcPr>
            <w:tcW w:type="dxa" w:w="37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EvaluationSuite、EvaluationRun、Metric、Feedback、CostRecord</w:t>
            </w:r>
          </w:p>
        </w:tc>
        <w:tc>
          <w:tcPr>
            <w:tcW w:type="dxa" w:w="4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衡量岗位胜任度和业务价值。</w:t>
            </w:r>
          </w:p>
        </w:tc>
      </w:tr>
    </w:tbl>
    <w:p>
      <w:pPr>
        <w:spacing w:after="0"/>
      </w:pPr>
    </w:p>
    <w:p>
      <w:pPr>
        <w:pStyle w:val="Heading2"/>
      </w:pPr>
      <w:r>
        <w:t>5.2 通用字段要求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DejaVu Sans Mono" w:hAnsi="DejaVu Sans Mono" w:eastAsia="Noto Sans CJK SC"/>
                <w:color w:val="1F2937"/>
                <w:sz w:val="17"/>
              </w:rPr>
              <w:t>tenant_id         客户租户标识</w:t>
              <w:br/>
            </w:r>
            <w:r>
              <w:rPr>
                <w:rFonts w:ascii="DejaVu Sans Mono" w:hAnsi="DejaVu Sans Mono" w:eastAsia="Noto Sans CJK SC"/>
                <w:color w:val="1F2937"/>
                <w:sz w:val="17"/>
              </w:rPr>
              <w:t>organization_id   所属组织</w:t>
              <w:br/>
            </w:r>
            <w:r>
              <w:rPr>
                <w:rFonts w:ascii="DejaVu Sans Mono" w:hAnsi="DejaVu Sans Mono" w:eastAsia="Noto Sans CJK SC"/>
                <w:color w:val="1F2937"/>
                <w:sz w:val="17"/>
              </w:rPr>
              <w:t>workspace_id      所属协作空间（适用时）</w:t>
              <w:br/>
            </w:r>
            <w:r>
              <w:rPr>
                <w:rFonts w:ascii="DejaVu Sans Mono" w:hAnsi="DejaVu Sans Mono" w:eastAsia="Noto Sans CJK SC"/>
                <w:color w:val="1F2937"/>
                <w:sz w:val="17"/>
              </w:rPr>
              <w:t>id / business_key 全局标识与稳定业务键</w:t>
              <w:br/>
            </w:r>
            <w:r>
              <w:rPr>
                <w:rFonts w:ascii="DejaVu Sans Mono" w:hAnsi="DejaVu Sans Mono" w:eastAsia="Noto Sans CJK SC"/>
                <w:color w:val="1F2937"/>
                <w:sz w:val="17"/>
              </w:rPr>
              <w:t>version           对象版本</w:t>
              <w:br/>
            </w:r>
            <w:r>
              <w:rPr>
                <w:rFonts w:ascii="DejaVu Sans Mono" w:hAnsi="DejaVu Sans Mono" w:eastAsia="Noto Sans CJK SC"/>
                <w:color w:val="1F2937"/>
                <w:sz w:val="17"/>
              </w:rPr>
              <w:t>status            生命周期状态</w:t>
              <w:br/>
            </w:r>
            <w:r>
              <w:rPr>
                <w:rFonts w:ascii="DejaVu Sans Mono" w:hAnsi="DejaVu Sans Mono" w:eastAsia="Noto Sans CJK SC"/>
                <w:color w:val="1F2937"/>
                <w:sz w:val="17"/>
              </w:rPr>
              <w:t>created_by        创建人或系统身份</w:t>
              <w:br/>
            </w:r>
            <w:r>
              <w:rPr>
                <w:rFonts w:ascii="DejaVu Sans Mono" w:hAnsi="DejaVu Sans Mono" w:eastAsia="Noto Sans CJK SC"/>
                <w:color w:val="1F2937"/>
                <w:sz w:val="17"/>
              </w:rPr>
              <w:t>created_at        创建时间</w:t>
              <w:br/>
            </w:r>
            <w:r>
              <w:rPr>
                <w:rFonts w:ascii="DejaVu Sans Mono" w:hAnsi="DejaVu Sans Mono" w:eastAsia="Noto Sans CJK SC"/>
                <w:color w:val="1F2937"/>
                <w:sz w:val="17"/>
              </w:rPr>
              <w:t>updated_at        更新时间</w:t>
              <w:br/>
            </w:r>
            <w:r>
              <w:rPr>
                <w:rFonts w:ascii="DejaVu Sans Mono" w:hAnsi="DejaVu Sans Mono" w:eastAsia="Noto Sans CJK SC"/>
                <w:color w:val="1F2937"/>
                <w:sz w:val="17"/>
              </w:rPr>
              <w:t>data_scope        数据范围与ABAC属性</w:t>
              <w:br/>
            </w:r>
            <w:r>
              <w:rPr>
                <w:rFonts w:ascii="DejaVu Sans Mono" w:hAnsi="DejaVu Sans Mono" w:eastAsia="Noto Sans CJK SC"/>
                <w:color w:val="1F2937"/>
                <w:sz w:val="17"/>
              </w:rPr>
              <w:t>trace_id          全链路追踪标识（执行对象适用）</w:t>
              <w:br/>
            </w:r>
          </w:p>
        </w:tc>
      </w:tr>
    </w:tbl>
    <w:p>
      <w:pPr>
        <w:spacing w:after="0"/>
      </w:pPr>
    </w:p>
    <w:p>
      <w:pPr>
        <w:pStyle w:val="Heading2"/>
      </w:pPr>
      <w:r>
        <w:t>5.3 状态权威边界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DECEC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pStyle w:val="Callout"/>
              <w:spacing w:after="0"/>
            </w:pPr>
            <w:r>
              <w:rPr>
                <w:rFonts w:ascii="Noto Sans CJK SC" w:hAnsi="Noto Sans CJK SC" w:eastAsia="Noto Sans CJK SC"/>
                <w:b/>
                <w:color w:val="B42318"/>
              </w:rPr>
              <w:t>Temporal是执行状态的权威来源；PostgreSQL任务表是查询、搜索、报表和页面展示的业务投影。禁止在数据库中另建可独立推进的第二套工作流状态机。</w:t>
            </w:r>
          </w:p>
        </w:tc>
      </w:tr>
    </w:tbl>
    <w:p>
      <w:pPr>
        <w:spacing w:after="0"/>
      </w:pPr>
    </w:p>
    <w:p>
      <w:pPr>
        <w:pStyle w:val="Heading1"/>
      </w:pPr>
      <w:r>
        <w:t>6. 数字员工全生命周期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25654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fecyc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565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6.1 数字员工定义</w:t>
      </w:r>
    </w:p>
    <w:p>
      <w:r>
        <w:t>数字员工是具备企业身份、岗位职责、能力组合、权限边界、工作记忆和绩效评价的版本化领域对象。它不等同于Prompt、模型实例、Dify应用、LangGraph图或聊天机器人账号。</w:t>
      </w:r>
    </w:p>
    <w:p>
      <w:pPr>
        <w:pStyle w:val="Heading2"/>
      </w:pPr>
      <w:r>
        <w:t>6.2 员工装配清单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1944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组成</w:t>
            </w:r>
          </w:p>
        </w:tc>
        <w:tc>
          <w:tcPr>
            <w:tcW w:type="dxa" w:w="5400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必需内容</w:t>
            </w:r>
          </w:p>
        </w:tc>
        <w:tc>
          <w:tcPr>
            <w:tcW w:type="dxa" w:w="2664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版本要求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身份与岗位</w:t>
            </w:r>
          </w:p>
        </w:tc>
        <w:tc>
          <w:tcPr>
            <w:tcW w:type="dxa" w:w="5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姓名、工号、岗位、部门、负责人、头像、状态</w:t>
            </w:r>
          </w:p>
        </w:tc>
        <w:tc>
          <w:tcPr>
            <w:tcW w:type="dxa" w:w="26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员工发布版本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职责与边界</w:t>
            </w:r>
          </w:p>
        </w:tc>
        <w:tc>
          <w:tcPr>
            <w:tcW w:type="dxa" w:w="5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可接受任务、禁止事项、升级条件、汇报规则</w:t>
            </w:r>
          </w:p>
        </w:tc>
        <w:tc>
          <w:tcPr>
            <w:tcW w:type="dxa" w:w="26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岗位模板版本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模型策略</w:t>
            </w:r>
          </w:p>
        </w:tc>
        <w:tc>
          <w:tcPr>
            <w:tcW w:type="dxa" w:w="5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主模型、备用模型、多模态模型、成本与数据策略</w:t>
            </w:r>
          </w:p>
        </w:tc>
        <w:tc>
          <w:tcPr>
            <w:tcW w:type="dxa" w:w="26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ModelPolicy版本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Skills与流程</w:t>
            </w:r>
          </w:p>
        </w:tc>
        <w:tc>
          <w:tcPr>
            <w:tcW w:type="dxa" w:w="5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技能、流程、触发条件、工具依赖</w:t>
            </w:r>
          </w:p>
        </w:tc>
        <w:tc>
          <w:tcPr>
            <w:tcW w:type="dxa" w:w="26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Skill/Workflow独立版本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知识与数据</w:t>
            </w:r>
          </w:p>
        </w:tc>
        <w:tc>
          <w:tcPr>
            <w:tcW w:type="dxa" w:w="5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知识源、实时数据源、数据范围</w:t>
            </w:r>
          </w:p>
        </w:tc>
        <w:tc>
          <w:tcPr>
            <w:tcW w:type="dxa" w:w="26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知识快照与数据策略版本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工具与连接器</w:t>
            </w:r>
          </w:p>
        </w:tc>
        <w:tc>
          <w:tcPr>
            <w:tcW w:type="dxa" w:w="5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MCP/API/DB/RPA/专业平台权限</w:t>
            </w:r>
          </w:p>
        </w:tc>
        <w:tc>
          <w:tcPr>
            <w:tcW w:type="dxa" w:w="26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Tool/Connector版本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记忆策略</w:t>
            </w:r>
          </w:p>
        </w:tc>
        <w:tc>
          <w:tcPr>
            <w:tcW w:type="dxa" w:w="5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会话、任务、空间、长期记忆范围与保留期</w:t>
            </w:r>
          </w:p>
        </w:tc>
        <w:tc>
          <w:tcPr>
            <w:tcW w:type="dxa" w:w="26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MemoryPolicy版本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自治与审批</w:t>
            </w:r>
          </w:p>
        </w:tc>
        <w:tc>
          <w:tcPr>
            <w:tcW w:type="dxa" w:w="5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L0-L4自治等级、审批条件、额度与影响范围</w:t>
            </w:r>
          </w:p>
        </w:tc>
        <w:tc>
          <w:tcPr>
            <w:tcW w:type="dxa" w:w="26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Policy版本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评测与发布</w:t>
            </w:r>
          </w:p>
        </w:tc>
        <w:tc>
          <w:tcPr>
            <w:tcW w:type="dxa" w:w="5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岗位测试集、回归门禁、灰度范围、回滚点</w:t>
            </w:r>
          </w:p>
        </w:tc>
        <w:tc>
          <w:tcPr>
            <w:tcW w:type="dxa" w:w="26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EvaluationSuite和Release版本</w:t>
            </w:r>
          </w:p>
        </w:tc>
      </w:tr>
    </w:tbl>
    <w:p>
      <w:pPr>
        <w:spacing w:after="0"/>
      </w:pPr>
    </w:p>
    <w:p>
      <w:pPr>
        <w:pStyle w:val="Heading2"/>
      </w:pPr>
      <w:r>
        <w:t>6.3 八步创建入职流程</w:t>
      </w:r>
    </w:p>
    <w:p>
      <w:pPr>
        <w:spacing w:after="40"/>
        <w:ind w:left="230" w:hanging="230"/>
      </w:pPr>
      <w:r>
        <w:rPr>
          <w:b/>
        </w:rPr>
        <w:t xml:space="preserve">1. </w:t>
      </w:r>
      <w:r>
        <w:t>选择岗位模板</w:t>
      </w:r>
    </w:p>
    <w:p>
      <w:pPr>
        <w:spacing w:after="40"/>
        <w:ind w:left="230" w:hanging="230"/>
      </w:pPr>
      <w:r>
        <w:rPr>
          <w:b/>
        </w:rPr>
        <w:t xml:space="preserve">2. </w:t>
      </w:r>
      <w:r>
        <w:t>定义员工身份</w:t>
      </w:r>
    </w:p>
    <w:p>
      <w:pPr>
        <w:spacing w:after="40"/>
        <w:ind w:left="230" w:hanging="230"/>
      </w:pPr>
      <w:r>
        <w:rPr>
          <w:b/>
        </w:rPr>
        <w:t xml:space="preserve">3. </w:t>
      </w:r>
      <w:r>
        <w:t>配置职责与工作边界</w:t>
      </w:r>
    </w:p>
    <w:p>
      <w:pPr>
        <w:spacing w:after="40"/>
        <w:ind w:left="230" w:hanging="230"/>
      </w:pPr>
      <w:r>
        <w:rPr>
          <w:b/>
        </w:rPr>
        <w:t xml:space="preserve">4. </w:t>
      </w:r>
      <w:r>
        <w:t>装配Skills和标准流程</w:t>
      </w:r>
    </w:p>
    <w:p>
      <w:pPr>
        <w:spacing w:after="40"/>
        <w:ind w:left="230" w:hanging="230"/>
      </w:pPr>
      <w:r>
        <w:rPr>
          <w:b/>
        </w:rPr>
        <w:t xml:space="preserve">5. </w:t>
      </w:r>
      <w:r>
        <w:t>连接知识、数据和工具</w:t>
      </w:r>
    </w:p>
    <w:p>
      <w:pPr>
        <w:spacing w:after="40"/>
        <w:ind w:left="230" w:hanging="230"/>
      </w:pPr>
      <w:r>
        <w:rPr>
          <w:b/>
        </w:rPr>
        <w:t xml:space="preserve">6. </w:t>
      </w:r>
      <w:r>
        <w:t>配置权限、自治与审批</w:t>
      </w:r>
    </w:p>
    <w:p>
      <w:pPr>
        <w:spacing w:after="40"/>
        <w:ind w:left="230" w:hanging="230"/>
      </w:pPr>
      <w:r>
        <w:rPr>
          <w:b/>
        </w:rPr>
        <w:t xml:space="preserve">7. </w:t>
      </w:r>
      <w:r>
        <w:t>运行测试与岗位评测</w:t>
      </w:r>
    </w:p>
    <w:p>
      <w:pPr>
        <w:spacing w:after="40"/>
        <w:ind w:left="230" w:hanging="230"/>
      </w:pPr>
      <w:r>
        <w:rPr>
          <w:b/>
        </w:rPr>
        <w:t xml:space="preserve">8. </w:t>
      </w:r>
      <w:r>
        <w:t>发布入职并加入业务空间</w:t>
      </w:r>
    </w:p>
    <w:p>
      <w:pPr>
        <w:pStyle w:val="Heading2"/>
      </w:pPr>
      <w:r>
        <w:t>6.4 发布规则</w:t>
      </w:r>
    </w:p>
    <w:p>
      <w:pPr>
        <w:pStyle w:val="ListBullet"/>
        <w:spacing w:after="40"/>
      </w:pPr>
      <w:r>
        <w:t>草稿员工不得进入正式业务空间或执行生产任务。</w:t>
      </w:r>
    </w:p>
    <w:p>
      <w:pPr>
        <w:pStyle w:val="ListBullet"/>
        <w:spacing w:after="40"/>
      </w:pPr>
      <w:r>
        <w:t>任何模型、Skill、Workflow、工具Schema、知识源或权限策略变更，都必须形成新的员工发布版本或依赖版本记录。</w:t>
      </w:r>
    </w:p>
    <w:p>
      <w:pPr>
        <w:pStyle w:val="ListBullet"/>
        <w:spacing w:after="40"/>
      </w:pPr>
      <w:r>
        <w:t>发布必须通过岗位级Golden Dataset回归、越权测试、工具契约测试和高风险场景测试。</w:t>
      </w:r>
    </w:p>
    <w:p>
      <w:pPr>
        <w:pStyle w:val="ListBullet"/>
        <w:spacing w:after="40"/>
      </w:pPr>
      <w:r>
        <w:t>正在执行的Temporal Workflow需固定其员工版本和依赖版本，不随最新配置静默变化。</w:t>
      </w:r>
    </w:p>
    <w:p>
      <w:pPr>
        <w:pStyle w:val="ListBullet"/>
        <w:spacing w:after="40"/>
      </w:pPr>
      <w:r>
        <w:t>支持灰度发布、指定空间生效、停止接新任务和版本回滚。</w:t>
      </w:r>
    </w:p>
    <w:p>
      <w:pPr>
        <w:pStyle w:val="Heading1"/>
      </w:pPr>
      <w:r>
        <w:t>7. 协作工作台功能需求</w:t>
      </w:r>
    </w:p>
    <w:p>
      <w:pPr>
        <w:pStyle w:val="Heading2"/>
      </w:pPr>
      <w:r>
        <w:t>7.1 个人工作台</w:t>
      </w:r>
    </w:p>
    <w:p>
      <w:pPr>
        <w:pStyle w:val="ListBullet"/>
        <w:spacing w:after="40"/>
      </w:pPr>
      <w:r>
        <w:t>统一任务输入框：自然语言派活并由系统判断员工与空间。</w:t>
      </w:r>
    </w:p>
    <w:p>
      <w:pPr>
        <w:pStyle w:val="ListBullet"/>
        <w:spacing w:after="40"/>
      </w:pPr>
      <w:r>
        <w:t>今日待办、待审批、正在执行、等待人工、异常和最新成果。</w:t>
      </w:r>
    </w:p>
    <w:p>
      <w:pPr>
        <w:pStyle w:val="ListBullet"/>
        <w:spacing w:after="40"/>
      </w:pPr>
      <w:r>
        <w:t>数字员工主动汇报与关键风险提醒。</w:t>
      </w:r>
    </w:p>
    <w:p>
      <w:pPr>
        <w:pStyle w:val="ListBullet"/>
        <w:spacing w:after="40"/>
      </w:pPr>
      <w:r>
        <w:t>常用空间、常用任务模板和周期任务入口。</w:t>
      </w:r>
    </w:p>
    <w:p>
      <w:pPr>
        <w:pStyle w:val="Heading2"/>
      </w:pPr>
      <w:r>
        <w:t>7.2 协作空间与频道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2016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功能</w:t>
            </w:r>
          </w:p>
        </w:tc>
        <w:tc>
          <w:tcPr>
            <w:tcW w:type="dxa" w:w="7992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需求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空间</w:t>
            </w:r>
          </w:p>
        </w:tc>
        <w:tc>
          <w:tcPr>
            <w:tcW w:type="dxa" w:w="79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按部门、项目或业务场景建立，绑定成员、数字员工、知识、数据、工具和权限。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空间首页</w:t>
            </w:r>
          </w:p>
        </w:tc>
        <w:tc>
          <w:tcPr>
            <w:tcW w:type="dxa" w:w="79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展示业务指标、值班员工、重点任务、风险异常、最新成果和频道入口。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频道</w:t>
            </w:r>
          </w:p>
        </w:tc>
        <w:tc>
          <w:tcPr>
            <w:tcW w:type="dxa" w:w="79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支持业务频道、公告频道和任务专题频道；首期采用两栏结构，详情按需以抽屉打开。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群组聊天</w:t>
            </w:r>
          </w:p>
        </w:tc>
        <w:tc>
          <w:tcPr>
            <w:tcW w:type="dxa" w:w="79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人类与数字员工共同在群；支持@、引用、附件、结果卡、任务卡和审批卡。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消息转任务</w:t>
            </w:r>
          </w:p>
        </w:tc>
        <w:tc>
          <w:tcPr>
            <w:tcW w:type="dxa" w:w="79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群消息可显式转为正式任务；达到规则时数字员工可建议创建任务，但需明确告知。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渠道映射</w:t>
            </w:r>
          </w:p>
        </w:tc>
        <w:tc>
          <w:tcPr>
            <w:tcW w:type="dxa" w:w="79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自有Web为首期渠道；后续钉钉、企微、飞书通过Channel Adapter映射到相同空间和频道对象。</w:t>
            </w:r>
          </w:p>
        </w:tc>
      </w:tr>
    </w:tbl>
    <w:p>
      <w:pPr>
        <w:spacing w:after="0"/>
      </w:pPr>
    </w:p>
    <w:p>
      <w:pPr>
        <w:pStyle w:val="Heading2"/>
      </w:pPr>
      <w:r>
        <w:t>7.3 任务中心</w:t>
      </w:r>
    </w:p>
    <w:p>
      <w:pPr>
        <w:pStyle w:val="ListBullet"/>
        <w:spacing w:after="40"/>
      </w:pPr>
      <w:r>
        <w:t>支持我的任务、团队任务、数字员工任务、等待审批、等待输入、异常、定时任务和已完成视图。</w:t>
      </w:r>
    </w:p>
    <w:p>
      <w:pPr>
        <w:pStyle w:val="ListBullet"/>
        <w:spacing w:after="40"/>
      </w:pPr>
      <w:r>
        <w:t>支持列表、看板、时间线和按员工/空间筛选。</w:t>
      </w:r>
    </w:p>
    <w:p>
      <w:pPr>
        <w:pStyle w:val="ListBullet"/>
        <w:spacing w:after="40"/>
      </w:pPr>
      <w:r>
        <w:t>每个任务显示负责人、当前阶段、下一个动作、风险、等待对象、更新时间和交付物。</w:t>
      </w:r>
    </w:p>
    <w:p>
      <w:pPr>
        <w:pStyle w:val="ListBullet"/>
        <w:spacing w:after="40"/>
      </w:pPr>
      <w:r>
        <w:t>任务详情包含概览、执行计划、协作记录、成果方案、证据链和审计日志六个页签。</w:t>
      </w:r>
    </w:p>
    <w:p>
      <w:pPr>
        <w:pStyle w:val="Heading2"/>
      </w:pPr>
      <w:r>
        <w:t>7.4 审批中心</w:t>
      </w:r>
    </w:p>
    <w:p>
      <w:pPr>
        <w:pStyle w:val="ListBullet"/>
        <w:spacing w:after="40"/>
      </w:pPr>
      <w:r>
        <w:t>审批动作包括批准、条件批准、退回补充、修改参数后重算、转交、驳回、批准并执行。</w:t>
      </w:r>
    </w:p>
    <w:p>
      <w:pPr>
        <w:pStyle w:val="ListBullet"/>
        <w:spacing w:after="40"/>
      </w:pPr>
      <w:r>
        <w:t>审批页面必须展示动作目标、影响范围、是否可撤销、回滚方式、数据与模型版本和权限依据。</w:t>
      </w:r>
    </w:p>
    <w:p>
      <w:pPr>
        <w:pStyle w:val="ListBullet"/>
        <w:spacing w:after="40"/>
      </w:pPr>
      <w:r>
        <w:t>高风险外部执行采用“方案批准”和“实际执行批准”可分离机制。</w:t>
      </w:r>
    </w:p>
    <w:p>
      <w:pPr>
        <w:pStyle w:val="Heading2"/>
      </w:pPr>
      <w:r>
        <w:t>7.5 成果中心</w:t>
      </w:r>
    </w:p>
    <w:p>
      <w:pPr>
        <w:pStyle w:val="ListBullet"/>
        <w:spacing w:after="40"/>
      </w:pPr>
      <w:r>
        <w:t>任务完成后形成正式Artifact，不以聊天消息作为唯一交付。</w:t>
      </w:r>
    </w:p>
    <w:p>
      <w:pPr>
        <w:pStyle w:val="ListBullet"/>
        <w:spacing w:after="40"/>
      </w:pPr>
      <w:r>
        <w:t>成果支持版本、对比、引用、分享、下载、归档、来源追溯和关联任务。</w:t>
      </w:r>
    </w:p>
    <w:p>
      <w:pPr>
        <w:pStyle w:val="ListBullet"/>
        <w:spacing w:after="40"/>
      </w:pPr>
      <w:r>
        <w:t>专业系统结果、数字员工解释、风险提示和人工意见必须分别标识。</w:t>
      </w:r>
    </w:p>
    <w:p>
      <w:pPr>
        <w:pStyle w:val="Heading1"/>
      </w:pPr>
      <w:r>
        <w:t>8. 数字员工管理中心功能需求</w:t>
      </w:r>
    </w:p>
    <w:p>
      <w:pPr>
        <w:pStyle w:val="Heading2"/>
      </w:pPr>
      <w:r>
        <w:t>8.1 数字员工花名册与档案</w:t>
      </w:r>
    </w:p>
    <w:p>
      <w:pPr>
        <w:pStyle w:val="ListBullet"/>
        <w:spacing w:after="40"/>
      </w:pPr>
      <w:r>
        <w:t>按组织、岗位、状态、自治等级、能力、工具和负责人筛选。</w:t>
      </w:r>
    </w:p>
    <w:p>
      <w:pPr>
        <w:pStyle w:val="ListBullet"/>
        <w:spacing w:after="40"/>
      </w:pPr>
      <w:r>
        <w:t>员工档案包括主页、职责、能力工具、知识记忆、权限自治、工作流程、评测、版本发布。</w:t>
      </w:r>
    </w:p>
    <w:p>
      <w:pPr>
        <w:pStyle w:val="ListBullet"/>
        <w:spacing w:after="40"/>
      </w:pPr>
      <w:r>
        <w:t>展示当前任务、近期成果、成功率、人工采纳率、接管率、成本与风险状态。</w:t>
      </w:r>
    </w:p>
    <w:p>
      <w:pPr>
        <w:pStyle w:val="Heading2"/>
      </w:pPr>
      <w:r>
        <w:t>8.2 岗位与组织</w:t>
      </w:r>
    </w:p>
    <w:p>
      <w:pPr>
        <w:pStyle w:val="ListBullet"/>
        <w:spacing w:after="40"/>
      </w:pPr>
      <w:r>
        <w:t>岗位模板与企业组织分离：岗位模板可跨租户产品化，企业岗位实例绑定本地组织与权限。</w:t>
      </w:r>
    </w:p>
    <w:p>
      <w:pPr>
        <w:pStyle w:val="ListBullet"/>
        <w:spacing w:after="40"/>
      </w:pPr>
      <w:r>
        <w:t>岗位定义应包含职责、输入输出、SOP、禁区、升级规则、KPI和岗位评测集。</w:t>
      </w:r>
    </w:p>
    <w:p>
      <w:pPr>
        <w:pStyle w:val="Heading2"/>
      </w:pPr>
      <w:r>
        <w:t>8.3 能力中心</w:t>
      </w:r>
    </w:p>
    <w:p>
      <w:pPr>
        <w:pStyle w:val="ListBullet"/>
        <w:spacing w:after="40"/>
      </w:pPr>
      <w:r>
        <w:t>统一管理Skill、Workflow、Tool、Connector、ModelPolicy和Prompt资产。</w:t>
      </w:r>
    </w:p>
    <w:p>
      <w:pPr>
        <w:pStyle w:val="ListBullet"/>
        <w:spacing w:after="40"/>
      </w:pPr>
      <w:r>
        <w:t>每项能力显示契约、适用岗位、风险、版本、调用量、成功率、测试状态和依赖关系。</w:t>
      </w:r>
    </w:p>
    <w:p>
      <w:pPr>
        <w:pStyle w:val="ListBullet"/>
        <w:spacing w:after="40"/>
      </w:pPr>
      <w:r>
        <w:t>支持开发、测试、待发布、已发布、已停用的生命周期。</w:t>
      </w:r>
    </w:p>
    <w:p>
      <w:pPr>
        <w:pStyle w:val="Heading2"/>
      </w:pPr>
      <w:r>
        <w:t>8.4 知识与数据</w:t>
      </w:r>
    </w:p>
    <w:p>
      <w:pPr>
        <w:pStyle w:val="ListBullet"/>
        <w:spacing w:after="40"/>
      </w:pPr>
      <w:r>
        <w:t>管理制度、规程、案例、文档、业务数据源、实时API和数据库连接。</w:t>
      </w:r>
    </w:p>
    <w:p>
      <w:pPr>
        <w:pStyle w:val="ListBullet"/>
        <w:spacing w:after="40"/>
      </w:pPr>
      <w:r>
        <w:t>展示来源、责任人、更新时间、质量、敏感级别、权限和有效期。</w:t>
      </w:r>
    </w:p>
    <w:p>
      <w:pPr>
        <w:pStyle w:val="ListBullet"/>
        <w:spacing w:after="40"/>
      </w:pPr>
      <w:r>
        <w:t>知识发布需形成可引用快照，确保任务结果可复现。</w:t>
      </w:r>
    </w:p>
    <w:p>
      <w:pPr>
        <w:pStyle w:val="Heading2"/>
      </w:pPr>
      <w:r>
        <w:t>8.5 系统连接与运行治理</w:t>
      </w:r>
    </w:p>
    <w:p>
      <w:pPr>
        <w:pStyle w:val="ListBullet"/>
        <w:spacing w:after="40"/>
      </w:pPr>
      <w:r>
        <w:t>连接器详情包括认证、环境、健康状态、能力发现、Schema、超时重试、权限映射和调用记录。</w:t>
      </w:r>
    </w:p>
    <w:p>
      <w:pPr>
        <w:pStyle w:val="ListBullet"/>
        <w:spacing w:after="40"/>
      </w:pPr>
      <w:r>
        <w:t>运行监控支持暂停、终止、重试、人工接管、参数修正和从失败步骤恢复。</w:t>
      </w:r>
    </w:p>
    <w:p>
      <w:pPr>
        <w:pStyle w:val="ListBullet"/>
        <w:spacing w:after="40"/>
      </w:pPr>
      <w:r>
        <w:t>评测运营支持员工版本对比、失败归因、回归测试、成本与业务价值分析。</w:t>
      </w:r>
    </w:p>
    <w:p>
      <w:pPr>
        <w:pStyle w:val="Heading1"/>
      </w:pPr>
      <w:r>
        <w:t>9. Agent智能运行时与Temporal可靠执行</w:t>
      </w:r>
    </w:p>
    <w:p>
      <w:pPr>
        <w:pStyle w:val="Heading2"/>
      </w:pPr>
      <w:r>
        <w:t>9.1 双引擎职责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2160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组件</w:t>
            </w:r>
          </w:p>
        </w:tc>
        <w:tc>
          <w:tcPr>
            <w:tcW w:type="dxa" w:w="4464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负责</w:t>
            </w:r>
          </w:p>
        </w:tc>
        <w:tc>
          <w:tcPr>
            <w:tcW w:type="dxa" w:w="3384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不负责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Temporal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正式任务生命周期、定时、等待、重试、恢复、补偿、子流程、人工信号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不负责自然语言理解、自由规划或专业解释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Agent运行时 / LangGraph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意图理解、岗位路由、Skill选择、计划、工具选择、多Agent协作、结果解释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不成为企业任务生命周期的第二权威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PostgreSQL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任务投影、查询、检索、统计、业务数据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不独立推进工作流状态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Redis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缓存、限流、WebSocket会话和非关键加速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不承载正式任务可靠性</w:t>
            </w:r>
          </w:p>
        </w:tc>
      </w:tr>
    </w:tbl>
    <w:p>
      <w:pPr>
        <w:spacing w:after="0"/>
      </w:pPr>
    </w:p>
    <w:p>
      <w:pPr>
        <w:pStyle w:val="Heading2"/>
      </w:pPr>
      <w:r>
        <w:t>9.2 Workflow设计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3096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Workflow</w:t>
            </w:r>
          </w:p>
        </w:tc>
        <w:tc>
          <w:tcPr>
            <w:tcW w:type="dxa" w:w="244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用途</w:t>
            </w:r>
          </w:p>
        </w:tc>
        <w:tc>
          <w:tcPr>
            <w:tcW w:type="dxa" w:w="4464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关键机制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DigitalEmployeeTaskWorkflow</w:t>
            </w:r>
          </w:p>
        </w:tc>
        <w:tc>
          <w:tcPr>
            <w:tcW w:type="dxa" w:w="24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通用正式任务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权限→理解→选Skill→补参→执行→验证→审批→交付→归档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HumanApprovalWorkflow</w:t>
            </w:r>
          </w:p>
        </w:tc>
        <w:tc>
          <w:tcPr>
            <w:tcW w:type="dxa" w:w="24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统一审批子流程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Signal/Update、超时升级、批准/驳回/退回/条件批准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ScheduledEmployeeWorkflow</w:t>
            </w:r>
          </w:p>
        </w:tc>
        <w:tc>
          <w:tcPr>
            <w:tcW w:type="dxa" w:w="24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周期任务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Temporal Schedule、错过补偿、并发策略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MultiAgentCollaborationWorkflow</w:t>
            </w:r>
          </w:p>
        </w:tc>
        <w:tc>
          <w:tcPr>
            <w:tcW w:type="dxa" w:w="24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多员工协作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Child Workflow、并行/串行、结果汇总、冲突升级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ExternalActionWorkflow</w:t>
            </w:r>
          </w:p>
        </w:tc>
        <w:tc>
          <w:tcPr>
            <w:tcW w:type="dxa" w:w="24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高风险外部动作</w:t>
            </w:r>
          </w:p>
        </w:tc>
        <w:tc>
          <w:tcPr>
            <w:tcW w:type="dxa" w:w="44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预览、双重校验、审批、幂等执行、回执验证、补偿</w:t>
            </w:r>
          </w:p>
        </w:tc>
      </w:tr>
    </w:tbl>
    <w:p>
      <w:pPr>
        <w:spacing w:after="0"/>
      </w:pPr>
    </w:p>
    <w:p>
      <w:pPr>
        <w:pStyle w:val="Heading2"/>
      </w:pPr>
      <w:r>
        <w:t>9.3 Activity规则</w:t>
      </w:r>
    </w:p>
    <w:p>
      <w:pPr>
        <w:pStyle w:val="ListBullet"/>
        <w:spacing w:after="40"/>
      </w:pPr>
      <w:r>
        <w:t>所有LLM、HTTP、数据库、文件、MCP、专业模型、消息和业务系统调用必须在Activity中执行。</w:t>
      </w:r>
    </w:p>
    <w:p>
      <w:pPr>
        <w:pStyle w:val="ListBullet"/>
        <w:spacing w:after="40"/>
      </w:pPr>
      <w:r>
        <w:t>Activity必须设计幂等键、超时、重试、不可重试错误、Heartbeat和补偿策略。</w:t>
      </w:r>
    </w:p>
    <w:p>
      <w:pPr>
        <w:pStyle w:val="ListBullet"/>
        <w:spacing w:after="40"/>
      </w:pPr>
      <w:r>
        <w:t>大数据、长文本和文件不进入Workflow Event History，只保存Artifact引用、校验值和摘要。</w:t>
      </w:r>
    </w:p>
    <w:p>
      <w:pPr>
        <w:pStyle w:val="ListBullet"/>
        <w:spacing w:after="40"/>
      </w:pPr>
      <w:r>
        <w:t>长期Workflow必须设计Continue-As-New和历史容量策略。</w:t>
      </w:r>
    </w:p>
    <w:p>
      <w:pPr>
        <w:pStyle w:val="ListBullet"/>
        <w:spacing w:after="40"/>
      </w:pPr>
      <w:r>
        <w:t>Worker发布需使用兼容性/版本机制，避免新代码破坏存量任务。</w:t>
      </w:r>
    </w:p>
    <w:p>
      <w:pPr>
        <w:pStyle w:val="Heading2"/>
      </w:pPr>
      <w:r>
        <w:t>9.4 Agent运行机制</w:t>
      </w:r>
    </w:p>
    <w:p>
      <w:pPr>
        <w:spacing w:after="40"/>
        <w:ind w:left="230" w:hanging="230"/>
      </w:pPr>
      <w:r>
        <w:rPr>
          <w:b/>
        </w:rPr>
        <w:t xml:space="preserve">1. </w:t>
      </w:r>
      <w:r>
        <w:t>解析统一事件与任务上下文</w:t>
      </w:r>
    </w:p>
    <w:p>
      <w:pPr>
        <w:spacing w:after="40"/>
        <w:ind w:left="230" w:hanging="230"/>
      </w:pPr>
      <w:r>
        <w:rPr>
          <w:b/>
        </w:rPr>
        <w:t xml:space="preserve">2. </w:t>
      </w:r>
      <w:r>
        <w:t>根据员工职责和路由策略判断承接关系</w:t>
      </w:r>
    </w:p>
    <w:p>
      <w:pPr>
        <w:spacing w:after="40"/>
        <w:ind w:left="230" w:hanging="230"/>
      </w:pPr>
      <w:r>
        <w:rPr>
          <w:b/>
        </w:rPr>
        <w:t xml:space="preserve">3. </w:t>
      </w:r>
      <w:r>
        <w:t>选择Skill并生成结构化执行计划</w:t>
      </w:r>
    </w:p>
    <w:p>
      <w:pPr>
        <w:spacing w:after="40"/>
        <w:ind w:left="230" w:hanging="230"/>
      </w:pPr>
      <w:r>
        <w:rPr>
          <w:b/>
        </w:rPr>
        <w:t xml:space="preserve">4. </w:t>
      </w:r>
      <w:r>
        <w:t>检查参数、权限和风险</w:t>
      </w:r>
    </w:p>
    <w:p>
      <w:pPr>
        <w:spacing w:after="40"/>
        <w:ind w:left="230" w:hanging="230"/>
      </w:pPr>
      <w:r>
        <w:rPr>
          <w:b/>
        </w:rPr>
        <w:t xml:space="preserve">5. </w:t>
      </w:r>
      <w:r>
        <w:t>通过Temporal Activity调用模型、工具和专业能力</w:t>
      </w:r>
    </w:p>
    <w:p>
      <w:pPr>
        <w:spacing w:after="40"/>
        <w:ind w:left="230" w:hanging="230"/>
      </w:pPr>
      <w:r>
        <w:rPr>
          <w:b/>
        </w:rPr>
        <w:t xml:space="preserve">6. </w:t>
      </w:r>
      <w:r>
        <w:t>基于工具证据生成解释，不修改权威数值</w:t>
      </w:r>
    </w:p>
    <w:p>
      <w:pPr>
        <w:spacing w:after="40"/>
        <w:ind w:left="230" w:hanging="230"/>
      </w:pPr>
      <w:r>
        <w:rPr>
          <w:b/>
        </w:rPr>
        <w:t xml:space="preserve">7. </w:t>
      </w:r>
      <w:r>
        <w:t>必要时请求补参、审批、转交或人工接管</w:t>
      </w:r>
    </w:p>
    <w:p>
      <w:pPr>
        <w:spacing w:after="40"/>
        <w:ind w:left="230" w:hanging="230"/>
      </w:pPr>
      <w:r>
        <w:rPr>
          <w:b/>
        </w:rPr>
        <w:t xml:space="preserve">8. </w:t>
      </w:r>
      <w:r>
        <w:t>输出结构化结果、证据与下一步建议</w:t>
      </w:r>
    </w:p>
    <w:p>
      <w:pPr>
        <w:pStyle w:val="Heading2"/>
      </w:pPr>
      <w:r>
        <w:t>9.5 多Agent协作原则</w:t>
      </w:r>
    </w:p>
    <w:p>
      <w:pPr>
        <w:pStyle w:val="ListBullet"/>
        <w:spacing w:after="40"/>
      </w:pPr>
      <w:r>
        <w:t>优先由任务主管员工协调专业员工，而非无约束群体对话。</w:t>
      </w:r>
    </w:p>
    <w:p>
      <w:pPr>
        <w:pStyle w:val="ListBullet"/>
        <w:spacing w:after="40"/>
      </w:pPr>
      <w:r>
        <w:t>独立、有状态、可审批的专业子任务使用Child Workflow；短时判断可作为Activity或Agent子图。</w:t>
      </w:r>
    </w:p>
    <w:p>
      <w:pPr>
        <w:pStyle w:val="ListBullet"/>
        <w:spacing w:after="40"/>
      </w:pPr>
      <w:r>
        <w:t>意见冲突必须呈现证据、置信度和争议点，并升级给人类负责人。</w:t>
      </w:r>
    </w:p>
    <w:p>
      <w:pPr>
        <w:pStyle w:val="ListBullet"/>
        <w:spacing w:after="40"/>
      </w:pPr>
      <w:r>
        <w:t>每个子结果保留员工版本、Skill版本、工具证据和成本。</w:t>
      </w:r>
    </w:p>
    <w:p>
      <w:pPr>
        <w:pStyle w:val="Heading1"/>
      </w:pPr>
      <w:r>
        <w:t>10. Skill、工具网关与连接器体系</w:t>
      </w:r>
    </w:p>
    <w:p>
      <w:pPr>
        <w:pStyle w:val="Heading2"/>
      </w:pPr>
      <w:r>
        <w:t>10.1 Skill一级资产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DejaVu Sans Mono" w:hAnsi="DejaVu Sans Mono" w:eastAsia="Noto Sans CJK SC"/>
                <w:color w:val="1F2937"/>
                <w:sz w:val="17"/>
              </w:rPr>
              <w:t>SkillDefinition</w:t>
              <w:br/>
            </w:r>
            <w:r>
              <w:rPr>
                <w:rFonts w:ascii="DejaVu Sans Mono" w:hAnsi="DejaVu Sans Mono" w:eastAsia="Noto Sans CJK SC"/>
                <w:color w:val="1F2937"/>
                <w:sz w:val="17"/>
              </w:rPr>
              <w:t>- skill_key / version / status</w:t>
              <w:br/>
            </w:r>
            <w:r>
              <w:rPr>
                <w:rFonts w:ascii="DejaVu Sans Mono" w:hAnsi="DejaVu Sans Mono" w:eastAsia="Noto Sans CJK SC"/>
                <w:color w:val="1F2937"/>
                <w:sz w:val="17"/>
              </w:rPr>
              <w:t>- name / description / applicable_roles</w:t>
              <w:br/>
            </w:r>
            <w:r>
              <w:rPr>
                <w:rFonts w:ascii="DejaVu Sans Mono" w:hAnsi="DejaVu Sans Mono" w:eastAsia="Noto Sans CJK SC"/>
                <w:color w:val="1F2937"/>
                <w:sz w:val="17"/>
              </w:rPr>
              <w:t>- input_schema / output_schema</w:t>
              <w:br/>
            </w:r>
            <w:r>
              <w:rPr>
                <w:rFonts w:ascii="DejaVu Sans Mono" w:hAnsi="DejaVu Sans Mono" w:eastAsia="Noto Sans CJK SC"/>
                <w:color w:val="1F2937"/>
                <w:sz w:val="17"/>
              </w:rPr>
              <w:t>- workflow_binding / tool_dependencies</w:t>
              <w:br/>
            </w:r>
            <w:r>
              <w:rPr>
                <w:rFonts w:ascii="DejaVu Sans Mono" w:hAnsi="DejaVu Sans Mono" w:eastAsia="Noto Sans CJK SC"/>
                <w:color w:val="1F2937"/>
                <w:sz w:val="17"/>
              </w:rPr>
              <w:t>- risk_level / required_permissions</w:t>
              <w:br/>
            </w:r>
            <w:r>
              <w:rPr>
                <w:rFonts w:ascii="DejaVu Sans Mono" w:hAnsi="DejaVu Sans Mono" w:eastAsia="Noto Sans CJK SC"/>
                <w:color w:val="1F2937"/>
                <w:sz w:val="17"/>
              </w:rPr>
              <w:t>- approval_policy / timeout_policy / error_contract</w:t>
              <w:br/>
            </w:r>
            <w:r>
              <w:rPr>
                <w:rFonts w:ascii="DejaVu Sans Mono" w:hAnsi="DejaVu Sans Mono" w:eastAsia="Noto Sans CJK SC"/>
                <w:color w:val="1F2937"/>
                <w:sz w:val="17"/>
              </w:rPr>
              <w:t>- evaluation_suite / release_scope</w:t>
              <w:br/>
            </w:r>
          </w:p>
        </w:tc>
      </w:tr>
    </w:tbl>
    <w:p>
      <w:pPr>
        <w:spacing w:after="0"/>
      </w:pPr>
    </w:p>
    <w:p>
      <w:pPr>
        <w:pStyle w:val="Heading2"/>
      </w:pPr>
      <w:r>
        <w:t>10.2 Tool Gateway</w:t>
      </w:r>
    </w:p>
    <w:p>
      <w:r>
        <w:t>Agent不得直接访问客户系统。调用链统一为：Agent → Skill → Tool Gateway → 权限、风险、参数和审批检查 → Connector → 外部系统。工具网关统一处理租户隔离、身份映射、密钥、幂等、超时、重试、限流、脱敏、回执和审计。</w:t>
      </w:r>
    </w:p>
    <w:p>
      <w:pPr>
        <w:pStyle w:val="Heading2"/>
      </w:pPr>
      <w:r>
        <w:t>10.3 连接器类型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1944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3312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4824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示例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MCP</w:t>
            </w:r>
          </w:p>
        </w:tc>
        <w:tc>
          <w:tcPr>
            <w:tcW w:type="dxa" w:w="33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标准化暴露Tools、Resources和Prompts</w:t>
            </w:r>
          </w:p>
        </w:tc>
        <w:tc>
          <w:tcPr>
            <w:tcW w:type="dxa" w:w="48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知识库、文件、专业算法、数据服务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REST/GraphQL</w:t>
            </w:r>
          </w:p>
        </w:tc>
        <w:tc>
          <w:tcPr>
            <w:tcW w:type="dxa" w:w="33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现代业务系统接口</w:t>
            </w:r>
          </w:p>
        </w:tc>
        <w:tc>
          <w:tcPr>
            <w:tcW w:type="dxa" w:w="48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OA、交易、安全生产、设备平台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数据库连接</w:t>
            </w:r>
          </w:p>
        </w:tc>
        <w:tc>
          <w:tcPr>
            <w:tcW w:type="dxa" w:w="33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受控只读查询或经审批写入</w:t>
            </w:r>
          </w:p>
        </w:tc>
        <w:tc>
          <w:tcPr>
            <w:tcW w:type="dxa" w:w="48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数据中台、报表库、业务台账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消息与事件</w:t>
            </w:r>
          </w:p>
        </w:tc>
        <w:tc>
          <w:tcPr>
            <w:tcW w:type="dxa" w:w="33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订阅业务事件和告警</w:t>
            </w:r>
          </w:p>
        </w:tc>
        <w:tc>
          <w:tcPr>
            <w:tcW w:type="dxa" w:w="48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Kafka/NATS/企业消息总线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RPA</w:t>
            </w:r>
          </w:p>
        </w:tc>
        <w:tc>
          <w:tcPr>
            <w:tcW w:type="dxa" w:w="33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无API旧系统的受控界面操作</w:t>
            </w:r>
          </w:p>
        </w:tc>
        <w:tc>
          <w:tcPr>
            <w:tcW w:type="dxa" w:w="48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老旧台账、专用客户端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AI平台适配</w:t>
            </w:r>
          </w:p>
        </w:tc>
        <w:tc>
          <w:tcPr>
            <w:tcW w:type="dxa" w:w="33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复用现有AI能力</w:t>
            </w:r>
          </w:p>
        </w:tc>
        <w:tc>
          <w:tcPr>
            <w:tcW w:type="dxa" w:w="48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Dify、FastGPT、自研智能体平台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专业能力平台</w:t>
            </w:r>
          </w:p>
        </w:tc>
        <w:tc>
          <w:tcPr>
            <w:tcW w:type="dxa" w:w="33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预测、识别、优化、仿真、诊断</w:t>
            </w:r>
          </w:p>
        </w:tc>
        <w:tc>
          <w:tcPr>
            <w:tcW w:type="dxa" w:w="48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运筹优化平台、时序模型、多模态算法</w:t>
            </w:r>
          </w:p>
        </w:tc>
      </w:tr>
    </w:tbl>
    <w:p>
      <w:pPr>
        <w:spacing w:after="0"/>
      </w:pPr>
    </w:p>
    <w:p>
      <w:pPr>
        <w:pStyle w:val="Heading2"/>
      </w:pPr>
      <w:r>
        <w:t>10.4 统一工具结果契约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DejaVu Sans Mono" w:hAnsi="DejaVu Sans Mono" w:eastAsia="Noto Sans CJK SC"/>
                <w:color w:val="1F2937"/>
                <w:sz w:val="17"/>
              </w:rPr>
              <w:t>{</w:t>
              <w:br/>
            </w:r>
            <w:r>
              <w:rPr>
                <w:rFonts w:ascii="DejaVu Sans Mono" w:hAnsi="DejaVu Sans Mono" w:eastAsia="Noto Sans CJK SC"/>
                <w:color w:val="1F2937"/>
                <w:sz w:val="17"/>
              </w:rPr>
              <w:t xml:space="preserve">  "success": true,</w:t>
              <w:br/>
            </w:r>
            <w:r>
              <w:rPr>
                <w:rFonts w:ascii="DejaVu Sans Mono" w:hAnsi="DejaVu Sans Mono" w:eastAsia="Noto Sans CJK SC"/>
                <w:color w:val="1F2937"/>
                <w:sz w:val="17"/>
              </w:rPr>
              <w:t xml:space="preserve">  "status": "completed",</w:t>
              <w:br/>
            </w:r>
            <w:r>
              <w:rPr>
                <w:rFonts w:ascii="DejaVu Sans Mono" w:hAnsi="DejaVu Sans Mono" w:eastAsia="Noto Sans CJK SC"/>
                <w:color w:val="1F2937"/>
                <w:sz w:val="17"/>
              </w:rPr>
              <w:t xml:space="preserve">  "data_ref": "artifact://...",</w:t>
              <w:br/>
            </w:r>
            <w:r>
              <w:rPr>
                <w:rFonts w:ascii="DejaVu Sans Mono" w:hAnsi="DejaVu Sans Mono" w:eastAsia="Noto Sans CJK SC"/>
                <w:color w:val="1F2937"/>
                <w:sz w:val="17"/>
              </w:rPr>
              <w:t xml:space="preserve">  "summary": {},</w:t>
              <w:br/>
            </w:r>
            <w:r>
              <w:rPr>
                <w:rFonts w:ascii="DejaVu Sans Mono" w:hAnsi="DejaVu Sans Mono" w:eastAsia="Noto Sans CJK SC"/>
                <w:color w:val="1F2937"/>
                <w:sz w:val="17"/>
              </w:rPr>
              <w:t xml:space="preserve">  "evidence": {</w:t>
              <w:br/>
            </w:r>
            <w:r>
              <w:rPr>
                <w:rFonts w:ascii="DejaVu Sans Mono" w:hAnsi="DejaVu Sans Mono" w:eastAsia="Noto Sans CJK SC"/>
                <w:color w:val="1F2937"/>
                <w:sz w:val="17"/>
              </w:rPr>
              <w:t xml:space="preserve">    "source": "...",</w:t>
              <w:br/>
            </w:r>
            <w:r>
              <w:rPr>
                <w:rFonts w:ascii="DejaVu Sans Mono" w:hAnsi="DejaVu Sans Mono" w:eastAsia="Noto Sans CJK SC"/>
                <w:color w:val="1F2937"/>
                <w:sz w:val="17"/>
              </w:rPr>
              <w:t xml:space="preserve">    "data_time": "...",</w:t>
              <w:br/>
            </w:r>
            <w:r>
              <w:rPr>
                <w:rFonts w:ascii="DejaVu Sans Mono" w:hAnsi="DejaVu Sans Mono" w:eastAsia="Noto Sans CJK SC"/>
                <w:color w:val="1F2937"/>
                <w:sz w:val="17"/>
              </w:rPr>
              <w:t xml:space="preserve">    "request_id": "...",</w:t>
              <w:br/>
            </w:r>
            <w:r>
              <w:rPr>
                <w:rFonts w:ascii="DejaVu Sans Mono" w:hAnsi="DejaVu Sans Mono" w:eastAsia="Noto Sans CJK SC"/>
                <w:color w:val="1F2937"/>
                <w:sz w:val="17"/>
              </w:rPr>
              <w:t xml:space="preserve">    "model_or_service_version": "...",</w:t>
              <w:br/>
            </w:r>
            <w:r>
              <w:rPr>
                <w:rFonts w:ascii="DejaVu Sans Mono" w:hAnsi="DejaVu Sans Mono" w:eastAsia="Noto Sans CJK SC"/>
                <w:color w:val="1F2937"/>
                <w:sz w:val="17"/>
              </w:rPr>
              <w:t xml:space="preserve">    "checksum": "..."</w:t>
              <w:br/>
            </w:r>
            <w:r>
              <w:rPr>
                <w:rFonts w:ascii="DejaVu Sans Mono" w:hAnsi="DejaVu Sans Mono" w:eastAsia="Noto Sans CJK SC"/>
                <w:color w:val="1F2937"/>
                <w:sz w:val="17"/>
              </w:rPr>
              <w:t xml:space="preserve">  },</w:t>
              <w:br/>
            </w:r>
            <w:r>
              <w:rPr>
                <w:rFonts w:ascii="DejaVu Sans Mono" w:hAnsi="DejaVu Sans Mono" w:eastAsia="Noto Sans CJK SC"/>
                <w:color w:val="1F2937"/>
                <w:sz w:val="17"/>
              </w:rPr>
              <w:t xml:space="preserve">  "warnings": [],</w:t>
              <w:br/>
            </w:r>
            <w:r>
              <w:rPr>
                <w:rFonts w:ascii="DejaVu Sans Mono" w:hAnsi="DejaVu Sans Mono" w:eastAsia="Noto Sans CJK SC"/>
                <w:color w:val="1F2937"/>
                <w:sz w:val="17"/>
              </w:rPr>
              <w:t xml:space="preserve">  "errors": []</w:t>
              <w:br/>
            </w:r>
            <w:r>
              <w:rPr>
                <w:rFonts w:ascii="DejaVu Sans Mono" w:hAnsi="DejaVu Sans Mono" w:eastAsia="Noto Sans CJK SC"/>
                <w:color w:val="1F2937"/>
                <w:sz w:val="17"/>
              </w:rPr>
              <w:t>}</w:t>
              <w:br/>
            </w:r>
          </w:p>
        </w:tc>
      </w:tr>
    </w:tbl>
    <w:p>
      <w:pPr>
        <w:spacing w:after="0"/>
      </w:pPr>
    </w:p>
    <w:p>
      <w:pPr>
        <w:pStyle w:val="Heading1"/>
      </w:pPr>
      <w:r>
        <w:t>11. 知识、数据、记忆、成果与证据</w:t>
      </w:r>
    </w:p>
    <w:p>
      <w:pPr>
        <w:pStyle w:val="Heading2"/>
      </w:pPr>
      <w:r>
        <w:t>11.1 四类信息严格分离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  <w:cantSplit/>
        </w:trPr>
        <w:tc>
          <w:tcPr>
            <w:tcW w:type="dxa" w:w="1584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类别</w:t>
            </w:r>
          </w:p>
        </w:tc>
        <w:tc>
          <w:tcPr>
            <w:tcW w:type="dxa" w:w="316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内容</w:t>
            </w:r>
          </w:p>
        </w:tc>
        <w:tc>
          <w:tcPr>
            <w:tcW w:type="dxa" w:w="2952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主要存储/访问</w:t>
            </w:r>
          </w:p>
        </w:tc>
        <w:tc>
          <w:tcPr>
            <w:tcW w:type="dxa" w:w="244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关键治理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知识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制度、规程、说明书、案例、专家经验</w:t>
            </w:r>
          </w:p>
        </w:tc>
        <w:tc>
          <w:tcPr>
            <w:tcW w:type="dxa" w:w="29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对象存储+元数据+全文/向量索引</w:t>
            </w:r>
          </w:p>
        </w:tc>
        <w:tc>
          <w:tcPr>
            <w:tcW w:type="dxa" w:w="24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版本快照、来源、有效期、引用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业务数据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实时测点、交易、设备、工单、隐患、票证</w:t>
            </w:r>
          </w:p>
        </w:tc>
        <w:tc>
          <w:tcPr>
            <w:tcW w:type="dxa" w:w="29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原系统/API/数据服务，必要时缓存</w:t>
            </w:r>
          </w:p>
        </w:tc>
        <w:tc>
          <w:tcPr>
            <w:tcW w:type="dxa" w:w="24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实时性、质量、权限、最小复制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记忆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会话、任务、空间、员工长期记忆</w:t>
            </w:r>
          </w:p>
        </w:tc>
        <w:tc>
          <w:tcPr>
            <w:tcW w:type="dxa" w:w="29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PostgreSQL/专用记忆服务</w:t>
            </w:r>
          </w:p>
        </w:tc>
        <w:tc>
          <w:tcPr>
            <w:tcW w:type="dxa" w:w="24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写入审批、保留期、可编辑、可遗忘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成果与证据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报告、方案、曲线、文件、模型结果、回执</w:t>
            </w:r>
          </w:p>
        </w:tc>
        <w:tc>
          <w:tcPr>
            <w:tcW w:type="dxa" w:w="29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Artifact Service+MinIO+元数据</w:t>
            </w:r>
          </w:p>
        </w:tc>
        <w:tc>
          <w:tcPr>
            <w:tcW w:type="dxa" w:w="24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不可抵赖、版本、校验、关联执行</w:t>
            </w:r>
          </w:p>
        </w:tc>
      </w:tr>
    </w:tbl>
    <w:p>
      <w:pPr>
        <w:spacing w:after="0"/>
      </w:pPr>
    </w:p>
    <w:p>
      <w:pPr>
        <w:pStyle w:val="Heading2"/>
      </w:pPr>
      <w:r>
        <w:t>11.2 记忆策略</w:t>
      </w:r>
    </w:p>
    <w:p>
      <w:pPr>
        <w:pStyle w:val="ListBullet"/>
        <w:spacing w:after="40"/>
      </w:pPr>
      <w:r>
        <w:t>会话记忆用于短期对话连续性；任务记忆由任务上下文和执行证据构成。</w:t>
      </w:r>
    </w:p>
    <w:p>
      <w:pPr>
        <w:pStyle w:val="ListBullet"/>
        <w:spacing w:after="40"/>
      </w:pPr>
      <w:r>
        <w:t>空间记忆保存经过确认的业务约定和共享背景；员工长期记忆只保存允许跨任务复用的信息。</w:t>
      </w:r>
    </w:p>
    <w:p>
      <w:pPr>
        <w:pStyle w:val="ListBullet"/>
        <w:spacing w:after="40"/>
      </w:pPr>
      <w:r>
        <w:t>数字员工不得自行无限保存敏感内容；长期记忆写入需策略过滤、来源记录和保留期。</w:t>
      </w:r>
    </w:p>
    <w:p>
      <w:pPr>
        <w:pStyle w:val="ListBullet"/>
        <w:spacing w:after="40"/>
      </w:pPr>
      <w:r>
        <w:t>用户可查看、纠正、删除或禁止某类记忆。</w:t>
      </w:r>
    </w:p>
    <w:p>
      <w:pPr>
        <w:pStyle w:val="Heading2"/>
      </w:pPr>
      <w:r>
        <w:t>11.3 证据链</w:t>
      </w:r>
    </w:p>
    <w:p>
      <w:pPr>
        <w:pStyle w:val="ListBullet"/>
        <w:spacing w:after="40"/>
      </w:pPr>
      <w:r>
        <w:t>记录任务来源、理解结果、计划、数据来源、工具调用、模型版本、输入输出摘要、审批和人工修改。</w:t>
      </w:r>
    </w:p>
    <w:p>
      <w:pPr>
        <w:pStyle w:val="ListBullet"/>
        <w:spacing w:after="40"/>
      </w:pPr>
      <w:r>
        <w:t>数值结论优先引用专业系统权威输出；大模型只做解释和组织，不重算或覆盖结果。</w:t>
      </w:r>
    </w:p>
    <w:p>
      <w:pPr>
        <w:pStyle w:val="ListBullet"/>
        <w:spacing w:after="40"/>
      </w:pPr>
      <w:r>
        <w:t>成果必须能够从Artifact追溯到Task、Workflow、AgentRun、SkillRun和ToolCall。</w:t>
      </w:r>
    </w:p>
    <w:p>
      <w:pPr>
        <w:pStyle w:val="Heading1"/>
      </w:pPr>
      <w:r>
        <w:t>12. 身份、权限、审批、安全与审计</w:t>
      </w:r>
    </w:p>
    <w:p>
      <w:pPr>
        <w:pStyle w:val="Heading2"/>
      </w:pPr>
      <w:r>
        <w:t>12.1 身份体系</w:t>
      </w:r>
    </w:p>
    <w:p>
      <w:pPr>
        <w:pStyle w:val="ListBullet"/>
        <w:spacing w:after="40"/>
      </w:pPr>
      <w:r>
        <w:t>支持人类用户、数字员工、服务账号、外部系统和第三方渠道身份。</w:t>
      </w:r>
    </w:p>
    <w:p>
      <w:pPr>
        <w:pStyle w:val="ListBullet"/>
        <w:spacing w:after="40"/>
      </w:pPr>
      <w:r>
        <w:t>所有数字员工具有独立身份和责任人，不使用共享管理员凭据。</w:t>
      </w:r>
    </w:p>
    <w:p>
      <w:pPr>
        <w:pStyle w:val="ListBullet"/>
        <w:spacing w:after="40"/>
      </w:pPr>
      <w:r>
        <w:t>企业SSO采用OIDC/SAML适配；自有账号仅作为开发和应急方式。</w:t>
      </w:r>
    </w:p>
    <w:p>
      <w:pPr>
        <w:pStyle w:val="Heading2"/>
      </w:pPr>
      <w:r>
        <w:t>12.2 权限模型</w:t>
      </w:r>
    </w:p>
    <w:p>
      <w:r>
        <w:t>RBAC定义岗位与基础权限，ABAC根据租户、组织、空间、数据范围、设备、金额、风险、时间和动作属性做细粒度控制。权限必须在API、Temporal Workflow和Tool Gateway多层校验，不能依赖Prompt或前端。</w:t>
      </w:r>
    </w:p>
    <w:p>
      <w:pPr>
        <w:pStyle w:val="Heading2"/>
      </w:pPr>
      <w:r>
        <w:t>12.3 自治等级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2016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4680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能力边界</w:t>
            </w:r>
          </w:p>
        </w:tc>
        <w:tc>
          <w:tcPr>
            <w:tcW w:type="dxa" w:w="316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示例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L0 查询解释</w:t>
            </w:r>
          </w:p>
        </w:tc>
        <w:tc>
          <w:tcPr>
            <w:tcW w:type="dxa" w:w="4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只读查询和说明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知识问答、数据查询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L1 草稿建议</w:t>
            </w:r>
          </w:p>
        </w:tc>
        <w:tc>
          <w:tcPr>
            <w:tcW w:type="dxa" w:w="4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生成草稿，不落业务系统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报告草稿、方案建议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L2 低风险可逆执行</w:t>
            </w:r>
          </w:p>
        </w:tc>
        <w:tc>
          <w:tcPr>
            <w:tcW w:type="dxa" w:w="4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按策略自动执行并可撤销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创建待办、发送内部提醒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L3 审批后执行</w:t>
            </w:r>
          </w:p>
        </w:tc>
        <w:tc>
          <w:tcPr>
            <w:tcW w:type="dxa" w:w="4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必须人工审批后写外部系统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发起正式申报、创建高风险工单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L4 仅辅助决策</w:t>
            </w:r>
          </w:p>
        </w:tc>
        <w:tc>
          <w:tcPr>
            <w:tcW w:type="dxa" w:w="4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禁止自动执行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实时控制、重大安全和资金操作</w:t>
            </w:r>
          </w:p>
        </w:tc>
      </w:tr>
    </w:tbl>
    <w:p>
      <w:pPr>
        <w:spacing w:after="0"/>
      </w:pPr>
    </w:p>
    <w:p>
      <w:pPr>
        <w:pStyle w:val="Heading2"/>
      </w:pPr>
      <w:r>
        <w:t>12.4 审计要求</w:t>
      </w:r>
    </w:p>
    <w:p>
      <w:pPr>
        <w:pStyle w:val="ListBullet"/>
        <w:spacing w:after="40"/>
      </w:pPr>
      <w:r>
        <w:t>审计日志追加写、禁止业务用户覆盖；记录操作者、身份、时间、对象、前后值、原因、审批和追踪ID。</w:t>
      </w:r>
    </w:p>
    <w:p>
      <w:pPr>
        <w:pStyle w:val="ListBullet"/>
        <w:spacing w:after="40"/>
      </w:pPr>
      <w:r>
        <w:t>密钥不进入Prompt、Workflow History或普通日志；通过Secret Manager按Connector和租户隔离。</w:t>
      </w:r>
    </w:p>
    <w:p>
      <w:pPr>
        <w:pStyle w:val="ListBullet"/>
        <w:spacing w:after="40"/>
      </w:pPr>
      <w:r>
        <w:t>敏感数据在模型网关和工具网关执行脱敏、阻断或私有模型路由。</w:t>
      </w:r>
    </w:p>
    <w:p>
      <w:pPr>
        <w:pStyle w:val="Heading1"/>
      </w:pPr>
      <w:r>
        <w:t>13. 评测、绩效、成本与可观测性</w:t>
      </w:r>
    </w:p>
    <w:p>
      <w:pPr>
        <w:pStyle w:val="Heading2"/>
      </w:pPr>
      <w:r>
        <w:t>13.1 岗位级评测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244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评测层</w:t>
            </w:r>
          </w:p>
        </w:tc>
        <w:tc>
          <w:tcPr>
            <w:tcW w:type="dxa" w:w="7560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指标示例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理解与路由</w:t>
            </w:r>
          </w:p>
        </w:tc>
        <w:tc>
          <w:tcPr>
            <w:tcW w:type="dxa" w:w="75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任务分类准确率、职责越界率、参数识别率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知识与分析</w:t>
            </w:r>
          </w:p>
        </w:tc>
        <w:tc>
          <w:tcPr>
            <w:tcW w:type="dxa" w:w="75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引用正确率、事实一致性、规则覆盖、幻觉率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工具执行</w:t>
            </w:r>
          </w:p>
        </w:tc>
        <w:tc>
          <w:tcPr>
            <w:tcW w:type="dxa" w:w="75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调用成功率、幂等正确性、Schema合规、失败恢复率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业务结果</w:t>
            </w:r>
          </w:p>
        </w:tc>
        <w:tc>
          <w:tcPr>
            <w:tcW w:type="dxa" w:w="75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结果正确率、人工采纳率、修改率、业务收益或效率提升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安全治理</w:t>
            </w:r>
          </w:p>
        </w:tc>
        <w:tc>
          <w:tcPr>
            <w:tcW w:type="dxa" w:w="75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越权率、敏感数据泄露率、高风险审批漏拦截率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协作体验</w:t>
            </w:r>
          </w:p>
        </w:tc>
        <w:tc>
          <w:tcPr>
            <w:tcW w:type="dxa" w:w="75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响应时间、主动汇报有效率、群内噪声率、用户满意度</w:t>
            </w:r>
          </w:p>
        </w:tc>
      </w:tr>
    </w:tbl>
    <w:p>
      <w:pPr>
        <w:spacing w:after="0"/>
      </w:pPr>
    </w:p>
    <w:p>
      <w:pPr>
        <w:pStyle w:val="Heading2"/>
      </w:pPr>
      <w:r>
        <w:t>13.2 生产可观测性</w:t>
      </w:r>
    </w:p>
    <w:p>
      <w:r>
        <w:t>全链路统一关联conversation_id、message_id、task_id、workflow_id、agent_run_id、skill_run_id、tool_call_id、approval_id、artifact_id和trace_id。通过OpenTelemetry采集traces、metrics和logs，并对模型成本、Token、Activity耗时、失败重试和人工等待建立指标。</w:t>
      </w:r>
    </w:p>
    <w:p>
      <w:pPr>
        <w:pStyle w:val="Heading2"/>
      </w:pPr>
      <w:r>
        <w:t>13.3 绩效原则</w:t>
      </w:r>
    </w:p>
    <w:p>
      <w:r>
        <w:t>数字员工绩效以业务交付为中心，不以对话数量为主要指标。岗位绩效应结合任务量、按时完成率、结果正确性、人工采纳、人工接管、成本、风险和实际业务价值。</w:t>
      </w:r>
    </w:p>
    <w:p>
      <w:pPr>
        <w:pStyle w:val="Heading1"/>
      </w:pPr>
      <w:r>
        <w:t>14. 重点业务场景与通用性验证</w:t>
      </w:r>
    </w:p>
    <w:p>
      <w:pPr>
        <w:pStyle w:val="Heading2"/>
      </w:pPr>
      <w:r>
        <w:t>14.1 首批数字员工岗位池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2232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岗位</w:t>
            </w:r>
          </w:p>
        </w:tc>
        <w:tc>
          <w:tcPr>
            <w:tcW w:type="dxa" w:w="4320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主要能力组合</w:t>
            </w:r>
          </w:p>
        </w:tc>
        <w:tc>
          <w:tcPr>
            <w:tcW w:type="dxa" w:w="3384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主要系统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电力交易专员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市场规则、数据分析、预测、优化、报告、审批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交易、预测、运筹优化、OA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安全风险专员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规则、RAG、多模态、隐患闭环、提醒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安全生产、视频AI、OA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两票审核专员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规则引擎、RAG、大模型审核、相似票检索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两票、知识库、作业计划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设备诊断专员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时序分析、故障知识、诊断模型、工单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DCS/SIS/CMS/EAM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生产经营分析专员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数据查询、指标诊断、报表、群内汇报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数据中台、BI、经营系统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项目申报专员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文档知识、材料生成、预算、版本与审批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文档、OA、项目管理</w:t>
            </w:r>
          </w:p>
        </w:tc>
      </w:tr>
    </w:tbl>
    <w:p>
      <w:pPr>
        <w:spacing w:after="0"/>
      </w:pPr>
    </w:p>
    <w:p>
      <w:pPr>
        <w:pStyle w:val="Heading2"/>
      </w:pPr>
      <w:r>
        <w:t>14.2 原型验证场景</w:t>
      </w:r>
    </w:p>
    <w:p>
      <w:r>
        <w:t>高保真原型V2.0以市场交易中心为完整主线，生产调度和安全生产用于验证通用性。正式产品不得在公共任务、员工、Skill、工具或成果模型中写入交易/运筹专用字段。专业差异通过岗位模板、Skill、Schema和结果组件扩展。</w:t>
      </w:r>
    </w:p>
    <w:p>
      <w:pPr>
        <w:pStyle w:val="Heading2"/>
      </w:pPr>
      <w:r>
        <w:t>14.3 五条端到端主流程</w:t>
      </w:r>
    </w:p>
    <w:p>
      <w:pPr>
        <w:spacing w:after="40"/>
        <w:ind w:left="230" w:hanging="230"/>
      </w:pPr>
      <w:r>
        <w:rPr>
          <w:b/>
        </w:rPr>
        <w:t xml:space="preserve">1. </w:t>
      </w:r>
      <w:r>
        <w:t>创建并入职数字员工</w:t>
      </w:r>
    </w:p>
    <w:p>
      <w:pPr>
        <w:spacing w:after="40"/>
        <w:ind w:left="230" w:hanging="230"/>
      </w:pPr>
      <w:r>
        <w:rPr>
          <w:b/>
        </w:rPr>
        <w:t xml:space="preserve">2. </w:t>
      </w:r>
      <w:r>
        <w:t>群聊派发任务并补充参数</w:t>
      </w:r>
    </w:p>
    <w:p>
      <w:pPr>
        <w:spacing w:after="40"/>
        <w:ind w:left="230" w:hanging="230"/>
      </w:pPr>
      <w:r>
        <w:rPr>
          <w:b/>
        </w:rPr>
        <w:t xml:space="preserve">3. </w:t>
      </w:r>
      <w:r>
        <w:t>专业方案审批与正式交付</w:t>
      </w:r>
    </w:p>
    <w:p>
      <w:pPr>
        <w:spacing w:after="40"/>
        <w:ind w:left="230" w:hanging="230"/>
      </w:pPr>
      <w:r>
        <w:rPr>
          <w:b/>
        </w:rPr>
        <w:t xml:space="preserve">4. </w:t>
      </w:r>
      <w:r>
        <w:t>任务失败、人工接管与恢复</w:t>
      </w:r>
    </w:p>
    <w:p>
      <w:pPr>
        <w:spacing w:after="40"/>
        <w:ind w:left="230" w:hanging="230"/>
      </w:pPr>
      <w:r>
        <w:rPr>
          <w:b/>
        </w:rPr>
        <w:t xml:space="preserve">5. </w:t>
      </w:r>
      <w:r>
        <w:t>员工绩效分析、能力调整、回归评测与发布新版本</w:t>
      </w:r>
    </w:p>
    <w:p>
      <w:pPr>
        <w:pStyle w:val="Heading1"/>
      </w:pPr>
      <w:r>
        <w:t>15. 非功能需求与部署要求</w:t>
      </w:r>
    </w:p>
    <w:p>
      <w:pPr>
        <w:pStyle w:val="Heading2"/>
      </w:pPr>
      <w:r>
        <w:t>15.1 可靠性与性能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244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748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目标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正式任务可靠性</w:t>
            </w:r>
          </w:p>
        </w:tc>
        <w:tc>
          <w:tcPr>
            <w:tcW w:type="dxa" w:w="74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服务或Worker重启后可恢复；不得因进程退出丢失任务。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工具调用</w:t>
            </w:r>
          </w:p>
        </w:tc>
        <w:tc>
          <w:tcPr>
            <w:tcW w:type="dxa" w:w="74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支持超时、重试、幂等和不可重试错误分类；成功回执可核验。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消息体验</w:t>
            </w:r>
          </w:p>
        </w:tc>
        <w:tc>
          <w:tcPr>
            <w:tcW w:type="dxa" w:w="74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普通群消息P95服务端响应≤1秒；Agent首个过程反馈目标≤5秒（外部模型延迟另计）。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查询性能</w:t>
            </w:r>
          </w:p>
        </w:tc>
        <w:tc>
          <w:tcPr>
            <w:tcW w:type="dxa" w:w="74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常用任务、消息和成果列表P95≤2秒；大结果采用分页或Artifact加载。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可用性</w:t>
            </w:r>
          </w:p>
        </w:tc>
        <w:tc>
          <w:tcPr>
            <w:tcW w:type="dxa" w:w="74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试点环境月可用性目标99.5%；正式商业环境目标根据SLA提升。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数据恢复</w:t>
            </w:r>
          </w:p>
        </w:tc>
        <w:tc>
          <w:tcPr>
            <w:tcW w:type="dxa" w:w="74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定义RPO/RTO，数据库、对象存储、Temporal持久层均纳入备份演练。</w:t>
            </w:r>
          </w:p>
        </w:tc>
      </w:tr>
    </w:tbl>
    <w:p>
      <w:pPr>
        <w:spacing w:after="0"/>
      </w:pPr>
    </w:p>
    <w:p>
      <w:pPr>
        <w:pStyle w:val="Heading2"/>
      </w:pPr>
      <w:r>
        <w:t>15.2 部署形态</w:t>
      </w:r>
    </w:p>
    <w:p>
      <w:pPr>
        <w:pStyle w:val="ListBullet"/>
        <w:spacing w:after="40"/>
      </w:pPr>
      <w:r>
        <w:t>开发环境：Docker Compose，包含Temporal、PostgreSQL、MinIO、Redis、应用、Workers和可观测组件。</w:t>
      </w:r>
    </w:p>
    <w:p>
      <w:pPr>
        <w:pStyle w:val="ListBullet"/>
        <w:spacing w:after="40"/>
      </w:pPr>
      <w:r>
        <w:t>测试/预生产：容器化部署，独立Namespace、密钥、数据库和对象存储。</w:t>
      </w:r>
    </w:p>
    <w:p>
      <w:pPr>
        <w:pStyle w:val="ListBullet"/>
        <w:spacing w:after="40"/>
      </w:pPr>
      <w:r>
        <w:t>生产环境：支持客户私有化Kubernetes或受控云环境；公网模型与私有模型可通过Model Gateway切换。</w:t>
      </w:r>
    </w:p>
    <w:p>
      <w:pPr>
        <w:pStyle w:val="ListBullet"/>
        <w:spacing w:after="40"/>
      </w:pPr>
      <w:r>
        <w:t>Temporal、业务数据库和对象存储必须使用生产级高可用与备份方案。</w:t>
      </w:r>
    </w:p>
    <w:p>
      <w:pPr>
        <w:pStyle w:val="Heading2"/>
      </w:pPr>
      <w:r>
        <w:t>15.3 兼容性与可扩展性</w:t>
      </w:r>
    </w:p>
    <w:p>
      <w:pPr>
        <w:pStyle w:val="ListBullet"/>
        <w:spacing w:after="40"/>
      </w:pPr>
      <w:r>
        <w:t>支持模型、Skill、工具、连接器和渠道的插件化适配。</w:t>
      </w:r>
    </w:p>
    <w:p>
      <w:pPr>
        <w:pStyle w:val="ListBullet"/>
        <w:spacing w:after="40"/>
      </w:pPr>
      <w:r>
        <w:t>支持多租户字段与逻辑隔离从第一天存在，首期可只启用一个租户。</w:t>
      </w:r>
    </w:p>
    <w:p>
      <w:pPr>
        <w:pStyle w:val="ListBullet"/>
        <w:spacing w:after="40"/>
      </w:pPr>
      <w:r>
        <w:t>统一事件协议和Channel Adapter确保后续接入钉钉、企微、飞书无需修改任务与Agent内核。</w:t>
      </w:r>
    </w:p>
    <w:p>
      <w:pPr>
        <w:pStyle w:val="Heading1"/>
      </w:pPr>
      <w:r>
        <w:t>16. 产品版本路线与终局能力启用计划</w:t>
      </w:r>
    </w:p>
    <w:p>
      <w:pPr>
        <w:pStyle w:val="Heading2"/>
      </w:pPr>
      <w:r>
        <w:t>16.1 版本与研发术语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2160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术语</w:t>
            </w:r>
          </w:p>
        </w:tc>
        <w:tc>
          <w:tcPr>
            <w:tcW w:type="dxa" w:w="2880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面向对象</w:t>
            </w:r>
          </w:p>
        </w:tc>
        <w:tc>
          <w:tcPr>
            <w:tcW w:type="dxa" w:w="496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定义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Release（R）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客户、市场、产品验收</w:t>
            </w:r>
          </w:p>
        </w:tc>
        <w:tc>
          <w:tcPr>
            <w:tcW w:type="dxa" w:w="49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一组可以独立交付、部署和验收的产品能力。本文定义R1、R2、R3。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Milestone（M）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研发、测试、项目管理</w:t>
            </w:r>
          </w:p>
        </w:tc>
        <w:tc>
          <w:tcPr>
            <w:tcW w:type="dxa" w:w="49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为完成Release而设置的研发里程碑。M完成不等于客户版本自动完成。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Sprint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研发团队</w:t>
            </w:r>
          </w:p>
        </w:tc>
        <w:tc>
          <w:tcPr>
            <w:tcW w:type="dxa" w:w="49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建议两周一个迭代，用于拆分需求、开发、测试和演示；Sprint不改变产品版本边界。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5FB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pStyle w:val="Callout"/>
              <w:spacing w:after="0"/>
            </w:pPr>
            <w:r>
              <w:rPr>
                <w:rFonts w:ascii="Noto Sans CJK SC" w:hAnsi="Noto Sans CJK SC" w:eastAsia="Noto Sans CJK SC"/>
                <w:b/>
                <w:color w:val="2F75B5"/>
              </w:rPr>
              <w:t>R1、R2、R3不是三套系统。它们共享同一Temporal任务内核、数字员工领域模型、Skill/Tool/Connector契约、权限治理和数据边界；差异仅在于启用的产品能力范围。</w:t>
            </w:r>
          </w:p>
        </w:tc>
      </w:tr>
    </w:tbl>
    <w:p>
      <w:pPr>
        <w:spacing w:after="0"/>
      </w:pPr>
    </w:p>
    <w:p>
      <w:pPr>
        <w:pStyle w:val="Heading2"/>
      </w:pPr>
      <w:r>
        <w:t>16.2 Release 1：平台基础与联合试点版</w:t>
      </w:r>
    </w:p>
    <w:p>
      <w:r>
        <w:t>产品目标：证明数字员工能够在真实电力业务中完成“创建入职—群聊接任务—调用能力—等待人工—审批—交付成果—评测优化”的完整闭环。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208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能力域</w:t>
            </w:r>
          </w:p>
        </w:tc>
        <w:tc>
          <w:tcPr>
            <w:tcW w:type="dxa" w:w="7920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R1必须真实启用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协作产品</w:t>
            </w:r>
          </w:p>
        </w:tc>
        <w:tc>
          <w:tcPr>
            <w:tcW w:type="dxa" w:w="79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自有Web协作工作台、工作空间、频道群聊、任务中心、审批中心、成果中心。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员工产品</w:t>
            </w:r>
          </w:p>
        </w:tc>
        <w:tc>
          <w:tcPr>
            <w:tcW w:type="dxa" w:w="79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至少3个岗位模板；完整八步装配、测试、发布、入职和版本回滚。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可靠执行</w:t>
            </w:r>
          </w:p>
        </w:tc>
        <w:tc>
          <w:tcPr>
            <w:tcW w:type="dxa" w:w="79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Temporal Server与Workers；通用任务、审批、定时、补参、接管、取消和恢复Workflow。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Agent与模型</w:t>
            </w:r>
          </w:p>
        </w:tc>
        <w:tc>
          <w:tcPr>
            <w:tcW w:type="dxa" w:w="79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统一Model Gateway、Agent Runtime/LangGraph、结构化路由、计划、补参和证据驱动解释。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能力体系</w:t>
            </w:r>
          </w:p>
        </w:tc>
        <w:tc>
          <w:tcPr>
            <w:tcW w:type="dxa" w:w="79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Skill Registry、Workflow Registry、Tool Gateway、Connector Registry及版本化契约。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首批场景</w:t>
            </w:r>
          </w:p>
        </w:tc>
        <w:tc>
          <w:tcPr>
            <w:tcW w:type="dxa" w:w="79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至少2条真实闭环：一个知识/规则型，一个专业系统调用型；运筹优化仅作为可选示范连接器之一。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治理基础</w:t>
            </w:r>
          </w:p>
        </w:tc>
        <w:tc>
          <w:tcPr>
            <w:tcW w:type="dxa" w:w="79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多租户领域字段、IAM、RBAC+ABAC基础、自治等级、审计、Evidence、Artifact、评测与OpenTelemetry。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生产验证</w:t>
            </w:r>
          </w:p>
        </w:tc>
        <w:tc>
          <w:tcPr>
            <w:tcW w:type="dxa" w:w="79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Mock E2E、真实Temporal E2E、真实工具E2E、越权测试、重启恢复和30天联合试点。</w:t>
            </w:r>
          </w:p>
        </w:tc>
      </w:tr>
    </w:tbl>
    <w:p>
      <w:pPr>
        <w:spacing w:after="0"/>
      </w:pPr>
    </w:p>
    <w:p>
      <w:pPr>
        <w:pStyle w:val="Heading2"/>
      </w:pPr>
      <w:r>
        <w:t>16.3 Release 2：多场景与组织级应用版</w:t>
      </w:r>
    </w:p>
    <w:p>
      <w:r>
        <w:t>产品目标：从单一联合试点扩展到电力企业多个业务部门、更多岗位和第二客户，证明平台能够跨场景、跨组织、跨渠道复制。</w:t>
      </w:r>
    </w:p>
    <w:p>
      <w:pPr>
        <w:pStyle w:val="ListBullet"/>
        <w:spacing w:after="40"/>
      </w:pPr>
      <w:r>
        <w:t>扩展市场交易、安全生产、设备运维、生产经营、两票审核等岗位包与标准任务流程。</w:t>
      </w:r>
    </w:p>
    <w:p>
      <w:pPr>
        <w:pStyle w:val="ListBullet"/>
        <w:spacing w:after="40"/>
      </w:pPr>
      <w:r>
        <w:t>启用成熟的多数字员工协作、主管员工分工、冲突呈现和跨空间任务协同。</w:t>
      </w:r>
    </w:p>
    <w:p>
      <w:pPr>
        <w:pStyle w:val="ListBullet"/>
        <w:spacing w:after="40"/>
      </w:pPr>
      <w:r>
        <w:t>接入钉钉、企业微信或飞书中的至少一种正式渠道，并完成身份、群、消息和卡片映射。</w:t>
      </w:r>
    </w:p>
    <w:p>
      <w:pPr>
        <w:pStyle w:val="ListBullet"/>
        <w:spacing w:after="40"/>
      </w:pPr>
      <w:r>
        <w:t>正式启用企业SSO、组织同步、多租户运行、租户级配置、配额和资源隔离。</w:t>
      </w:r>
    </w:p>
    <w:p>
      <w:pPr>
        <w:pStyle w:val="ListBullet"/>
        <w:spacing w:after="40"/>
      </w:pPr>
      <w:r>
        <w:t>增强周期任务、业务事件触发、员工版本灰度、评测中心、成本与运营分析。</w:t>
      </w:r>
    </w:p>
    <w:p>
      <w:pPr>
        <w:pStyle w:val="ListBullet"/>
        <w:spacing w:after="40"/>
      </w:pPr>
      <w:r>
        <w:t>形成客户级岗位模板、Connector配置和部署复制包，完成第二客户低成本复制。</w:t>
      </w:r>
    </w:p>
    <w:p>
      <w:pPr>
        <w:pStyle w:val="Heading2"/>
      </w:pPr>
      <w:r>
        <w:t>16.4 Release 3：平台生态与规模运营版</w:t>
      </w:r>
    </w:p>
    <w:p>
      <w:r>
        <w:t>产品目标：将GridCrew建设为开放的电力行业数字员工平台、能力生态和规模化运营体系。</w:t>
      </w:r>
    </w:p>
    <w:p>
      <w:pPr>
        <w:pStyle w:val="ListBullet"/>
        <w:spacing w:after="40"/>
      </w:pPr>
      <w:r>
        <w:t>开放Skill SDK、Connector SDK、MCP注册、Open API和开发者门户。</w:t>
      </w:r>
    </w:p>
    <w:p>
      <w:pPr>
        <w:pStyle w:val="ListBullet"/>
        <w:spacing w:after="40"/>
      </w:pPr>
      <w:r>
        <w:t>建设岗位模板市场、能力市场、依赖校验、发布审核、租户授权和生态伙伴管理。</w:t>
      </w:r>
    </w:p>
    <w:p>
      <w:pPr>
        <w:pStyle w:val="ListBullet"/>
        <w:spacing w:after="40"/>
      </w:pPr>
      <w:r>
        <w:t>提供可视化Workflow/Skill编排、测试沙箱、版本比较和自动化回归能力。</w:t>
      </w:r>
    </w:p>
    <w:p>
      <w:pPr>
        <w:pStyle w:val="ListBullet"/>
        <w:spacing w:after="40"/>
      </w:pPr>
      <w:r>
        <w:t>支持多模型、多算力、私有模型、RPA集群和更多第三方协作渠道。</w:t>
      </w:r>
    </w:p>
    <w:p>
      <w:pPr>
        <w:pStyle w:val="ListBullet"/>
        <w:spacing w:after="40"/>
      </w:pPr>
      <w:r>
        <w:t>建设完整计量计费、成本分摊、SaaS与私有化双交付、规模租户和运营治理。</w:t>
      </w:r>
    </w:p>
    <w:p>
      <w:pPr>
        <w:pStyle w:val="ListBullet"/>
        <w:spacing w:after="40"/>
      </w:pPr>
      <w:r>
        <w:t>支持跨组织协作、能力推荐、员工持续优化和大规模高可用部署。</w:t>
      </w:r>
    </w:p>
    <w:p>
      <w:pPr>
        <w:pStyle w:val="Heading2"/>
      </w:pPr>
      <w:r>
        <w:t>16.5 终局能力—产品版本映射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  <w:cantSplit/>
        </w:trPr>
        <w:tc>
          <w:tcPr>
            <w:tcW w:type="dxa" w:w="3096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能力</w:t>
            </w:r>
          </w:p>
        </w:tc>
        <w:tc>
          <w:tcPr>
            <w:tcW w:type="dxa" w:w="2232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R1</w:t>
            </w:r>
          </w:p>
        </w:tc>
        <w:tc>
          <w:tcPr>
            <w:tcW w:type="dxa" w:w="2232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R2</w:t>
            </w:r>
          </w:p>
        </w:tc>
        <w:tc>
          <w:tcPr>
            <w:tcW w:type="dxa" w:w="2232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R3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5"/>
              </w:rPr>
              <w:t>自有Web协作空间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5"/>
              </w:rPr>
              <w:t>完整闭环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5"/>
              </w:rPr>
              <w:t>组织级增强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5"/>
              </w:rPr>
              <w:t>规模运营增强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5"/>
              </w:rPr>
              <w:t>群聊与任务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5"/>
              </w:rPr>
              <w:t>正式启用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5"/>
              </w:rPr>
              <w:t>跨空间/多渠道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5"/>
              </w:rPr>
              <w:t>跨组织与生态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5"/>
              </w:rPr>
              <w:t>Temporal任务内核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5"/>
              </w:rPr>
              <w:t>正式启用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5"/>
              </w:rPr>
              <w:t>扩容与复杂流程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5"/>
              </w:rPr>
              <w:t>大规模高可用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5"/>
              </w:rPr>
              <w:t>数字员工装配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5"/>
              </w:rPr>
              <w:t>完整基础版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5"/>
              </w:rPr>
              <w:t>岗位模板规模化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5"/>
              </w:rPr>
              <w:t>生态化市场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5"/>
              </w:rPr>
              <w:t>多Agent协作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5"/>
              </w:rPr>
              <w:t>基础主管/专业协作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5"/>
              </w:rPr>
              <w:t>复杂团队协作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5"/>
              </w:rPr>
              <w:t>跨组织协作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5"/>
              </w:rPr>
              <w:t>第三方即时通信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5"/>
              </w:rPr>
              <w:t>契约预留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5"/>
              </w:rPr>
              <w:t>至少一种正式接入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5"/>
              </w:rPr>
              <w:t>全渠道与伙伴扩展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5"/>
              </w:rPr>
              <w:t>多租户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5"/>
              </w:rPr>
              <w:t>模型与隔离基础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5"/>
              </w:rPr>
              <w:t>正式运营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5"/>
              </w:rPr>
              <w:t>规模化与计费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5"/>
              </w:rPr>
              <w:t>Skill/Connector体系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5"/>
              </w:rPr>
              <w:t>内部Registry与SDK基础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5"/>
              </w:rPr>
              <w:t>企业共享和复制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5"/>
              </w:rPr>
              <w:t>开放市场与开发者生态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5"/>
              </w:rPr>
              <w:t>可视化流程设计器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5"/>
              </w:rPr>
              <w:t>不启用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5"/>
              </w:rPr>
              <w:t>基础版或受控试用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5"/>
              </w:rPr>
              <w:t>完整产品化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5"/>
              </w:rPr>
              <w:t>计量与商业运营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5"/>
              </w:rPr>
              <w:t>记录成本基础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5"/>
              </w:rPr>
              <w:t>租户配额和分摊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5"/>
              </w:rPr>
              <w:t>完整计费与生态结算</w:t>
            </w:r>
          </w:p>
        </w:tc>
      </w:tr>
    </w:tbl>
    <w:p>
      <w:pPr>
        <w:spacing w:after="0"/>
      </w:pPr>
    </w:p>
    <w:p>
      <w:pPr>
        <w:pStyle w:val="Heading2"/>
      </w:pPr>
      <w:r>
        <w:t>16.6 各Release进入与退出门槛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1152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版本</w:t>
            </w:r>
          </w:p>
        </w:tc>
        <w:tc>
          <w:tcPr>
            <w:tcW w:type="dxa" w:w="4176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进入条件</w:t>
            </w:r>
          </w:p>
        </w:tc>
        <w:tc>
          <w:tcPr>
            <w:tcW w:type="dxa" w:w="4680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退出/完成条件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R1</w:t>
            </w:r>
          </w:p>
        </w:tc>
        <w:tc>
          <w:tcPr>
            <w:tcW w:type="dxa" w:w="41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终局架构、核心契约、原型和ADR冻结；联合试点场景、数据与负责人明确。</w:t>
            </w:r>
          </w:p>
        </w:tc>
        <w:tc>
          <w:tcPr>
            <w:tcW w:type="dxa" w:w="4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真实后端完成五条主流程；连续运行≥30天；正式任务≥100；工具成功率≥95%；严重越权或错误执行为0。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R2</w:t>
            </w:r>
          </w:p>
        </w:tc>
        <w:tc>
          <w:tcPr>
            <w:tcW w:type="dxa" w:w="41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R1通过试点验收；核心平台稳定；第二部门或第二客户具备接入条件。</w:t>
            </w:r>
          </w:p>
        </w:tc>
        <w:tc>
          <w:tcPr>
            <w:tcW w:type="dxa" w:w="4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至少3类业务岗位稳定运行；一种第三方IM正式接入；第二客户公共代码复用≥80%；多租户和SSO通过生产验证。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R3</w:t>
            </w:r>
          </w:p>
        </w:tc>
        <w:tc>
          <w:tcPr>
            <w:tcW w:type="dxa" w:w="41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R2完成跨场景和跨客户复制；能力契约、SDK和运营模型稳定。</w:t>
            </w:r>
          </w:p>
        </w:tc>
        <w:tc>
          <w:tcPr>
            <w:tcW w:type="dxa" w:w="4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第三方能力可按规范发布和使用；规模租户、计量、生态审核和高可用达到商业运营门槛。</w:t>
            </w:r>
          </w:p>
        </w:tc>
      </w:tr>
    </w:tbl>
    <w:p>
      <w:pPr>
        <w:spacing w:after="0"/>
      </w:pPr>
    </w:p>
    <w:p>
      <w:pPr>
        <w:pStyle w:val="Heading2"/>
      </w:pPr>
      <w:r>
        <w:t>16.7 需求优先级与范围边界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1152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优先级</w:t>
            </w:r>
          </w:p>
        </w:tc>
        <w:tc>
          <w:tcPr>
            <w:tcW w:type="dxa" w:w="3384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含义</w:t>
            </w:r>
          </w:p>
        </w:tc>
        <w:tc>
          <w:tcPr>
            <w:tcW w:type="dxa" w:w="5472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典型内容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P0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终局架构基础或R1必须交付，不允许以临时实现替代。</w:t>
            </w:r>
          </w:p>
        </w:tc>
        <w:tc>
          <w:tcPr>
            <w:tcW w:type="dxa" w:w="54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Temporal、核心领域对象、统一契约、多租户字段、权限、审计、Evidence、版本和真实闭环。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P1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R2组织级应用和复制能力。</w:t>
            </w:r>
          </w:p>
        </w:tc>
        <w:tc>
          <w:tcPr>
            <w:tcW w:type="dxa" w:w="54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更多岗位、多Agent增强、第三方IM、SSO组织同步、多租户运营、成本与评测增强。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P2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R3平台生态与规模运营。</w:t>
            </w:r>
          </w:p>
        </w:tc>
        <w:tc>
          <w:tcPr>
            <w:tcW w:type="dxa" w:w="54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能力市场、开放SDK、可视化编排、计量计费、伙伴生态和大规模运营。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P3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长期探索，须单独立项验证。</w:t>
            </w:r>
          </w:p>
        </w:tc>
        <w:tc>
          <w:tcPr>
            <w:tcW w:type="dxa" w:w="54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高度自治生产控制、跨企业自主交易、前沿自主进化能力。</w:t>
            </w:r>
          </w:p>
        </w:tc>
      </w:tr>
    </w:tbl>
    <w:p>
      <w:pPr>
        <w:spacing w:after="0"/>
      </w:pPr>
    </w:p>
    <w:p>
      <w:pPr>
        <w:pStyle w:val="Heading2"/>
      </w:pPr>
      <w:r>
        <w:t>16.8 暂缓建设与永久排除范围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2376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7632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范围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R1暂缓但保留契约</w:t>
            </w:r>
          </w:p>
        </w:tc>
        <w:tc>
          <w:tcPr>
            <w:tcW w:type="dxa" w:w="76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钉钉/企微/飞书正式连接器、复杂可视化编排、完整计费、开放能力市场、大规模RPA集群和全部电力岗位。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产品永久不替代</w:t>
            </w:r>
          </w:p>
        </w:tc>
        <w:tc>
          <w:tcPr>
            <w:tcW w:type="dxa" w:w="76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DCS、EMS等生产控制系统；完整OA/IM；客户权威业务系统；通用大模型训练平台。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原则上禁止</w:t>
            </w:r>
          </w:p>
        </w:tc>
        <w:tc>
          <w:tcPr>
            <w:tcW w:type="dxa" w:w="76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大模型未经审批直接执行实时控制、重大资金交易、重大安全和不可逆业务动作。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不要求自研</w:t>
            </w:r>
          </w:p>
        </w:tc>
        <w:tc>
          <w:tcPr>
            <w:tcW w:type="dxa" w:w="76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所有预测、识别、优化、仿真、知识和RPA能力；平台通过Skill与Connector统一接入和治理。</w:t>
            </w:r>
          </w:p>
        </w:tc>
      </w:tr>
    </w:tbl>
    <w:p>
      <w:pPr>
        <w:spacing w:after="0"/>
      </w:pPr>
    </w:p>
    <w:p>
      <w:pPr>
        <w:pStyle w:val="Heading1"/>
      </w:pPr>
      <w:r>
        <w:t>17. 产品指标、版本门禁与成功条件</w:t>
      </w:r>
    </w:p>
    <w:p>
      <w:pPr>
        <w:pStyle w:val="Heading2"/>
      </w:pPr>
      <w:r>
        <w:t>17.1 产品级验收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2016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7992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验收要求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产品一致性</w:t>
            </w:r>
          </w:p>
        </w:tc>
        <w:tc>
          <w:tcPr>
            <w:tcW w:type="dxa" w:w="79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高保真原型核心页面和五条主流程可在真实后端完成，不以静态Mock冒充。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架构一致性</w:t>
            </w:r>
          </w:p>
        </w:tc>
        <w:tc>
          <w:tcPr>
            <w:tcW w:type="dxa" w:w="79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正式任务全部进入Temporal；外部调用全部由Activity执行；无第二任务内核。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通用性</w:t>
            </w:r>
          </w:p>
        </w:tc>
        <w:tc>
          <w:tcPr>
            <w:tcW w:type="dxa" w:w="79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公共领域模型无运筹优化或单一场景专用耦合；新增岗位主要通过配置、Skill和Connector完成。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可信性</w:t>
            </w:r>
          </w:p>
        </w:tc>
        <w:tc>
          <w:tcPr>
            <w:tcW w:type="dxa" w:w="79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关键结果带数据、模型/服务、版本、请求ID、工具回执和人工审批证据。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安全性</w:t>
            </w:r>
          </w:p>
        </w:tc>
        <w:tc>
          <w:tcPr>
            <w:tcW w:type="dxa" w:w="79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权限、审批在服务端和执行层生效；越权测试和敏感数据测试通过。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可恢复性</w:t>
            </w:r>
          </w:p>
        </w:tc>
        <w:tc>
          <w:tcPr>
            <w:tcW w:type="dxa" w:w="79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模拟Worker重启、接口超时、审批等待和人工接管后任务可正确恢复。</w:t>
            </w:r>
          </w:p>
        </w:tc>
      </w:tr>
    </w:tbl>
    <w:p>
      <w:pPr>
        <w:spacing w:after="0"/>
      </w:pPr>
    </w:p>
    <w:p>
      <w:pPr>
        <w:pStyle w:val="Heading2"/>
      </w:pPr>
      <w:r>
        <w:t>17.2 试点成功指标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2880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712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建议目标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连续运行</w:t>
            </w:r>
          </w:p>
        </w:tc>
        <w:tc>
          <w:tcPr>
            <w:tcW w:type="dxa" w:w="71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真实客户或准生产环境连续30天以上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正式任务</w:t>
            </w:r>
          </w:p>
        </w:tc>
        <w:tc>
          <w:tcPr>
            <w:tcW w:type="dxa" w:w="71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累计100次以上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工具调用成功率</w:t>
            </w:r>
          </w:p>
        </w:tc>
        <w:tc>
          <w:tcPr>
            <w:tcW w:type="dxa" w:w="71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≥95%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结果人工采纳率</w:t>
            </w:r>
          </w:p>
        </w:tc>
        <w:tc>
          <w:tcPr>
            <w:tcW w:type="dxa" w:w="71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≥60%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严重越权或错误执行</w:t>
            </w:r>
          </w:p>
        </w:tc>
        <w:tc>
          <w:tcPr>
            <w:tcW w:type="dxa" w:w="71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可量化效率提升</w:t>
            </w:r>
          </w:p>
        </w:tc>
        <w:tc>
          <w:tcPr>
            <w:tcW w:type="dxa" w:w="71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目标≥30%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第二场景复用</w:t>
            </w:r>
          </w:p>
        </w:tc>
        <w:tc>
          <w:tcPr>
            <w:tcW w:type="dxa" w:w="71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核心平台代码与公共契约复用≥80%</w:t>
            </w:r>
          </w:p>
        </w:tc>
      </w:tr>
    </w:tbl>
    <w:p>
      <w:pPr>
        <w:spacing w:after="0"/>
      </w:pPr>
    </w:p>
    <w:p>
      <w:pPr>
        <w:pStyle w:val="Heading2"/>
      </w:pPr>
      <w:r>
        <w:t>17.3 版本门禁原则</w:t>
      </w:r>
    </w:p>
    <w:p>
      <w:pPr>
        <w:pStyle w:val="ListBullet"/>
        <w:spacing w:after="40"/>
      </w:pPr>
      <w:r>
        <w:t>Release完成必须同时满足功能、架构、质量、安全、运营和客户价值门槛，不能只以页面或代码完成率判断。</w:t>
      </w:r>
    </w:p>
    <w:p>
      <w:pPr>
        <w:pStyle w:val="ListBullet"/>
        <w:spacing w:after="40"/>
      </w:pPr>
      <w:r>
        <w:t>进入下一Release前必须完成架构债务检查，确认不存在第二任务内核、绕过网关、缺失租户字段或无法版本化的资产。</w:t>
      </w:r>
    </w:p>
    <w:p>
      <w:pPr>
        <w:pStyle w:val="ListBullet"/>
        <w:spacing w:after="40"/>
      </w:pPr>
      <w:r>
        <w:t>R2、R3新增能力不得改变R1任务、成果、证据和员工版本的可追溯性。</w:t>
      </w:r>
    </w:p>
    <w:p>
      <w:pPr>
        <w:pStyle w:val="ListBullet"/>
        <w:spacing w:after="40"/>
      </w:pPr>
      <w:r>
        <w:t>任何未达到退出条件的能力只能保持灰度或试验状态，不能宣称正式产品版本完成。</w:t>
      </w:r>
    </w:p>
    <w:p>
      <w:pPr>
        <w:pStyle w:val="Heading1"/>
      </w:pPr>
      <w:r>
        <w:t>18. 风险、边界与待决策事项</w:t>
      </w:r>
    </w:p>
    <w:p>
      <w:pPr>
        <w:pStyle w:val="Heading2"/>
      </w:pPr>
      <w:r>
        <w:t>18.1 主要风险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1872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风险</w:t>
            </w:r>
          </w:p>
        </w:tc>
        <w:tc>
          <w:tcPr>
            <w:tcW w:type="dxa" w:w="316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表现</w:t>
            </w:r>
          </w:p>
        </w:tc>
        <w:tc>
          <w:tcPr>
            <w:tcW w:type="dxa" w:w="496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控制措施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过度平台化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功能很多但无真实日常场景</w:t>
            </w:r>
          </w:p>
        </w:tc>
        <w:tc>
          <w:tcPr>
            <w:tcW w:type="dxa" w:w="49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完整原型确认终局，开发从2个闭环场景验证。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定制化失控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每个客户重新开发</w:t>
            </w:r>
          </w:p>
        </w:tc>
        <w:tc>
          <w:tcPr>
            <w:tcW w:type="dxa" w:w="49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Connector/Skill/岗位模板标准化，客户差异进入配置层。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双内核冲突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Temporal、数据库、LangGraph各自推进状态</w:t>
            </w:r>
          </w:p>
        </w:tc>
        <w:tc>
          <w:tcPr>
            <w:tcW w:type="dxa" w:w="49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明确Temporal权威，其他仅投影或推理状态。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Agent幻觉执行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文本声称成功但系统未完成</w:t>
            </w:r>
          </w:p>
        </w:tc>
        <w:tc>
          <w:tcPr>
            <w:tcW w:type="dxa" w:w="49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以工具回执和Artifact证据为完成依据。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权限与数据风险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越权、泄露、错误写入</w:t>
            </w:r>
          </w:p>
        </w:tc>
        <w:tc>
          <w:tcPr>
            <w:tcW w:type="dxa" w:w="49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独立身份、RBAC+ABAC、审批、密钥和脱敏。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技术栈复杂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首期建设成本高</w:t>
            </w:r>
          </w:p>
        </w:tc>
        <w:tc>
          <w:tcPr>
            <w:tcW w:type="dxa" w:w="49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模块化单体、独立Workers；控制物理服务数量。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知识产权与商业路径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成果归属和客户资源边界不清</w:t>
            </w:r>
          </w:p>
        </w:tc>
        <w:tc>
          <w:tcPr>
            <w:tcW w:type="dxa" w:w="49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立项前明确代码、数据、客户和成果归属。</w:t>
            </w:r>
          </w:p>
        </w:tc>
      </w:tr>
    </w:tbl>
    <w:p>
      <w:pPr>
        <w:spacing w:after="0"/>
      </w:pPr>
    </w:p>
    <w:p>
      <w:pPr>
        <w:pStyle w:val="Heading2"/>
      </w:pPr>
      <w:r>
        <w:t>18.2 待产品评审确认</w:t>
      </w:r>
    </w:p>
    <w:p>
      <w:pPr>
        <w:pStyle w:val="ListBullet"/>
        <w:spacing w:after="40"/>
      </w:pPr>
      <w:r>
        <w:t>首个联合创新客户与首批两条真实任务闭环。</w:t>
      </w:r>
    </w:p>
    <w:p>
      <w:pPr>
        <w:pStyle w:val="ListBullet"/>
        <w:spacing w:after="40"/>
      </w:pPr>
      <w:r>
        <w:t>Temporal采用自托管还是云服务的客户策略。</w:t>
      </w:r>
    </w:p>
    <w:p>
      <w:pPr>
        <w:pStyle w:val="ListBullet"/>
        <w:spacing w:after="40"/>
      </w:pPr>
      <w:r>
        <w:t>首批主大模型与私有模型适配优先级。</w:t>
      </w:r>
    </w:p>
    <w:p>
      <w:pPr>
        <w:pStyle w:val="ListBullet"/>
        <w:spacing w:after="40"/>
      </w:pPr>
      <w:r>
        <w:t>数字员工自治等级在电力不同业务域的默认上限。</w:t>
      </w:r>
    </w:p>
    <w:p>
      <w:pPr>
        <w:pStyle w:val="ListBullet"/>
        <w:spacing w:after="40"/>
      </w:pPr>
      <w:r>
        <w:t>第三方渠道接入顺序：钉钉、企微或飞书。</w:t>
      </w:r>
    </w:p>
    <w:p>
      <w:pPr>
        <w:pStyle w:val="ListBullet"/>
        <w:spacing w:after="40"/>
      </w:pPr>
      <w:r>
        <w:t>产品归属、对内产品化和对外商业化模式。</w:t>
      </w:r>
    </w:p>
    <w:p>
      <w:pPr>
        <w:pStyle w:val="Heading1"/>
      </w:pPr>
      <w:r>
        <w:t>附录A. 术语表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2520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术语</w:t>
            </w:r>
          </w:p>
        </w:tc>
        <w:tc>
          <w:tcPr>
            <w:tcW w:type="dxa" w:w="748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定义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GridCrew</w:t>
            </w:r>
          </w:p>
        </w:tc>
        <w:tc>
          <w:tcPr>
            <w:tcW w:type="dxa" w:w="74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本产品主品牌与产品简称；正式全称为GridCrew 电力行业数字员工平台。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数字员工</w:t>
            </w:r>
          </w:p>
        </w:tc>
        <w:tc>
          <w:tcPr>
            <w:tcW w:type="dxa" w:w="74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具备企业身份、岗位、能力、权限、记忆、评测和发布版本的数字角色。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Skill</w:t>
            </w:r>
          </w:p>
        </w:tc>
        <w:tc>
          <w:tcPr>
            <w:tcW w:type="dxa" w:w="74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可复用、可版本化、具有输入输出契约和风险策略的岗位能力。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Tool</w:t>
            </w:r>
          </w:p>
        </w:tc>
        <w:tc>
          <w:tcPr>
            <w:tcW w:type="dxa" w:w="74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可执行单一外部动作或查询的受控能力。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Connector</w:t>
            </w:r>
          </w:p>
        </w:tc>
        <w:tc>
          <w:tcPr>
            <w:tcW w:type="dxa" w:w="74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将外部系统适配为平台Tool/Resource的连接实现。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Temporal Workflow</w:t>
            </w:r>
          </w:p>
        </w:tc>
        <w:tc>
          <w:tcPr>
            <w:tcW w:type="dxa" w:w="74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正式业务任务的持久化、可恢复执行定义。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Activity</w:t>
            </w:r>
          </w:p>
        </w:tc>
        <w:tc>
          <w:tcPr>
            <w:tcW w:type="dxa" w:w="74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Workflow调用外部世界的幂等执行单元。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Agent Run</w:t>
            </w:r>
          </w:p>
        </w:tc>
        <w:tc>
          <w:tcPr>
            <w:tcW w:type="dxa" w:w="74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一次智能理解、计划、工具选择或解释过程。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Artifact</w:t>
            </w:r>
          </w:p>
        </w:tc>
        <w:tc>
          <w:tcPr>
            <w:tcW w:type="dxa" w:w="74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正式交付成果或大型中间产物。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Evidence</w:t>
            </w:r>
          </w:p>
        </w:tc>
        <w:tc>
          <w:tcPr>
            <w:tcW w:type="dxa" w:w="74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支撑结论和执行事实的来源、版本、回执与校验记录。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Human-in-the-loop</w:t>
            </w:r>
          </w:p>
        </w:tc>
        <w:tc>
          <w:tcPr>
            <w:tcW w:type="dxa" w:w="74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任务在关键节点等待人工输入、审批、修改或接管。</w:t>
            </w:r>
          </w:p>
        </w:tc>
      </w:tr>
    </w:tbl>
    <w:p>
      <w:pPr>
        <w:spacing w:after="0"/>
      </w:pPr>
    </w:p>
    <w:p>
      <w:pPr>
        <w:pStyle w:val="Heading1"/>
      </w:pPr>
      <w:r>
        <w:t>附录B. 关键需求追踪矩阵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 w:val="true"/>
          <w:cantSplit/>
        </w:trPr>
        <w:tc>
          <w:tcPr>
            <w:tcW w:type="dxa" w:w="1296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需求ID</w:t>
            </w:r>
          </w:p>
        </w:tc>
        <w:tc>
          <w:tcPr>
            <w:tcW w:type="dxa" w:w="3384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关键需求</w:t>
            </w:r>
          </w:p>
        </w:tc>
        <w:tc>
          <w:tcPr>
            <w:tcW w:type="dxa" w:w="1872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原型/页面</w:t>
            </w:r>
          </w:p>
        </w:tc>
        <w:tc>
          <w:tcPr>
            <w:tcW w:type="dxa" w:w="2376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领域对象或Workflow</w:t>
            </w:r>
          </w:p>
        </w:tc>
        <w:tc>
          <w:tcPr>
            <w:tcW w:type="dxa" w:w="2232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主要测试</w:t>
            </w:r>
          </w:p>
        </w:tc>
        <w:tc>
          <w:tcPr>
            <w:tcW w:type="dxa" w:w="1152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Release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4"/>
              </w:rPr>
              <w:t>COL-001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4"/>
              </w:rPr>
              <w:t>人类与数字员工在频道群聊并可转正式任务</w:t>
            </w:r>
          </w:p>
        </w:tc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4"/>
              </w:rPr>
              <w:t>日前交易频道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4"/>
              </w:rPr>
              <w:t>Channel/Message/Task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4"/>
              </w:rPr>
              <w:t>WebSocket E2E、消息转任务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4"/>
              </w:rPr>
              <w:t>R1/P0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4"/>
              </w:rPr>
              <w:t>TASK-001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4"/>
              </w:rPr>
              <w:t>所有正式任务进入Temporal并可恢复</w:t>
            </w:r>
          </w:p>
        </w:tc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4"/>
              </w:rPr>
              <w:t>任务详情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4"/>
              </w:rPr>
              <w:t>DigitalEmployeeTaskWorkflow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4"/>
              </w:rPr>
              <w:t>Worker重启、超时恢复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4"/>
              </w:rPr>
              <w:t>R1/P0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4"/>
              </w:rPr>
              <w:t>HITL-001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4"/>
              </w:rPr>
              <w:t>任务可等待补参、审批和人工接管</w:t>
            </w:r>
          </w:p>
        </w:tc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4"/>
              </w:rPr>
              <w:t>任务/审批/接管页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4"/>
              </w:rPr>
              <w:t>Signal/Update、Approval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4"/>
              </w:rPr>
              <w:t>长等待、补参、拒绝、恢复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4"/>
              </w:rPr>
              <w:t>R1/P0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4"/>
              </w:rPr>
              <w:t>EMP-001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4"/>
              </w:rPr>
              <w:t>数字员工八步创建、测试、发布和入职</w:t>
            </w:r>
          </w:p>
        </w:tc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4"/>
              </w:rPr>
              <w:t>创建员工向导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4"/>
              </w:rPr>
              <w:t>DigitalEmployee/EmployeeRelease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4"/>
              </w:rPr>
              <w:t>发布门禁、版本锁定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4"/>
              </w:rPr>
              <w:t>R1/P0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4"/>
              </w:rPr>
              <w:t>SKILL-001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4"/>
              </w:rPr>
              <w:t>Skill具有稳定输入输出和权限契约</w:t>
            </w:r>
          </w:p>
        </w:tc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4"/>
              </w:rPr>
              <w:t>能力中心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4"/>
              </w:rPr>
              <w:t>Skill/SkillVersion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4"/>
              </w:rPr>
              <w:t>Schema、兼容与回归测试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4"/>
              </w:rPr>
              <w:t>R1/P0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4"/>
              </w:rPr>
              <w:t>TOOL-001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4"/>
              </w:rPr>
              <w:t>外部系统调用统一经过Tool Gateway</w:t>
            </w:r>
          </w:p>
        </w:tc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4"/>
              </w:rPr>
              <w:t>连接器详情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4"/>
              </w:rPr>
              <w:t>Tool/Connector/ToolCall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4"/>
              </w:rPr>
              <w:t>权限、幂等、回执测试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4"/>
              </w:rPr>
              <w:t>R1/P0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4"/>
              </w:rPr>
              <w:t>EVID-001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4"/>
              </w:rPr>
              <w:t>关键结论可追溯到数据、模型和工具回执</w:t>
            </w:r>
          </w:p>
        </w:tc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4"/>
              </w:rPr>
              <w:t>证据链/成果详情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4"/>
              </w:rPr>
              <w:t>Evidence/Artifact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4"/>
              </w:rPr>
              <w:t>证据完整性和checksum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4"/>
              </w:rPr>
              <w:t>R1/P0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4"/>
              </w:rPr>
              <w:t>IAM-001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4"/>
              </w:rPr>
              <w:t>权限在API、Workflow和工具层共同生效</w:t>
            </w:r>
          </w:p>
        </w:tc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4"/>
              </w:rPr>
              <w:t>权限与安全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4"/>
              </w:rPr>
              <w:t>RBAC/ABAC/Policy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4"/>
              </w:rPr>
              <w:t>越权、租户隔离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4"/>
              </w:rPr>
              <w:t>R1/P0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4"/>
              </w:rPr>
              <w:t>CHAN-002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4"/>
              </w:rPr>
              <w:t>第三方IM通过统一Channel Adapter接入</w:t>
            </w:r>
          </w:p>
        </w:tc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4"/>
              </w:rPr>
              <w:t>渠道配置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4"/>
              </w:rPr>
              <w:t>ChannelAdapter/EventEnvelope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4"/>
              </w:rPr>
              <w:t>身份、群、消息映射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4"/>
              </w:rPr>
              <w:t>R2/P1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4"/>
              </w:rPr>
              <w:t>TEN-002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4"/>
              </w:rPr>
              <w:t>多租户正式运营、SSO和组织同步</w:t>
            </w:r>
          </w:p>
        </w:tc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4"/>
              </w:rPr>
              <w:t>组织与租户管理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4"/>
              </w:rPr>
              <w:t>Tenant/Organization/IAM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4"/>
              </w:rPr>
              <w:t>隔离、配额、SSO E2E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4"/>
              </w:rPr>
              <w:t>R2/P1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4"/>
              </w:rPr>
              <w:t>ECO-001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4"/>
              </w:rPr>
              <w:t>第三方Skill和Connector可发布与授权</w:t>
            </w:r>
          </w:p>
        </w:tc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4"/>
              </w:rPr>
              <w:t>能力市场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4"/>
              </w:rPr>
              <w:t>SDK/Registry/Release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4"/>
              </w:rPr>
              <w:t>发布审核、依赖与安全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4"/>
              </w:rPr>
              <w:t>R3/P2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4"/>
              </w:rPr>
              <w:t>OPS-003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4"/>
              </w:rPr>
              <w:t>支持计量计费和规模运营</w:t>
            </w:r>
          </w:p>
        </w:tc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4"/>
              </w:rPr>
              <w:t>运营中心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4"/>
              </w:rPr>
              <w:t>CostRecord/Quota/Billing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4"/>
              </w:rPr>
              <w:t>计量准确性、账单对账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4"/>
              </w:rPr>
              <w:t>R3/P2</w:t>
            </w:r>
          </w:p>
        </w:tc>
      </w:tr>
    </w:tbl>
    <w:p>
      <w:pPr>
        <w:spacing w:after="0"/>
      </w:pPr>
    </w:p>
    <w:p>
      <w:pPr>
        <w:pStyle w:val="Heading1"/>
      </w:pPr>
      <w:r>
        <w:t>附录C. 参考资料</w:t>
      </w:r>
    </w:p>
    <w:p>
      <w:pPr>
        <w:pStyle w:val="ListBullet"/>
      </w:pPr>
      <w:r>
        <w:t>Temporal Workflows：</w:t>
      </w:r>
      <w:hyperlink r:id="rId13">
        <w:r>
          <w:rPr>
            <w:color w:val="2F75B5"/>
            <w:u w:val="single"/>
          </w:rPr>
          <w:t>https://docs.temporal.io/workflows</w:t>
        </w:r>
      </w:hyperlink>
    </w:p>
    <w:p>
      <w:pPr>
        <w:pStyle w:val="ListBullet"/>
      </w:pPr>
      <w:r>
        <w:t>Temporal Human-in-the-loop AI Agent：</w:t>
      </w:r>
      <w:hyperlink r:id="rId14">
        <w:r>
          <w:rPr>
            <w:color w:val="2F75B5"/>
            <w:u w:val="single"/>
          </w:rPr>
          <w:t>https://docs.temporal.io/ai-cookbook/human-in-the-loop-python</w:t>
        </w:r>
      </w:hyperlink>
    </w:p>
    <w:p>
      <w:pPr>
        <w:pStyle w:val="ListBullet"/>
      </w:pPr>
      <w:r>
        <w:t>Temporal与LangGraph集成：</w:t>
      </w:r>
      <w:hyperlink r:id="rId15">
        <w:r>
          <w:rPr>
            <w:color w:val="2F75B5"/>
            <w:u w:val="single"/>
          </w:rPr>
          <w:t>https://docs.temporal.io/develop/python/integrations/langgraph</w:t>
        </w:r>
      </w:hyperlink>
    </w:p>
    <w:p>
      <w:pPr>
        <w:pStyle w:val="ListBullet"/>
      </w:pPr>
      <w:r>
        <w:t>LangGraph Overview：</w:t>
      </w:r>
      <w:hyperlink r:id="rId16">
        <w:r>
          <w:rPr>
            <w:color w:val="2F75B5"/>
            <w:u w:val="single"/>
          </w:rPr>
          <w:t>https://docs.langchain.com/oss/python/langgraph/overview</w:t>
        </w:r>
      </w:hyperlink>
    </w:p>
    <w:p>
      <w:pPr>
        <w:pStyle w:val="ListBullet"/>
      </w:pPr>
      <w:r>
        <w:t>LangGraph Interrupts：</w:t>
      </w:r>
      <w:hyperlink r:id="rId17">
        <w:r>
          <w:rPr>
            <w:color w:val="2F75B5"/>
            <w:u w:val="single"/>
          </w:rPr>
          <w:t>https://docs.langchain.com/oss/python/langgraph/interrupts</w:t>
        </w:r>
      </w:hyperlink>
    </w:p>
    <w:p>
      <w:pPr>
        <w:pStyle w:val="ListBullet"/>
      </w:pPr>
      <w:r>
        <w:t>MCP Architecture：</w:t>
      </w:r>
      <w:hyperlink r:id="rId18">
        <w:r>
          <w:rPr>
            <w:color w:val="2F75B5"/>
            <w:u w:val="single"/>
          </w:rPr>
          <w:t>https://modelcontextprotocol.io/docs/learn/architecture</w:t>
        </w:r>
      </w:hyperlink>
    </w:p>
    <w:p>
      <w:pPr>
        <w:pStyle w:val="ListBullet"/>
      </w:pPr>
      <w:r>
        <w:t>MCP Specification：</w:t>
      </w:r>
      <w:hyperlink r:id="rId19">
        <w:r>
          <w:rPr>
            <w:color w:val="2F75B5"/>
            <w:u w:val="single"/>
          </w:rPr>
          <w:t>https://modelcontextprotocol.io/specification/2025-11-25</w:t>
        </w:r>
      </w:hyperlink>
    </w:p>
    <w:p>
      <w:pPr>
        <w:pStyle w:val="ListBullet"/>
      </w:pPr>
      <w:r>
        <w:t>OpenTelemetry Documentation：</w:t>
      </w:r>
      <w:hyperlink r:id="rId20">
        <w:r>
          <w:rPr>
            <w:color w:val="2F75B5"/>
            <w:u w:val="single"/>
          </w:rPr>
          <w:t>https://opentelemetry.io/docs/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979" w:left="1123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B7280"/>
        <w:sz w:val="17"/>
      </w:rPr>
      <w:t>GridCrew 电力行业数字员工平台  |  产品需求文档（PRD）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Noto Sans CJK SC" w:hAnsi="Noto Sans CJK SC" w:eastAsia="Noto Sans CJK SC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75B5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293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F4E78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6B728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00" w:after="100"/>
      <w:ind w:left="216" w:right="216"/>
    </w:pPr>
    <w:rPr>
      <w:rFonts w:ascii="Noto Sans CJK SC" w:hAnsi="Noto Sans CJK SC" w:eastAsia="Noto Sans CJK SC"/>
      <w:color w:val="1F2937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hyperlink" Target="https://docs.temporal.io/workflows" TargetMode="External"/><Relationship Id="rId14" Type="http://schemas.openxmlformats.org/officeDocument/2006/relationships/hyperlink" Target="https://docs.temporal.io/ai-cookbook/human-in-the-loop-python" TargetMode="External"/><Relationship Id="rId15" Type="http://schemas.openxmlformats.org/officeDocument/2006/relationships/hyperlink" Target="https://docs.temporal.io/develop/python/integrations/langgraph" TargetMode="External"/><Relationship Id="rId16" Type="http://schemas.openxmlformats.org/officeDocument/2006/relationships/hyperlink" Target="https://docs.langchain.com/oss/python/langgraph/overview" TargetMode="External"/><Relationship Id="rId17" Type="http://schemas.openxmlformats.org/officeDocument/2006/relationships/hyperlink" Target="https://docs.langchain.com/oss/python/langgraph/interrupts" TargetMode="External"/><Relationship Id="rId18" Type="http://schemas.openxmlformats.org/officeDocument/2006/relationships/hyperlink" Target="https://modelcontextprotocol.io/docs/learn/architecture" TargetMode="External"/><Relationship Id="rId19" Type="http://schemas.openxmlformats.org/officeDocument/2006/relationships/hyperlink" Target="https://modelcontextprotocol.io/specification/2025-11-25" TargetMode="External"/><Relationship Id="rId20" Type="http://schemas.openxmlformats.org/officeDocument/2006/relationships/hyperlink" Target="https://opentelemetry.io/doc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GridCrew 电力行业数字员工平台</dc:title>
  <dc:subject>产品需求文档（PRD）</dc:subject>
  <dc:creator>GridCrew产品规划组</dc:creator>
  <cp:keywords/>
  <dc:description>基于GridCrew高保真原型V2.2与终局架构决策统一品牌与工程命名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