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900"/>
        <w:jc w:val="center"/>
      </w:pPr>
      <w:r>
        <w:rPr>
          <w:rFonts w:ascii="Noto Sans CJK SC" w:hAnsi="Noto Sans CJK SC" w:eastAsia="Noto Sans CJK SC"/>
          <w:b/>
          <w:color w:val="1F4E78"/>
          <w:sz w:val="52"/>
        </w:rPr>
        <w:t>GridCrew</w:t>
      </w:r>
    </w:p>
    <w:p>
      <w:pPr>
        <w:jc w:val="center"/>
      </w:pPr>
      <w:r>
        <w:rPr>
          <w:rFonts w:ascii="Noto Sans CJK SC" w:hAnsi="Noto Sans CJK SC" w:eastAsia="Noto Sans CJK SC"/>
          <w:color w:val="2F75B5"/>
          <w:sz w:val="28"/>
        </w:rPr>
        <w:t>电力行业数字员工平台 · 终局架构与分版本完整开发计划</w:t>
      </w:r>
    </w:p>
    <w:p>
      <w:pPr>
        <w:spacing w:before="560"/>
        <w:jc w:val="center"/>
      </w:pPr>
      <w:r>
        <w:rPr>
          <w:rFonts w:ascii="Noto Sans CJK SC" w:hAnsi="Noto Sans CJK SC" w:eastAsia="Noto Sans CJK SC"/>
          <w:b/>
          <w:color w:val="1F2937"/>
          <w:sz w:val="24"/>
        </w:rPr>
        <w:t>终局架构版 · 与GridCrew高保真原型V2.2一致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088"/>
            <w:shd w:fill="D9EAF7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F4E78"/>
                <w:sz w:val="20"/>
              </w:rPr>
              <w:t>文档版本</w:t>
            </w:r>
          </w:p>
        </w:tc>
        <w:tc>
          <w:tcPr>
            <w:tcW w:type="dxa" w:w="4896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20"/>
              </w:rPr>
              <w:t>V2.2</w:t>
            </w:r>
          </w:p>
        </w:tc>
      </w:tr>
      <w:tr>
        <w:tc>
          <w:tcPr>
            <w:tcW w:type="dxa" w:w="2088"/>
            <w:shd w:fill="D9EAF7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F4E78"/>
                <w:sz w:val="20"/>
              </w:rPr>
              <w:t>编制日期</w:t>
            </w:r>
          </w:p>
        </w:tc>
        <w:tc>
          <w:tcPr>
            <w:tcW w:type="dxa" w:w="4896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20"/>
              </w:rPr>
              <w:t>2026年7月24日</w:t>
            </w:r>
          </w:p>
        </w:tc>
      </w:tr>
      <w:tr>
        <w:tc>
          <w:tcPr>
            <w:tcW w:type="dxa" w:w="2088"/>
            <w:shd w:fill="D9EAF7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F4E78"/>
                <w:sz w:val="20"/>
              </w:rPr>
              <w:t>文档状态</w:t>
            </w:r>
          </w:p>
        </w:tc>
        <w:tc>
          <w:tcPr>
            <w:tcW w:type="dxa" w:w="4896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20"/>
              </w:rPr>
              <w:t>规划基线 / 待产品评审冻结</w:t>
            </w:r>
          </w:p>
        </w:tc>
      </w:tr>
      <w:tr>
        <w:tc>
          <w:tcPr>
            <w:tcW w:type="dxa" w:w="2088"/>
            <w:shd w:fill="D9EAF7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F4E78"/>
                <w:sz w:val="20"/>
              </w:rPr>
              <w:t>适用范围</w:t>
            </w:r>
          </w:p>
        </w:tc>
        <w:tc>
          <w:tcPr>
            <w:tcW w:type="dxa" w:w="4896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20"/>
              </w:rPr>
              <w:t>产品立项、原型确认、架构设计、研发与验收</w:t>
            </w:r>
          </w:p>
        </w:tc>
      </w:tr>
    </w:tbl>
    <w:p/>
    <w:p>
      <w:pPr>
        <w:jc w:val="center"/>
      </w:pPr>
      <w:r>
        <w:rPr>
          <w:rFonts w:ascii="Noto Sans CJK SC" w:hAnsi="Noto Sans CJK SC" w:eastAsia="Noto Sans CJK SC"/>
          <w:b/>
          <w:color w:val="1F2937"/>
          <w:sz w:val="22"/>
        </w:rPr>
        <w:t>核心原则：终局逻辑架构一步到位，R1只减少启用范围，不建设未来需要废弃的临时内核。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spacing w:after="40"/>
        <w:ind w:left="0"/>
      </w:pPr>
      <w:r>
        <w:rPr>
          <w:rFonts w:ascii="Noto Sans CJK SC" w:hAnsi="Noto Sans CJK SC" w:eastAsia="Noto Sans CJK SC"/>
          <w:b/>
          <w:color w:val="1F4E78"/>
          <w:sz w:val="21"/>
        </w:rPr>
        <w:t>1. 开发计划定位与总体目标</w:t>
      </w:r>
    </w:p>
    <w:p>
      <w:pPr>
        <w:spacing w:after="40"/>
        <w:ind w:left="0"/>
      </w:pPr>
      <w:r>
        <w:rPr>
          <w:rFonts w:ascii="Noto Sans CJK SC" w:hAnsi="Noto Sans CJK SC" w:eastAsia="Noto Sans CJK SC"/>
          <w:b/>
          <w:color w:val="1F4E78"/>
          <w:sz w:val="21"/>
        </w:rPr>
        <w:t>2. 架构基线与不可变约束</w:t>
      </w:r>
    </w:p>
    <w:p>
      <w:pPr>
        <w:spacing w:after="40"/>
        <w:ind w:left="0"/>
      </w:pPr>
      <w:r>
        <w:rPr>
          <w:rFonts w:ascii="Noto Sans CJK SC" w:hAnsi="Noto Sans CJK SC" w:eastAsia="Noto Sans CJK SC"/>
          <w:b/>
          <w:color w:val="1F4E78"/>
          <w:sz w:val="21"/>
        </w:rPr>
        <w:t>3. 推荐技术栈与部署形态</w:t>
      </w:r>
    </w:p>
    <w:p>
      <w:pPr>
        <w:spacing w:after="40"/>
        <w:ind w:left="0"/>
      </w:pPr>
      <w:r>
        <w:rPr>
          <w:rFonts w:ascii="Noto Sans CJK SC" w:hAnsi="Noto Sans CJK SC" w:eastAsia="Noto Sans CJK SC"/>
          <w:b/>
          <w:color w:val="1F4E78"/>
          <w:sz w:val="21"/>
        </w:rPr>
        <w:t>4. 代码仓库与模块边界</w:t>
      </w:r>
    </w:p>
    <w:p>
      <w:pPr>
        <w:spacing w:after="40"/>
        <w:ind w:left="0"/>
      </w:pPr>
      <w:r>
        <w:rPr>
          <w:rFonts w:ascii="Noto Sans CJK SC" w:hAnsi="Noto Sans CJK SC" w:eastAsia="Noto Sans CJK SC"/>
          <w:b/>
          <w:color w:val="1F4E78"/>
          <w:sz w:val="21"/>
        </w:rPr>
        <w:t>5. 团队配置与项目治理</w:t>
      </w:r>
    </w:p>
    <w:p>
      <w:pPr>
        <w:spacing w:after="40"/>
        <w:ind w:left="0"/>
      </w:pPr>
      <w:r>
        <w:rPr>
          <w:rFonts w:ascii="Noto Sans CJK SC" w:hAnsi="Noto Sans CJK SC" w:eastAsia="Noto Sans CJK SC"/>
          <w:b/>
          <w:color w:val="1F4E78"/>
          <w:sz w:val="21"/>
        </w:rPr>
        <w:t>6. 产品版本与研发里程碑映射</w:t>
      </w:r>
    </w:p>
    <w:p>
      <w:pPr>
        <w:spacing w:after="40"/>
        <w:ind w:left="0"/>
      </w:pPr>
      <w:r>
        <w:rPr>
          <w:rFonts w:ascii="Noto Sans CJK SC" w:hAnsi="Noto Sans CJK SC" w:eastAsia="Noto Sans CJK SC"/>
          <w:b/>
          <w:color w:val="1F4E78"/>
          <w:sz w:val="21"/>
        </w:rPr>
        <w:t>7. M0—M15分阶段详细建设任务</w:t>
      </w:r>
    </w:p>
    <w:p>
      <w:pPr>
        <w:spacing w:after="40"/>
        <w:ind w:left="0"/>
      </w:pPr>
      <w:r>
        <w:rPr>
          <w:rFonts w:ascii="Noto Sans CJK SC" w:hAnsi="Noto Sans CJK SC" w:eastAsia="Noto Sans CJK SC"/>
          <w:b/>
          <w:color w:val="1F4E78"/>
          <w:sz w:val="21"/>
        </w:rPr>
        <w:t>8. 契约优先与数据模型实施</w:t>
      </w:r>
    </w:p>
    <w:p>
      <w:pPr>
        <w:spacing w:after="40"/>
        <w:ind w:left="0"/>
      </w:pPr>
      <w:r>
        <w:rPr>
          <w:rFonts w:ascii="Noto Sans CJK SC" w:hAnsi="Noto Sans CJK SC" w:eastAsia="Noto Sans CJK SC"/>
          <w:b/>
          <w:color w:val="1F4E78"/>
          <w:sz w:val="21"/>
        </w:rPr>
        <w:t>9. Temporal、Agent与工具工程规范</w:t>
      </w:r>
    </w:p>
    <w:p>
      <w:pPr>
        <w:spacing w:after="40"/>
        <w:ind w:left="0"/>
      </w:pPr>
      <w:r>
        <w:rPr>
          <w:rFonts w:ascii="Noto Sans CJK SC" w:hAnsi="Noto Sans CJK SC" w:eastAsia="Noto Sans CJK SC"/>
          <w:b/>
          <w:color w:val="1F4E78"/>
          <w:sz w:val="21"/>
        </w:rPr>
        <w:t>10. 测试、质量与生产门禁</w:t>
      </w:r>
    </w:p>
    <w:p>
      <w:pPr>
        <w:spacing w:after="40"/>
        <w:ind w:left="0"/>
      </w:pPr>
      <w:r>
        <w:rPr>
          <w:rFonts w:ascii="Noto Sans CJK SC" w:hAnsi="Noto Sans CJK SC" w:eastAsia="Noto Sans CJK SC"/>
          <w:b/>
          <w:color w:val="1F4E78"/>
          <w:sz w:val="21"/>
        </w:rPr>
        <w:t>11. 安全、合规与私有化</w:t>
      </w:r>
    </w:p>
    <w:p>
      <w:pPr>
        <w:spacing w:after="40"/>
        <w:ind w:left="0"/>
      </w:pPr>
      <w:r>
        <w:rPr>
          <w:rFonts w:ascii="Noto Sans CJK SC" w:hAnsi="Noto Sans CJK SC" w:eastAsia="Noto Sans CJK SC"/>
          <w:b/>
          <w:color w:val="1F4E78"/>
          <w:sz w:val="21"/>
        </w:rPr>
        <w:t>12. CI/CD、环境与版本管理</w:t>
      </w:r>
    </w:p>
    <w:p>
      <w:pPr>
        <w:spacing w:after="40"/>
        <w:ind w:left="0"/>
      </w:pPr>
      <w:r>
        <w:rPr>
          <w:rFonts w:ascii="Noto Sans CJK SC" w:hAnsi="Noto Sans CJK SC" w:eastAsia="Noto Sans CJK SC"/>
          <w:b/>
          <w:color w:val="1F4E78"/>
          <w:sz w:val="21"/>
        </w:rPr>
        <w:t>13. 试点上线与运营验证</w:t>
      </w:r>
    </w:p>
    <w:p>
      <w:pPr>
        <w:spacing w:after="40"/>
        <w:ind w:left="0"/>
      </w:pPr>
      <w:r>
        <w:rPr>
          <w:rFonts w:ascii="Noto Sans CJK SC" w:hAnsi="Noto Sans CJK SC" w:eastAsia="Noto Sans CJK SC"/>
          <w:b/>
          <w:color w:val="1F4E78"/>
          <w:sz w:val="21"/>
        </w:rPr>
        <w:t>14. 工作量与资源测算</w:t>
      </w:r>
    </w:p>
    <w:p>
      <w:pPr>
        <w:spacing w:after="40"/>
        <w:ind w:left="0"/>
      </w:pPr>
      <w:r>
        <w:rPr>
          <w:rFonts w:ascii="Noto Sans CJK SC" w:hAnsi="Noto Sans CJK SC" w:eastAsia="Noto Sans CJK SC"/>
          <w:b/>
          <w:color w:val="1F4E78"/>
          <w:sz w:val="21"/>
        </w:rPr>
        <w:t>15. 风险与应对</w:t>
      </w:r>
    </w:p>
    <w:p>
      <w:pPr>
        <w:spacing w:after="40"/>
        <w:ind w:left="0"/>
      </w:pPr>
      <w:r>
        <w:rPr>
          <w:rFonts w:ascii="Noto Sans CJK SC" w:hAnsi="Noto Sans CJK SC" w:eastAsia="Noto Sans CJK SC"/>
          <w:b/>
          <w:color w:val="1F4E78"/>
          <w:sz w:val="21"/>
        </w:rPr>
        <w:t>16. 完整交付物清单</w:t>
      </w:r>
    </w:p>
    <w:p>
      <w:pPr>
        <w:spacing w:after="40"/>
        <w:ind w:left="0"/>
      </w:pPr>
      <w:r>
        <w:rPr>
          <w:rFonts w:ascii="Noto Sans CJK SC" w:hAnsi="Noto Sans CJK SC" w:eastAsia="Noto Sans CJK SC"/>
          <w:b/>
          <w:color w:val="1F4E78"/>
          <w:sz w:val="21"/>
        </w:rPr>
        <w:t>附录A. Release与Milestone验收检查表</w:t>
      </w:r>
    </w:p>
    <w:p>
      <w:pPr>
        <w:spacing w:after="40"/>
        <w:ind w:left="0"/>
      </w:pPr>
      <w:r>
        <w:rPr>
          <w:rFonts w:ascii="Noto Sans CJK SC" w:hAnsi="Noto Sans CJK SC" w:eastAsia="Noto Sans CJK SC"/>
          <w:b/>
          <w:color w:val="1F4E78"/>
          <w:sz w:val="21"/>
        </w:rPr>
        <w:t>附录B. 架构债务检查表</w:t>
      </w:r>
    </w:p>
    <w:p>
      <w:pPr>
        <w:spacing w:after="40"/>
        <w:ind w:left="0"/>
      </w:pPr>
      <w:r>
        <w:rPr>
          <w:rFonts w:ascii="Noto Sans CJK SC" w:hAnsi="Noto Sans CJK SC" w:eastAsia="Noto Sans CJK SC"/>
          <w:b/>
          <w:color w:val="1F4E78"/>
          <w:sz w:val="21"/>
        </w:rPr>
        <w:t>附录C. 关键技术参考</w:t>
      </w:r>
    </w:p>
    <w:p>
      <w:r>
        <w:br w:type="page"/>
      </w:r>
    </w:p>
    <w:p>
      <w:pPr>
        <w:pStyle w:val="Heading1"/>
      </w:pPr>
      <w:r>
        <w:t>1. 开发计划定位与总体目标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DF5FB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pStyle w:val="Callout"/>
              <w:spacing w:after="0"/>
            </w:pPr>
            <w:r>
              <w:rPr>
                <w:rFonts w:ascii="Noto Sans CJK SC" w:hAnsi="Noto Sans CJK SC" w:eastAsia="Noto Sans CJK SC"/>
                <w:b/>
                <w:color w:val="2F75B5"/>
              </w:rPr>
              <w:t>本计划不是“先开发临时MVP、以后迁移”的路线，而是在终局架构上分阶段启用能力。任何阶段不得形成第二套任务内核、临时员工模型或专用平台耦合。</w:t>
            </w:r>
          </w:p>
        </w:tc>
      </w:tr>
    </w:tbl>
    <w:p>
      <w:pPr>
        <w:spacing w:after="0"/>
      </w:pPr>
    </w:p>
    <w:p>
      <w:pPr>
        <w:pStyle w:val="Heading2"/>
      </w:pPr>
      <w:r>
        <w:t>1.1 建设目标</w:t>
      </w:r>
    </w:p>
    <w:p>
      <w:pPr>
        <w:pStyle w:val="ListBullet"/>
        <w:spacing w:after="40"/>
      </w:pPr>
      <w:r>
        <w:t>在同一终局架构下完成数字员工协作、装配、运行、治理和专业能力接入。</w:t>
      </w:r>
    </w:p>
    <w:p>
      <w:pPr>
        <w:pStyle w:val="ListBullet"/>
        <w:spacing w:after="40"/>
      </w:pPr>
      <w:r>
        <w:t>R1即可真实运行长任务、等待人工、审批、定时任务、失败恢复和专业系统调用。</w:t>
      </w:r>
    </w:p>
    <w:p>
      <w:pPr>
        <w:pStyle w:val="ListBullet"/>
        <w:spacing w:after="40"/>
      </w:pPr>
      <w:r>
        <w:t>后续新增岗位、场景、渠道和连接器时不迁移核心任务数据，不重写员工和能力模型。</w:t>
      </w:r>
    </w:p>
    <w:p>
      <w:pPr>
        <w:pStyle w:val="ListBullet"/>
        <w:spacing w:after="40"/>
      </w:pPr>
      <w:r>
        <w:t>最终支持电力企业私有化部署、多租户运营和第三方协作渠道。</w:t>
      </w:r>
    </w:p>
    <w:p>
      <w:pPr>
        <w:pStyle w:val="Heading2"/>
      </w:pPr>
      <w:r>
        <w:t>1.2 交付策略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2016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策略</w:t>
            </w:r>
          </w:p>
        </w:tc>
        <w:tc>
          <w:tcPr>
            <w:tcW w:type="dxa" w:w="7992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具体要求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架构先行</w:t>
            </w:r>
          </w:p>
        </w:tc>
        <w:tc>
          <w:tcPr>
            <w:tcW w:type="dxa" w:w="79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M0冻结领域模型、事件、Schema、Temporal边界、权限和版本策略。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纵向闭环</w:t>
            </w:r>
          </w:p>
        </w:tc>
        <w:tc>
          <w:tcPr>
            <w:tcW w:type="dxa" w:w="79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优先打通两条真实业务任务，而不是横向铺满全部页面和岗位。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契约优先</w:t>
            </w:r>
          </w:p>
        </w:tc>
        <w:tc>
          <w:tcPr>
            <w:tcW w:type="dxa" w:w="79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前后端、Agent、Skill、Tool、Connector和Artifact均先定义Schema及错误语义。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真实执行</w:t>
            </w:r>
          </w:p>
        </w:tc>
        <w:tc>
          <w:tcPr>
            <w:tcW w:type="dxa" w:w="79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Mock只用于单元和界面测试；完成验收必须运行真实Temporal和真实工具回执。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治理内建</w:t>
            </w:r>
          </w:p>
        </w:tc>
        <w:tc>
          <w:tcPr>
            <w:tcW w:type="dxa" w:w="79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多租户字段、身份、审批、审计、证据、评测和可观测性从R1存在。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可演进部署</w:t>
            </w:r>
          </w:p>
        </w:tc>
        <w:tc>
          <w:tcPr>
            <w:tcW w:type="dxa" w:w="79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逻辑模块固定，首期模块化单体与独立Workers，规模增长时按接口拆分。</w:t>
            </w:r>
          </w:p>
        </w:tc>
      </w:tr>
    </w:tbl>
    <w:p>
      <w:pPr>
        <w:spacing w:after="0"/>
      </w:pPr>
    </w:p>
    <w:p>
      <w:pPr>
        <w:pStyle w:val="Heading2"/>
      </w:pPr>
      <w:r>
        <w:t>1.3 计划层级与命名规则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2376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层级</w:t>
            </w:r>
          </w:p>
        </w:tc>
        <w:tc>
          <w:tcPr>
            <w:tcW w:type="dxa" w:w="3096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用途</w:t>
            </w:r>
          </w:p>
        </w:tc>
        <w:tc>
          <w:tcPr>
            <w:tcW w:type="dxa" w:w="4536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本计划定义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Product Release</w:t>
            </w:r>
          </w:p>
        </w:tc>
        <w:tc>
          <w:tcPr>
            <w:tcW w:type="dxa" w:w="30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面向客户交付与商业验收</w:t>
            </w:r>
          </w:p>
        </w:tc>
        <w:tc>
          <w:tcPr>
            <w:tcW w:type="dxa" w:w="45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R1平台基础与联合试点版、R2多场景与组织级应用版、R3平台生态与规模运营版。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Development Milestone</w:t>
            </w:r>
          </w:p>
        </w:tc>
        <w:tc>
          <w:tcPr>
            <w:tcW w:type="dxa" w:w="30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面向研发组织、质量门禁和依赖管理</w:t>
            </w:r>
          </w:p>
        </w:tc>
        <w:tc>
          <w:tcPr>
            <w:tcW w:type="dxa" w:w="45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M0—M15；多个Milestone共同完成一个Release。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Sprint</w:t>
            </w:r>
          </w:p>
        </w:tc>
        <w:tc>
          <w:tcPr>
            <w:tcW w:type="dxa" w:w="30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面向日常研发迭代</w:t>
            </w:r>
          </w:p>
        </w:tc>
        <w:tc>
          <w:tcPr>
            <w:tcW w:type="dxa" w:w="453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建议两周一个Sprint；必须包含可演示增量、自动化测试和架构债务检查。</w:t>
            </w:r>
          </w:p>
        </w:tc>
      </w:tr>
    </w:tbl>
    <w:p>
      <w:pPr>
        <w:spacing w:after="0"/>
      </w:pPr>
    </w:p>
    <w:p>
      <w:pPr>
        <w:pStyle w:val="Heading2"/>
      </w:pPr>
      <w:r>
        <w:t>1.4 GridCrew品牌与工程命名基线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2088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对象</w:t>
            </w:r>
          </w:p>
        </w:tc>
        <w:tc>
          <w:tcPr>
            <w:tcW w:type="dxa" w:w="3384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统一命名</w:t>
            </w:r>
          </w:p>
        </w:tc>
        <w:tc>
          <w:tcPr>
            <w:tcW w:type="dxa" w:w="4680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约束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5"/>
              </w:rPr>
              <w:t>产品与文档</w:t>
            </w:r>
          </w:p>
        </w:tc>
        <w:tc>
          <w:tcPr>
            <w:tcW w:type="dxa" w:w="33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5"/>
              </w:rPr>
              <w:t>GridCrew / GridCrew 电力行业数字员工平台</w:t>
            </w:r>
          </w:p>
        </w:tc>
        <w:tc>
          <w:tcPr>
            <w:tcW w:type="dxa" w:w="4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5"/>
              </w:rPr>
              <w:t>界面可使用GridCrew简称；正式文档首次出现使用全称。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5"/>
              </w:rPr>
              <w:t>代码仓库</w:t>
            </w:r>
          </w:p>
        </w:tc>
        <w:tc>
          <w:tcPr>
            <w:tcW w:type="dxa" w:w="33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5"/>
              </w:rPr>
              <w:t>gridcrew</w:t>
            </w:r>
          </w:p>
        </w:tc>
        <w:tc>
          <w:tcPr>
            <w:tcW w:type="dxa" w:w="4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5"/>
              </w:rPr>
              <w:t>不得继续使用临时项目名或场景专用名称。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5"/>
              </w:rPr>
              <w:t>Python根包</w:t>
            </w:r>
          </w:p>
        </w:tc>
        <w:tc>
          <w:tcPr>
            <w:tcW w:type="dxa" w:w="33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5"/>
              </w:rPr>
              <w:t>gridcrew</w:t>
            </w:r>
          </w:p>
        </w:tc>
        <w:tc>
          <w:tcPr>
            <w:tcW w:type="dxa" w:w="4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5"/>
              </w:rPr>
              <w:t>领域包不得使用交易、运筹或安全等单一场景作为根命名。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5"/>
              </w:rPr>
              <w:t>前端包</w:t>
            </w:r>
          </w:p>
        </w:tc>
        <w:tc>
          <w:tcPr>
            <w:tcW w:type="dxa" w:w="33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5"/>
              </w:rPr>
              <w:t>@gridcrew/*</w:t>
            </w:r>
          </w:p>
        </w:tc>
        <w:tc>
          <w:tcPr>
            <w:tcW w:type="dxa" w:w="4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5"/>
              </w:rPr>
              <w:t>公共UI、contracts、sdk等采用统一scope。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5"/>
              </w:rPr>
              <w:t>环境变量</w:t>
            </w:r>
          </w:p>
        </w:tc>
        <w:tc>
          <w:tcPr>
            <w:tcW w:type="dxa" w:w="33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5"/>
              </w:rPr>
              <w:t>GRIDCREW_*</w:t>
            </w:r>
          </w:p>
        </w:tc>
        <w:tc>
          <w:tcPr>
            <w:tcW w:type="dxa" w:w="4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5"/>
              </w:rPr>
              <w:t>凭据仅保存引用，不进入代码、Prompt或日志。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5"/>
              </w:rPr>
              <w:t>Docker镜像</w:t>
            </w:r>
          </w:p>
        </w:tc>
        <w:tc>
          <w:tcPr>
            <w:tcW w:type="dxa" w:w="33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5"/>
              </w:rPr>
              <w:t>gridcrew-web / gridcrew-api / gridcrew-worker-*</w:t>
            </w:r>
          </w:p>
        </w:tc>
        <w:tc>
          <w:tcPr>
            <w:tcW w:type="dxa" w:w="4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5"/>
              </w:rPr>
              <w:t>镜像名稳定，版本使用语义化标签与构建摘要。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5"/>
              </w:rPr>
              <w:t>Temporal Namespace</w:t>
            </w:r>
          </w:p>
        </w:tc>
        <w:tc>
          <w:tcPr>
            <w:tcW w:type="dxa" w:w="33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5"/>
              </w:rPr>
              <w:t>gridcrew-dev / gridcrew-test / gridcrew-prod</w:t>
            </w:r>
          </w:p>
        </w:tc>
        <w:tc>
          <w:tcPr>
            <w:tcW w:type="dxa" w:w="4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5"/>
              </w:rPr>
              <w:t>按环境隔离；租户隔离由领域、权限和数据策略共同保证。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5"/>
              </w:rPr>
              <w:t>Temporal Task Queue</w:t>
            </w:r>
          </w:p>
        </w:tc>
        <w:tc>
          <w:tcPr>
            <w:tcW w:type="dxa" w:w="33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5"/>
              </w:rPr>
              <w:t>gridcrew.agent.default / gridcrew.tool.default / gridcrew.artifact.default</w:t>
            </w:r>
          </w:p>
        </w:tc>
        <w:tc>
          <w:tcPr>
            <w:tcW w:type="dxa" w:w="4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5"/>
              </w:rPr>
              <w:t>后续可按能力域或资源等级扩展，不使用客户专用硬编码。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5"/>
              </w:rPr>
              <w:t>OpenTelemetry Service</w:t>
            </w:r>
          </w:p>
        </w:tc>
        <w:tc>
          <w:tcPr>
            <w:tcW w:type="dxa" w:w="33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5"/>
              </w:rPr>
              <w:t>gridcrew.web / gridcrew.api / gridcrew.worker.*</w:t>
            </w:r>
          </w:p>
        </w:tc>
        <w:tc>
          <w:tcPr>
            <w:tcW w:type="dxa" w:w="46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5"/>
              </w:rPr>
              <w:t>日志、指标、Trace使用同一service命名族。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8F5E9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pStyle w:val="Callout"/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E7D32"/>
              </w:rPr>
              <w:t>品牌展示文案与领域逻辑解耦：代码可以稳定演进，界面品牌文案由配置提供，不在核心Workflow、领域对象或Connector中硬编码。</w:t>
            </w:r>
          </w:p>
        </w:tc>
      </w:tr>
    </w:tbl>
    <w:p>
      <w:pPr>
        <w:spacing w:after="0"/>
      </w:pPr>
    </w:p>
    <w:p>
      <w:pPr>
        <w:pStyle w:val="Heading1"/>
      </w:pPr>
      <w:r>
        <w:t>2. 架构基线与不可变约束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37763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7763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2.1 不可变架构决策</w:t>
      </w:r>
    </w:p>
    <w:p>
      <w:pPr>
        <w:spacing w:after="40"/>
        <w:ind w:left="230" w:hanging="230"/>
      </w:pPr>
      <w:r>
        <w:rPr>
          <w:b/>
        </w:rPr>
        <w:t xml:space="preserve">1. </w:t>
      </w:r>
      <w:r>
        <w:t>Temporal是正式任务、审批、定时、长任务、跨系统执行和补偿的唯一可靠执行内核。</w:t>
      </w:r>
    </w:p>
    <w:p>
      <w:pPr>
        <w:spacing w:after="40"/>
        <w:ind w:left="230" w:hanging="230"/>
      </w:pPr>
      <w:r>
        <w:rPr>
          <w:b/>
        </w:rPr>
        <w:t xml:space="preserve">2. </w:t>
      </w:r>
      <w:r>
        <w:t>数字员工、岗位模板、Skill、Workflow、Tool、Connector、ModelPolicy、Artifact和EvaluationSuite均为独立版本化领域对象。</w:t>
      </w:r>
    </w:p>
    <w:p>
      <w:pPr>
        <w:spacing w:after="40"/>
        <w:ind w:left="230" w:hanging="230"/>
      </w:pPr>
      <w:r>
        <w:rPr>
          <w:b/>
        </w:rPr>
        <w:t xml:space="preserve">3. </w:t>
      </w:r>
      <w:r>
        <w:t>Agent运行时通过统一Model Gateway调用模型，不允许领域代码直接绑定模型厂商SDK。</w:t>
      </w:r>
    </w:p>
    <w:p>
      <w:pPr>
        <w:spacing w:after="40"/>
        <w:ind w:left="230" w:hanging="230"/>
      </w:pPr>
      <w:r>
        <w:rPr>
          <w:b/>
        </w:rPr>
        <w:t xml:space="preserve">4. </w:t>
      </w:r>
      <w:r>
        <w:t>Agent不能直接调用外部系统，必须经Skill和Tool Gateway进入Connector。</w:t>
      </w:r>
    </w:p>
    <w:p>
      <w:pPr>
        <w:spacing w:after="40"/>
        <w:ind w:left="230" w:hanging="230"/>
      </w:pPr>
      <w:r>
        <w:rPr>
          <w:b/>
        </w:rPr>
        <w:t xml:space="preserve">5. </w:t>
      </w:r>
      <w:r>
        <w:t>PostgreSQL只保存业务数据和执行投影，不自研另一套可推进状态的工作流。</w:t>
      </w:r>
    </w:p>
    <w:p>
      <w:pPr>
        <w:spacing w:after="40"/>
        <w:ind w:left="230" w:hanging="230"/>
      </w:pPr>
      <w:r>
        <w:rPr>
          <w:b/>
        </w:rPr>
        <w:t xml:space="preserve">6. </w:t>
      </w:r>
      <w:r>
        <w:t>统一事件协议连接自有Web与未来钉钉、企微、飞书渠道。</w:t>
      </w:r>
    </w:p>
    <w:p>
      <w:pPr>
        <w:spacing w:after="40"/>
        <w:ind w:left="230" w:hanging="230"/>
      </w:pPr>
      <w:r>
        <w:rPr>
          <w:b/>
        </w:rPr>
        <w:t xml:space="preserve">7. </w:t>
      </w:r>
      <w:r>
        <w:t>所有核心表从第一天包含tenant_id、organization_id、version、data_scope和审计字段。</w:t>
      </w:r>
    </w:p>
    <w:p>
      <w:pPr>
        <w:spacing w:after="40"/>
        <w:ind w:left="230" w:hanging="230"/>
      </w:pPr>
      <w:r>
        <w:rPr>
          <w:b/>
        </w:rPr>
        <w:t xml:space="preserve">8. </w:t>
      </w:r>
      <w:r>
        <w:t>知识、业务数据、记忆、成果和证据采用不同对象与生命周期。</w:t>
      </w:r>
    </w:p>
    <w:p>
      <w:pPr>
        <w:spacing w:after="40"/>
        <w:ind w:left="230" w:hanging="230"/>
      </w:pPr>
      <w:r>
        <w:rPr>
          <w:b/>
        </w:rPr>
        <w:t xml:space="preserve">9. </w:t>
      </w:r>
      <w:r>
        <w:t>全链路使用OpenTelemetry及统一关联ID。</w:t>
      </w:r>
    </w:p>
    <w:p>
      <w:pPr>
        <w:spacing w:after="40"/>
        <w:ind w:left="230" w:hanging="230"/>
      </w:pPr>
      <w:r>
        <w:rPr>
          <w:b/>
        </w:rPr>
        <w:t xml:space="preserve">10. </w:t>
      </w:r>
      <w:r>
        <w:t>公共代码不得包含运筹优化、交易、安全或其他单一场景的专用分支。</w:t>
      </w:r>
    </w:p>
    <w:p>
      <w:pPr>
        <w:pStyle w:val="Heading2"/>
      </w:pPr>
      <w:r>
        <w:t>2.2 架构决策记录（ADR）</w:t>
      </w:r>
    </w:p>
    <w:p>
      <w:r>
        <w:t>M0需建立ADR目录，至少记录Temporal-first、双引擎边界、模块化单体、统一事件、Model Gateway、Tool Gateway、MCP策略、多租户、Artifact/Evidence、Worker版本和部署策略。任何偏离需通过正式ADR评审。</w:t>
      </w:r>
    </w:p>
    <w:p>
      <w:pPr>
        <w:pStyle w:val="Heading1"/>
      </w:pPr>
      <w:r>
        <w:t>3. 推荐技术栈与部署形态</w:t>
      </w:r>
    </w:p>
    <w:p>
      <w:pPr>
        <w:pStyle w:val="Heading2"/>
      </w:pPr>
      <w:r>
        <w:t>3.1 推荐技术栈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1800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领域</w:t>
            </w:r>
          </w:p>
        </w:tc>
        <w:tc>
          <w:tcPr>
            <w:tcW w:type="dxa" w:w="3528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推荐方案</w:t>
            </w:r>
          </w:p>
        </w:tc>
        <w:tc>
          <w:tcPr>
            <w:tcW w:type="dxa" w:w="4752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6"/>
              </w:rPr>
              <w:t>前端</w:t>
            </w:r>
          </w:p>
        </w:tc>
        <w:tc>
          <w:tcPr>
            <w:tcW w:type="dxa" w:w="35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6"/>
              </w:rPr>
              <w:t>React + TypeScript + Vite</w:t>
            </w:r>
          </w:p>
        </w:tc>
        <w:tc>
          <w:tcPr>
            <w:tcW w:type="dxa" w:w="47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6"/>
              </w:rPr>
              <w:t>协作端与管理端共享设计系统；WebSocket实时消息。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6"/>
              </w:rPr>
              <w:t>API与领域服务</w:t>
            </w:r>
          </w:p>
        </w:tc>
        <w:tc>
          <w:tcPr>
            <w:tcW w:type="dxa" w:w="35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6"/>
              </w:rPr>
              <w:t>FastAPI + Pydantic + SQLAlchemy + Alembic</w:t>
            </w:r>
          </w:p>
        </w:tc>
        <w:tc>
          <w:tcPr>
            <w:tcW w:type="dxa" w:w="47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6"/>
              </w:rPr>
              <w:t>模块化单体，按领域分包。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6"/>
              </w:rPr>
              <w:t>可靠执行</w:t>
            </w:r>
          </w:p>
        </w:tc>
        <w:tc>
          <w:tcPr>
            <w:tcW w:type="dxa" w:w="35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6"/>
              </w:rPr>
              <w:t>Temporal Server + Python SDK</w:t>
            </w:r>
          </w:p>
        </w:tc>
        <w:tc>
          <w:tcPr>
            <w:tcW w:type="dxa" w:w="47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6"/>
              </w:rPr>
              <w:t>正式任务唯一内核；按环境使用Namespace。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6"/>
              </w:rPr>
              <w:t>Agent运行时</w:t>
            </w:r>
          </w:p>
        </w:tc>
        <w:tc>
          <w:tcPr>
            <w:tcW w:type="dxa" w:w="35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6"/>
              </w:rPr>
              <w:t>LangGraph + 自研Agent Runtime</w:t>
            </w:r>
          </w:p>
        </w:tc>
        <w:tc>
          <w:tcPr>
            <w:tcW w:type="dxa" w:w="47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6"/>
              </w:rPr>
              <w:t>负责理解、计划、路由、工具选择和解释。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6"/>
              </w:rPr>
              <w:t>模型网关</w:t>
            </w:r>
          </w:p>
        </w:tc>
        <w:tc>
          <w:tcPr>
            <w:tcW w:type="dxa" w:w="35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6"/>
              </w:rPr>
              <w:t>自研统一Model Gateway</w:t>
            </w:r>
          </w:p>
        </w:tc>
        <w:tc>
          <w:tcPr>
            <w:tcW w:type="dxa" w:w="47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6"/>
              </w:rPr>
              <w:t>多模型路由、结构化输出、隐私、成本、主备。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6"/>
              </w:rPr>
              <w:t>数据</w:t>
            </w:r>
          </w:p>
        </w:tc>
        <w:tc>
          <w:tcPr>
            <w:tcW w:type="dxa" w:w="35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6"/>
              </w:rPr>
              <w:t>PostgreSQL + pgvector</w:t>
            </w:r>
          </w:p>
        </w:tc>
        <w:tc>
          <w:tcPr>
            <w:tcW w:type="dxa" w:w="47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6"/>
              </w:rPr>
              <w:t>业务数据、投影、元数据、首期向量检索。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6"/>
              </w:rPr>
              <w:t>对象存储</w:t>
            </w:r>
          </w:p>
        </w:tc>
        <w:tc>
          <w:tcPr>
            <w:tcW w:type="dxa" w:w="35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6"/>
              </w:rPr>
              <w:t>MinIO / S3兼容</w:t>
            </w:r>
          </w:p>
        </w:tc>
        <w:tc>
          <w:tcPr>
            <w:tcW w:type="dxa" w:w="47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6"/>
              </w:rPr>
              <w:t>文件、报告、曲线、模型结果和证据。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6"/>
              </w:rPr>
              <w:t>缓存与实时</w:t>
            </w:r>
          </w:p>
        </w:tc>
        <w:tc>
          <w:tcPr>
            <w:tcW w:type="dxa" w:w="35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6"/>
              </w:rPr>
              <w:t>Redis + WebSocket</w:t>
            </w:r>
          </w:p>
        </w:tc>
        <w:tc>
          <w:tcPr>
            <w:tcW w:type="dxa" w:w="47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6"/>
              </w:rPr>
              <w:t>缓存、限流、会话和实时推送；不承载正式任务。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6"/>
              </w:rPr>
              <w:t>身份</w:t>
            </w:r>
          </w:p>
        </w:tc>
        <w:tc>
          <w:tcPr>
            <w:tcW w:type="dxa" w:w="35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6"/>
              </w:rPr>
              <w:t>Keycloak或企业OIDC适配</w:t>
            </w:r>
          </w:p>
        </w:tc>
        <w:tc>
          <w:tcPr>
            <w:tcW w:type="dxa" w:w="47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6"/>
              </w:rPr>
              <w:t>SSO、用户、服务身份和Token。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6"/>
              </w:rPr>
              <w:t>可观测性</w:t>
            </w:r>
          </w:p>
        </w:tc>
        <w:tc>
          <w:tcPr>
            <w:tcW w:type="dxa" w:w="35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6"/>
              </w:rPr>
              <w:t>OpenTelemetry Collector + Prometheus/Grafana + 日志/Trace后端</w:t>
            </w:r>
          </w:p>
        </w:tc>
        <w:tc>
          <w:tcPr>
            <w:tcW w:type="dxa" w:w="47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6"/>
              </w:rPr>
              <w:t>统一traces、metrics、logs。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6"/>
              </w:rPr>
              <w:t>部署</w:t>
            </w:r>
          </w:p>
        </w:tc>
        <w:tc>
          <w:tcPr>
            <w:tcW w:type="dxa" w:w="35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6"/>
              </w:rPr>
              <w:t>Docker Compose（开发）/ Kubernetes（生产）</w:t>
            </w:r>
          </w:p>
        </w:tc>
        <w:tc>
          <w:tcPr>
            <w:tcW w:type="dxa" w:w="47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6"/>
              </w:rPr>
              <w:t>客户私有化与规模化部署。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</w:pPr>
      <w:r>
        <w:t>3.2 首期物理组件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5F7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DejaVu Sans Mono" w:hAnsi="DejaVu Sans Mono" w:eastAsia="Noto Sans CJK SC"/>
                <w:color w:val="1F2937"/>
                <w:sz w:val="17"/>
              </w:rPr>
              <w:t>gridcrew-web               # React协作端与管理端</w:t>
              <w:br/>
            </w:r>
            <w:r>
              <w:rPr>
                <w:rFonts w:ascii="DejaVu Sans Mono" w:hAnsi="DejaVu Sans Mono" w:eastAsia="Noto Sans CJK SC"/>
                <w:color w:val="1F2937"/>
                <w:sz w:val="17"/>
              </w:rPr>
              <w:t>gridcrew-api               # 模块化单体API/BFF</w:t>
              <w:br/>
            </w:r>
            <w:r>
              <w:rPr>
                <w:rFonts w:ascii="DejaVu Sans Mono" w:hAnsi="DejaVu Sans Mono" w:eastAsia="Noto Sans CJK SC"/>
                <w:color w:val="1F2937"/>
                <w:sz w:val="17"/>
              </w:rPr>
              <w:t>gridcrew-worker-agent      # Temporal Agent Task Queue</w:t>
              <w:br/>
            </w:r>
            <w:r>
              <w:rPr>
                <w:rFonts w:ascii="DejaVu Sans Mono" w:hAnsi="DejaVu Sans Mono" w:eastAsia="Noto Sans CJK SC"/>
                <w:color w:val="1F2937"/>
                <w:sz w:val="17"/>
              </w:rPr>
              <w:t>gridcrew-worker-tool       # MCP/API/DB/RPA Tool Activities</w:t>
              <w:br/>
            </w:r>
            <w:r>
              <w:rPr>
                <w:rFonts w:ascii="DejaVu Sans Mono" w:hAnsi="DejaVu Sans Mono" w:eastAsia="Noto Sans CJK SC"/>
                <w:color w:val="1F2937"/>
                <w:sz w:val="17"/>
              </w:rPr>
              <w:t>gridcrew-worker-artifact   # 文档、文件、报告处理</w:t>
              <w:br/>
            </w:r>
            <w:r>
              <w:rPr>
                <w:rFonts w:ascii="DejaVu Sans Mono" w:hAnsi="DejaVu Sans Mono" w:eastAsia="Noto Sans CJK SC"/>
                <w:color w:val="1F2937"/>
                <w:sz w:val="17"/>
              </w:rPr>
              <w:t>scheduler/temporal-server</w:t>
              <w:br/>
            </w:r>
            <w:r>
              <w:rPr>
                <w:rFonts w:ascii="DejaVu Sans Mono" w:hAnsi="DejaVu Sans Mono" w:eastAsia="Noto Sans CJK SC"/>
                <w:color w:val="1F2937"/>
                <w:sz w:val="17"/>
              </w:rPr>
              <w:t>postgresql</w:t>
              <w:br/>
            </w:r>
            <w:r>
              <w:rPr>
                <w:rFonts w:ascii="DejaVu Sans Mono" w:hAnsi="DejaVu Sans Mono" w:eastAsia="Noto Sans CJK SC"/>
                <w:color w:val="1F2937"/>
                <w:sz w:val="17"/>
              </w:rPr>
              <w:t>minio</w:t>
              <w:br/>
            </w:r>
            <w:r>
              <w:rPr>
                <w:rFonts w:ascii="DejaVu Sans Mono" w:hAnsi="DejaVu Sans Mono" w:eastAsia="Noto Sans CJK SC"/>
                <w:color w:val="1F2937"/>
                <w:sz w:val="17"/>
              </w:rPr>
              <w:t>redis</w:t>
              <w:br/>
            </w:r>
            <w:r>
              <w:rPr>
                <w:rFonts w:ascii="DejaVu Sans Mono" w:hAnsi="DejaVu Sans Mono" w:eastAsia="Noto Sans CJK SC"/>
                <w:color w:val="1F2937"/>
                <w:sz w:val="17"/>
              </w:rPr>
              <w:t>keycloak（或OIDC开发替代）</w:t>
              <w:br/>
            </w:r>
            <w:r>
              <w:rPr>
                <w:rFonts w:ascii="DejaVu Sans Mono" w:hAnsi="DejaVu Sans Mono" w:eastAsia="Noto Sans CJK SC"/>
                <w:color w:val="1F2937"/>
                <w:sz w:val="17"/>
              </w:rPr>
              <w:t>otel-collector + observability backend</w:t>
              <w:br/>
            </w:r>
          </w:p>
        </w:tc>
      </w:tr>
    </w:tbl>
    <w:p>
      <w:pPr>
        <w:spacing w:after="0"/>
      </w:pPr>
    </w:p>
    <w:p>
      <w:pPr>
        <w:pStyle w:val="Heading2"/>
      </w:pPr>
      <w:r>
        <w:t>3.3 不建议首期引入</w:t>
      </w:r>
    </w:p>
    <w:p>
      <w:pPr>
        <w:pStyle w:val="ListBullet"/>
        <w:spacing w:after="40"/>
      </w:pPr>
      <w:r>
        <w:t>几十个微服务、服务网格和复杂跨服务事务。</w:t>
      </w:r>
    </w:p>
    <w:p>
      <w:pPr>
        <w:pStyle w:val="ListBullet"/>
        <w:spacing w:after="40"/>
      </w:pPr>
      <w:r>
        <w:t>自研向量数据库、大模型推理框架或完整低代码编排器。</w:t>
      </w:r>
    </w:p>
    <w:p>
      <w:pPr>
        <w:pStyle w:val="ListBullet"/>
        <w:spacing w:after="40"/>
      </w:pPr>
      <w:r>
        <w:t>Kafka作为任务可靠性底座；Temporal已经承担任务可靠执行。</w:t>
      </w:r>
    </w:p>
    <w:p>
      <w:pPr>
        <w:pStyle w:val="ListBullet"/>
        <w:spacing w:after="40"/>
      </w:pPr>
      <w:r>
        <w:t>同时接入全部第三方IM和全部电力系统。</w:t>
      </w:r>
    </w:p>
    <w:p>
      <w:r>
        <w:br w:type="page"/>
      </w:r>
    </w:p>
    <w:p>
      <w:pPr>
        <w:pStyle w:val="Heading1"/>
      </w:pPr>
      <w:r>
        <w:t>4. 代码仓库与模块边界</w:t>
      </w:r>
    </w:p>
    <w:p>
      <w:pPr>
        <w:pStyle w:val="Heading2"/>
      </w:pPr>
      <w:r>
        <w:t>4.1 推荐Monorepo结构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5F7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DejaVu Sans Mono" w:hAnsi="DejaVu Sans Mono" w:eastAsia="Noto Sans CJK SC"/>
                <w:color w:val="1F2937"/>
                <w:sz w:val="17"/>
              </w:rPr>
              <w:t>/gridcrew</w:t>
              <w:br/>
            </w:r>
            <w:r>
              <w:rPr>
                <w:rFonts w:ascii="DejaVu Sans Mono" w:hAnsi="DejaVu Sans Mono" w:eastAsia="Noto Sans CJK SC"/>
                <w:color w:val="1F2937"/>
                <w:sz w:val="17"/>
              </w:rPr>
              <w:t>/apps</w:t>
              <w:br/>
            </w:r>
            <w:r>
              <w:rPr>
                <w:rFonts w:ascii="DejaVu Sans Mono" w:hAnsi="DejaVu Sans Mono" w:eastAsia="Noto Sans CJK SC"/>
                <w:color w:val="1F2937"/>
                <w:sz w:val="17"/>
              </w:rPr>
              <w:t xml:space="preserve">  /web                         React前端（@gridcrew/web）</w:t>
              <w:br/>
            </w:r>
            <w:r>
              <w:rPr>
                <w:rFonts w:ascii="DejaVu Sans Mono" w:hAnsi="DejaVu Sans Mono" w:eastAsia="Noto Sans CJK SC"/>
                <w:color w:val="1F2937"/>
                <w:sz w:val="17"/>
              </w:rPr>
              <w:t xml:space="preserve">  /api                         FastAPI入口与BFF（gridcrew.api）</w:t>
              <w:br/>
            </w:r>
            <w:r>
              <w:rPr>
                <w:rFonts w:ascii="DejaVu Sans Mono" w:hAnsi="DejaVu Sans Mono" w:eastAsia="Noto Sans CJK SC"/>
                <w:color w:val="1F2937"/>
                <w:sz w:val="17"/>
              </w:rPr>
              <w:t xml:space="preserve">  /workers/agent               Agent Activities与运行时</w:t>
              <w:br/>
            </w:r>
            <w:r>
              <w:rPr>
                <w:rFonts w:ascii="DejaVu Sans Mono" w:hAnsi="DejaVu Sans Mono" w:eastAsia="Noto Sans CJK SC"/>
                <w:color w:val="1F2937"/>
                <w:sz w:val="17"/>
              </w:rPr>
              <w:t xml:space="preserve">  /workers/tool                工具与连接器Activities</w:t>
              <w:br/>
            </w:r>
            <w:r>
              <w:rPr>
                <w:rFonts w:ascii="DejaVu Sans Mono" w:hAnsi="DejaVu Sans Mono" w:eastAsia="Noto Sans CJK SC"/>
                <w:color w:val="1F2937"/>
                <w:sz w:val="17"/>
              </w:rPr>
              <w:t xml:space="preserve">  /workers/artifact            文件与报告处理</w:t>
              <w:br/>
            </w:r>
            <w:r>
              <w:rPr>
                <w:rFonts w:ascii="DejaVu Sans Mono" w:hAnsi="DejaVu Sans Mono" w:eastAsia="Noto Sans CJK SC"/>
                <w:color w:val="1F2937"/>
                <w:sz w:val="17"/>
              </w:rPr>
              <w:t>/packages</w:t>
              <w:br/>
            </w:r>
            <w:r>
              <w:rPr>
                <w:rFonts w:ascii="DejaVu Sans Mono" w:hAnsi="DejaVu Sans Mono" w:eastAsia="Noto Sans CJK SC"/>
                <w:color w:val="1F2937"/>
                <w:sz w:val="17"/>
              </w:rPr>
              <w:t xml:space="preserve">  /domain                      领域对象、枚举、策略</w:t>
              <w:br/>
            </w:r>
            <w:r>
              <w:rPr>
                <w:rFonts w:ascii="DejaVu Sans Mono" w:hAnsi="DejaVu Sans Mono" w:eastAsia="Noto Sans CJK SC"/>
                <w:color w:val="1F2937"/>
                <w:sz w:val="17"/>
              </w:rPr>
              <w:t xml:space="preserve">  /contracts                   OpenAPI/JSON Schema/事件契约</w:t>
              <w:br/>
            </w:r>
            <w:r>
              <w:rPr>
                <w:rFonts w:ascii="DejaVu Sans Mono" w:hAnsi="DejaVu Sans Mono" w:eastAsia="Noto Sans CJK SC"/>
                <w:color w:val="1F2937"/>
                <w:sz w:val="17"/>
              </w:rPr>
              <w:t xml:space="preserve">  /temporal_workflows          确定性Workflow定义</w:t>
              <w:br/>
            </w:r>
            <w:r>
              <w:rPr>
                <w:rFonts w:ascii="DejaVu Sans Mono" w:hAnsi="DejaVu Sans Mono" w:eastAsia="Noto Sans CJK SC"/>
                <w:color w:val="1F2937"/>
                <w:sz w:val="17"/>
              </w:rPr>
              <w:t xml:space="preserve">  /agent_runtime               LangGraph、路由、上下文、模型策略</w:t>
              <w:br/>
            </w:r>
            <w:r>
              <w:rPr>
                <w:rFonts w:ascii="DejaVu Sans Mono" w:hAnsi="DejaVu Sans Mono" w:eastAsia="Noto Sans CJK SC"/>
                <w:color w:val="1F2937"/>
                <w:sz w:val="17"/>
              </w:rPr>
              <w:t xml:space="preserve">  /skill_sdk                   Skill定义、验证、发布SDK</w:t>
              <w:br/>
            </w:r>
            <w:r>
              <w:rPr>
                <w:rFonts w:ascii="DejaVu Sans Mono" w:hAnsi="DejaVu Sans Mono" w:eastAsia="Noto Sans CJK SC"/>
                <w:color w:val="1F2937"/>
                <w:sz w:val="17"/>
              </w:rPr>
              <w:t xml:space="preserve">  /tool_gateway                权限、幂等、审计与Connector接口</w:t>
              <w:br/>
            </w:r>
            <w:r>
              <w:rPr>
                <w:rFonts w:ascii="DejaVu Sans Mono" w:hAnsi="DejaVu Sans Mono" w:eastAsia="Noto Sans CJK SC"/>
                <w:color w:val="1F2937"/>
                <w:sz w:val="17"/>
              </w:rPr>
              <w:t xml:space="preserve">  /model_gateway               多模型适配</w:t>
              <w:br/>
            </w:r>
            <w:r>
              <w:rPr>
                <w:rFonts w:ascii="DejaVu Sans Mono" w:hAnsi="DejaVu Sans Mono" w:eastAsia="Noto Sans CJK SC"/>
                <w:color w:val="1F2937"/>
                <w:sz w:val="17"/>
              </w:rPr>
              <w:t xml:space="preserve">  /observability               Trace、日志、指标封装</w:t>
              <w:br/>
            </w:r>
            <w:r>
              <w:rPr>
                <w:rFonts w:ascii="DejaVu Sans Mono" w:hAnsi="DejaVu Sans Mono" w:eastAsia="Noto Sans CJK SC"/>
                <w:color w:val="1F2937"/>
                <w:sz w:val="17"/>
              </w:rPr>
              <w:t xml:space="preserve">  /testing                     Testcontainers、Fixture、E2E工具</w:t>
              <w:br/>
            </w:r>
            <w:r>
              <w:rPr>
                <w:rFonts w:ascii="DejaVu Sans Mono" w:hAnsi="DejaVu Sans Mono" w:eastAsia="Noto Sans CJK SC"/>
                <w:color w:val="1F2937"/>
                <w:sz w:val="17"/>
              </w:rPr>
              <w:t>/connectors</w:t>
              <w:br/>
            </w:r>
            <w:r>
              <w:rPr>
                <w:rFonts w:ascii="DejaVu Sans Mono" w:hAnsi="DejaVu Sans Mono" w:eastAsia="Noto Sans CJK SC"/>
                <w:color w:val="1F2937"/>
                <w:sz w:val="17"/>
              </w:rPr>
              <w:t xml:space="preserve">  /mcp</w:t>
              <w:br/>
            </w:r>
            <w:r>
              <w:rPr>
                <w:rFonts w:ascii="DejaVu Sans Mono" w:hAnsi="DejaVu Sans Mono" w:eastAsia="Noto Sans CJK SC"/>
                <w:color w:val="1F2937"/>
                <w:sz w:val="17"/>
              </w:rPr>
              <w:t xml:space="preserve">  /rest</w:t>
              <w:br/>
            </w:r>
            <w:r>
              <w:rPr>
                <w:rFonts w:ascii="DejaVu Sans Mono" w:hAnsi="DejaVu Sans Mono" w:eastAsia="Noto Sans CJK SC"/>
                <w:color w:val="1F2937"/>
                <w:sz w:val="17"/>
              </w:rPr>
              <w:t xml:space="preserve">  /database</w:t>
              <w:br/>
            </w:r>
            <w:r>
              <w:rPr>
                <w:rFonts w:ascii="DejaVu Sans Mono" w:hAnsi="DejaVu Sans Mono" w:eastAsia="Noto Sans CJK SC"/>
                <w:color w:val="1F2937"/>
                <w:sz w:val="17"/>
              </w:rPr>
              <w:t xml:space="preserve">  /dify</w:t>
              <w:br/>
            </w:r>
            <w:r>
              <w:rPr>
                <w:rFonts w:ascii="DejaVu Sans Mono" w:hAnsi="DejaVu Sans Mono" w:eastAsia="Noto Sans CJK SC"/>
                <w:color w:val="1F2937"/>
                <w:sz w:val="17"/>
              </w:rPr>
              <w:t xml:space="preserve">  /fastgpt</w:t>
              <w:br/>
            </w:r>
            <w:r>
              <w:rPr>
                <w:rFonts w:ascii="DejaVu Sans Mono" w:hAnsi="DejaVu Sans Mono" w:eastAsia="Noto Sans CJK SC"/>
                <w:color w:val="1F2937"/>
                <w:sz w:val="17"/>
              </w:rPr>
              <w:t xml:space="preserve">  /optimization_platform</w:t>
              <w:br/>
            </w:r>
            <w:r>
              <w:rPr>
                <w:rFonts w:ascii="DejaVu Sans Mono" w:hAnsi="DejaVu Sans Mono" w:eastAsia="Noto Sans CJK SC"/>
                <w:color w:val="1F2937"/>
                <w:sz w:val="17"/>
              </w:rPr>
              <w:t>/infra</w:t>
              <w:br/>
            </w:r>
            <w:r>
              <w:rPr>
                <w:rFonts w:ascii="DejaVu Sans Mono" w:hAnsi="DejaVu Sans Mono" w:eastAsia="Noto Sans CJK SC"/>
                <w:color w:val="1F2937"/>
                <w:sz w:val="17"/>
              </w:rPr>
              <w:t xml:space="preserve">  /compose</w:t>
              <w:br/>
            </w:r>
            <w:r>
              <w:rPr>
                <w:rFonts w:ascii="DejaVu Sans Mono" w:hAnsi="DejaVu Sans Mono" w:eastAsia="Noto Sans CJK SC"/>
                <w:color w:val="1F2937"/>
                <w:sz w:val="17"/>
              </w:rPr>
              <w:t xml:space="preserve">  /k8s</w:t>
              <w:br/>
            </w:r>
            <w:r>
              <w:rPr>
                <w:rFonts w:ascii="DejaVu Sans Mono" w:hAnsi="DejaVu Sans Mono" w:eastAsia="Noto Sans CJK SC"/>
                <w:color w:val="1F2937"/>
                <w:sz w:val="17"/>
              </w:rPr>
              <w:t xml:space="preserve">  /temporal</w:t>
              <w:br/>
            </w:r>
            <w:r>
              <w:rPr>
                <w:rFonts w:ascii="DejaVu Sans Mono" w:hAnsi="DejaVu Sans Mono" w:eastAsia="Noto Sans CJK SC"/>
                <w:color w:val="1F2937"/>
                <w:sz w:val="17"/>
              </w:rPr>
              <w:t>/docs</w:t>
              <w:br/>
            </w:r>
            <w:r>
              <w:rPr>
                <w:rFonts w:ascii="DejaVu Sans Mono" w:hAnsi="DejaVu Sans Mono" w:eastAsia="Noto Sans CJK SC"/>
                <w:color w:val="1F2937"/>
                <w:sz w:val="17"/>
              </w:rPr>
              <w:t xml:space="preserve">  /adr</w:t>
              <w:br/>
            </w:r>
            <w:r>
              <w:rPr>
                <w:rFonts w:ascii="DejaVu Sans Mono" w:hAnsi="DejaVu Sans Mono" w:eastAsia="Noto Sans CJK SC"/>
                <w:color w:val="1F2937"/>
                <w:sz w:val="17"/>
              </w:rPr>
              <w:t xml:space="preserve">  /api</w:t>
              <w:br/>
            </w:r>
            <w:r>
              <w:rPr>
                <w:rFonts w:ascii="DejaVu Sans Mono" w:hAnsi="DejaVu Sans Mono" w:eastAsia="Noto Sans CJK SC"/>
                <w:color w:val="1F2937"/>
                <w:sz w:val="17"/>
              </w:rPr>
              <w:t xml:space="preserve">  /runbooks</w:t>
              <w:br/>
            </w:r>
          </w:p>
        </w:tc>
      </w:tr>
    </w:tbl>
    <w:p>
      <w:pPr>
        <w:spacing w:after="0"/>
      </w:pPr>
    </w:p>
    <w:p>
      <w:pPr>
        <w:pStyle w:val="Heading2"/>
      </w:pPr>
      <w:r>
        <w:t>4.2 模块依赖规则</w:t>
      </w:r>
    </w:p>
    <w:p>
      <w:pPr>
        <w:pStyle w:val="ListBullet"/>
        <w:spacing w:after="40"/>
      </w:pPr>
      <w:r>
        <w:t>domain和contracts不得依赖具体框架、数据库、Temporal或模型SDK。</w:t>
      </w:r>
    </w:p>
    <w:p>
      <w:pPr>
        <w:pStyle w:val="ListBullet"/>
        <w:spacing w:after="40"/>
      </w:pPr>
      <w:r>
        <w:t>temporal_workflows只能依赖确定性代码和契约，不直接调用网络、数据库、LLM或文件。</w:t>
      </w:r>
    </w:p>
    <w:p>
      <w:pPr>
        <w:pStyle w:val="ListBullet"/>
        <w:spacing w:after="40"/>
      </w:pPr>
      <w:r>
        <w:t>Agent运行时只通过Model Gateway和Tool Gateway接口访问外部能力。</w:t>
      </w:r>
    </w:p>
    <w:p>
      <w:pPr>
        <w:pStyle w:val="ListBullet"/>
        <w:spacing w:after="40"/>
      </w:pPr>
      <w:r>
        <w:t>场景模块只注册岗位模板、Skill、Workflow绑定、Schema和结果组件，不修改平台内核。</w:t>
      </w:r>
    </w:p>
    <w:p>
      <w:pPr>
        <w:pStyle w:val="ListBullet"/>
        <w:spacing w:after="40"/>
      </w:pPr>
      <w:r>
        <w:t>Connector不得绕过租户、权限、幂等、审计和证据层。</w:t>
      </w:r>
    </w:p>
    <w:p>
      <w:pPr>
        <w:pStyle w:val="Heading1"/>
      </w:pPr>
      <w:r>
        <w:t>5. 团队配置与项目治理</w:t>
      </w:r>
    </w:p>
    <w:p>
      <w:pPr>
        <w:pStyle w:val="Heading2"/>
      </w:pPr>
      <w:r>
        <w:t>5.1 标准团队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2376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1440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建议人数</w:t>
            </w:r>
          </w:p>
        </w:tc>
        <w:tc>
          <w:tcPr>
            <w:tcW w:type="dxa" w:w="6192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职责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产品负责人/行业架构</w:t>
            </w:r>
          </w:p>
        </w:tc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1</w:t>
            </w:r>
          </w:p>
        </w:tc>
        <w:tc>
          <w:tcPr>
            <w:tcW w:type="dxa" w:w="61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产品边界、场景、客户、验收和优先级。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技术负责人/架构师</w:t>
            </w:r>
          </w:p>
        </w:tc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1</w:t>
            </w:r>
          </w:p>
        </w:tc>
        <w:tc>
          <w:tcPr>
            <w:tcW w:type="dxa" w:w="61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终局架构、ADR、代码边界和关键评审。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后端/Temporal工程师</w:t>
            </w:r>
          </w:p>
        </w:tc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2-3</w:t>
            </w:r>
          </w:p>
        </w:tc>
        <w:tc>
          <w:tcPr>
            <w:tcW w:type="dxa" w:w="61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领域服务、Workflow、Activity、权限和数据。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Agent/AI工程师</w:t>
            </w:r>
          </w:p>
        </w:tc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2</w:t>
            </w:r>
          </w:p>
        </w:tc>
        <w:tc>
          <w:tcPr>
            <w:tcW w:type="dxa" w:w="61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LangGraph、模型网关、RAG、评测和安全。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前端工程师</w:t>
            </w:r>
          </w:p>
        </w:tc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2</w:t>
            </w:r>
          </w:p>
        </w:tc>
        <w:tc>
          <w:tcPr>
            <w:tcW w:type="dxa" w:w="61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协作端、管理端、设计系统和实时交互。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连接器/数据工程师</w:t>
            </w:r>
          </w:p>
        </w:tc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1-2</w:t>
            </w:r>
          </w:p>
        </w:tc>
        <w:tc>
          <w:tcPr>
            <w:tcW w:type="dxa" w:w="61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MCP、业务系统、数据和专业能力接入。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测试/质量工程师</w:t>
            </w:r>
          </w:p>
        </w:tc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1-2</w:t>
            </w:r>
          </w:p>
        </w:tc>
        <w:tc>
          <w:tcPr>
            <w:tcW w:type="dxa" w:w="61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自动化、E2E、恢复、安全和性能。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DevOps/安全</w:t>
            </w:r>
          </w:p>
        </w:tc>
        <w:tc>
          <w:tcPr>
            <w:tcW w:type="dxa" w:w="14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0.5-1</w:t>
            </w:r>
          </w:p>
        </w:tc>
        <w:tc>
          <w:tcPr>
            <w:tcW w:type="dxa" w:w="61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环境、K8s、可观测性、备份和安全。</w:t>
            </w:r>
          </w:p>
        </w:tc>
      </w:tr>
    </w:tbl>
    <w:p>
      <w:pPr>
        <w:spacing w:after="0"/>
      </w:pPr>
    </w:p>
    <w:p>
      <w:pPr>
        <w:pStyle w:val="Heading2"/>
      </w:pPr>
      <w:r>
        <w:t>5.2 治理机制</w:t>
      </w:r>
    </w:p>
    <w:p>
      <w:pPr>
        <w:pStyle w:val="ListBullet"/>
        <w:spacing w:after="40"/>
      </w:pPr>
      <w:r>
        <w:t>每周产品评审：原型、PRD、需求变更和场景验收。</w:t>
      </w:r>
    </w:p>
    <w:p>
      <w:pPr>
        <w:pStyle w:val="ListBullet"/>
        <w:spacing w:after="40"/>
      </w:pPr>
      <w:r>
        <w:t>每周架构评审：ADR、领域对象、契约、依赖和迁移风险。</w:t>
      </w:r>
    </w:p>
    <w:p>
      <w:pPr>
        <w:pStyle w:val="ListBullet"/>
        <w:spacing w:after="40"/>
      </w:pPr>
      <w:r>
        <w:t>每两周迭代演示：必须展示真实后端和Temporal执行轨迹。</w:t>
      </w:r>
    </w:p>
    <w:p>
      <w:pPr>
        <w:pStyle w:val="ListBullet"/>
        <w:spacing w:after="40"/>
      </w:pPr>
      <w:r>
        <w:t>关键代码双人评审：Workflow确定性、Activity幂等、权限、审计和版本。</w:t>
      </w:r>
    </w:p>
    <w:p>
      <w:pPr>
        <w:pStyle w:val="ListBullet"/>
        <w:spacing w:after="40"/>
      </w:pPr>
      <w:r>
        <w:t>禁止以“先实现后补测试/治理”为理由绕过生产门禁。</w:t>
      </w:r>
    </w:p>
    <w:p>
      <w:pPr>
        <w:pStyle w:val="Heading1"/>
      </w:pPr>
      <w:r>
        <w:t>6. 产品版本与研发里程碑映射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338860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adm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3886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6.1 总体周期口径</w:t>
      </w:r>
    </w:p>
    <w:p>
      <w:r>
        <w:t>标准团队下，R1参考约30—32周，R2在R1基础上追加约20—24周，R3再追加约20—24周，终局产品参考约70—80周。时间是规划基线，不是削减架构门禁的理由；客户系统接口、私有化安全和联合试点周期可能显著延长。</w:t>
      </w:r>
    </w:p>
    <w:p>
      <w:pPr>
        <w:pStyle w:val="Heading2"/>
      </w:pPr>
      <w:r>
        <w:t>6.2 Release与Milestone映射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  <w:cantSplit/>
        </w:trPr>
        <w:tc>
          <w:tcPr>
            <w:tcW w:type="dxa" w:w="2232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产品版本</w:t>
            </w:r>
          </w:p>
        </w:tc>
        <w:tc>
          <w:tcPr>
            <w:tcW w:type="dxa" w:w="1800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研发里程碑</w:t>
            </w:r>
          </w:p>
        </w:tc>
        <w:tc>
          <w:tcPr>
            <w:tcW w:type="dxa" w:w="3960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产品目标</w:t>
            </w:r>
          </w:p>
        </w:tc>
        <w:tc>
          <w:tcPr>
            <w:tcW w:type="dxa" w:w="2880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完成门禁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5"/>
              </w:rPr>
              <w:t>R1 平台基础与联合试点版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5"/>
              </w:rPr>
              <w:t>M0—M7</w:t>
            </w:r>
          </w:p>
        </w:tc>
        <w:tc>
          <w:tcPr>
            <w:tcW w:type="dxa" w:w="39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5"/>
              </w:rPr>
              <w:t>跑通真实数字员工完整任务闭环并完成联合试点。</w:t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5"/>
              </w:rPr>
              <w:t>连续运行≥30天、正式任务≥100、严重越权或错误执行为0。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5"/>
              </w:rPr>
              <w:t>R2 多场景与组织级应用版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5"/>
              </w:rPr>
              <w:t>M8—M11</w:t>
            </w:r>
          </w:p>
        </w:tc>
        <w:tc>
          <w:tcPr>
            <w:tcW w:type="dxa" w:w="39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5"/>
              </w:rPr>
              <w:t>跨岗位、跨部门、跨渠道并完成第二客户复制。</w:t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5"/>
              </w:rPr>
              <w:t>至少3类岗位、一种第三方IM、多租户与SSO生产验证、公共代码复用≥80%。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5"/>
              </w:rPr>
              <w:t>R3 平台生态与规模运营版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5"/>
              </w:rPr>
              <w:t>M12—M15</w:t>
            </w:r>
          </w:p>
        </w:tc>
        <w:tc>
          <w:tcPr>
            <w:tcW w:type="dxa" w:w="39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5"/>
              </w:rPr>
              <w:t>开放能力生态、规模租户和商业运营。</w:t>
            </w:r>
          </w:p>
        </w:tc>
        <w:tc>
          <w:tcPr>
            <w:tcW w:type="dxa" w:w="288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5"/>
              </w:rPr>
              <w:t>SDK/市场/计量/生态审核及高可用达到商业运营门槛。</w:t>
            </w:r>
          </w:p>
        </w:tc>
      </w:tr>
    </w:tbl>
    <w:p>
      <w:pPr>
        <w:spacing w:after="0"/>
      </w:pPr>
    </w:p>
    <w:p>
      <w:pPr>
        <w:pStyle w:val="Heading2"/>
      </w:pPr>
      <w:r>
        <w:t>6.3 迁移零债务原则</w:t>
      </w:r>
    </w:p>
    <w:p>
      <w:pPr>
        <w:pStyle w:val="ListBullet"/>
        <w:spacing w:after="40"/>
      </w:pPr>
      <w:r>
        <w:t>R1、R2、R3共享同一Temporal Workflow身份、核心领域对象、统一事件和版本语义。</w:t>
      </w:r>
    </w:p>
    <w:p>
      <w:pPr>
        <w:pStyle w:val="ListBullet"/>
        <w:spacing w:after="40"/>
      </w:pPr>
      <w:r>
        <w:t>后续版本只能增加岗位、Skill、Connector、渠道、Worker或物理服务，不建立第二套并行内核。</w:t>
      </w:r>
    </w:p>
    <w:p>
      <w:pPr>
        <w:pStyle w:val="ListBullet"/>
        <w:spacing w:after="40"/>
      </w:pPr>
      <w:r>
        <w:t>每个Milestone结束必须执行架构债务检查：状态权威、网关绕过、租户字段、资产版本化和专业场景耦合。</w:t>
      </w:r>
    </w:p>
    <w:p>
      <w:pPr>
        <w:pStyle w:val="ListBullet"/>
        <w:spacing w:after="40"/>
      </w:pPr>
      <w:r>
        <w:t>任何需要推倒R1核心表、任务历史或员工发布模型的设计，必须视为架构门禁失败而非正常迭代。</w:t>
      </w:r>
    </w:p>
    <w:p>
      <w:pPr>
        <w:pStyle w:val="Heading1"/>
      </w:pPr>
      <w:r>
        <w:t>7. M0—M15分阶段详细建设任务</w:t>
      </w:r>
    </w:p>
    <w:p>
      <w:pPr>
        <w:pStyle w:val="Heading2"/>
      </w:pPr>
      <w:r>
        <w:t>7.1 Release 1：平台基础与联合试点版（M0—M7）</w:t>
      </w:r>
    </w:p>
    <w:p>
      <w:pPr>
        <w:pStyle w:val="Heading3"/>
      </w:pPr>
      <w:r>
        <w:t>M0：终局架构冻结（2周）</w:t>
      </w:r>
    </w:p>
    <w:p>
      <w:pPr>
        <w:pStyle w:val="ListBullet"/>
        <w:spacing w:after="40"/>
      </w:pPr>
      <w:r>
        <w:t>完成GridCrew PRD V2.2、原型V2.2、开发计划V2.2和关键ADR一致性评审。</w:t>
      </w:r>
    </w:p>
    <w:p>
      <w:pPr>
        <w:pStyle w:val="ListBullet"/>
        <w:spacing w:after="40"/>
      </w:pPr>
      <w:r>
        <w:t>定义核心领域模型、状态、版本、租户字段、错误码和需求ID。</w:t>
      </w:r>
    </w:p>
    <w:p>
      <w:pPr>
        <w:pStyle w:val="ListBullet"/>
        <w:spacing w:after="40"/>
      </w:pPr>
      <w:r>
        <w:t>冻结统一事件、Task、Skill、Tool、Connector、Artifact、Evidence和Approval Schema。</w:t>
      </w:r>
    </w:p>
    <w:p>
      <w:pPr>
        <w:pStyle w:val="ListBullet"/>
        <w:spacing w:after="40"/>
      </w:pPr>
      <w:r>
        <w:t>完成Temporal Workflow/Activity边界、Task Queue、Workflow ID、Signal/Update和幂等规范。</w:t>
      </w:r>
    </w:p>
    <w:p>
      <w:pPr>
        <w:pStyle w:val="ListBullet"/>
        <w:spacing w:after="40"/>
      </w:pPr>
      <w:r>
        <w:t>建立Monorepo、代码规范、分支、CI骨架和Docker Compose。</w:t>
      </w:r>
    </w:p>
    <w:p>
      <w:pPr>
        <w:pStyle w:val="ListBullet"/>
        <w:spacing w:after="40"/>
      </w:pPr>
      <w:r>
        <w:t>输出接口清单、技术Spike、场景测试数据和R1需求追踪矩阵。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3E0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pStyle w:val="Callout"/>
              <w:spacing w:after="0"/>
            </w:pPr>
            <w:r>
              <w:rPr>
                <w:rFonts w:ascii="Noto Sans CJK SC" w:hAnsi="Noto Sans CJK SC" w:eastAsia="Noto Sans CJK SC"/>
                <w:b w:val="0"/>
                <w:color w:val="C56A00"/>
              </w:rPr>
              <w:t>M0未通过时不得进入功能开发。核心契约未冻结就编码，会把迁移风险推迟到客户已有任务和审计数据产生之后。</w:t>
            </w:r>
          </w:p>
        </w:tc>
      </w:tr>
    </w:tbl>
    <w:p>
      <w:pPr>
        <w:spacing w:after="0"/>
      </w:pPr>
    </w:p>
    <w:p>
      <w:pPr>
        <w:pStyle w:val="Heading3"/>
      </w:pPr>
      <w:r>
        <w:t>M1：平台基础底座（4周）</w:t>
      </w:r>
    </w:p>
    <w:p>
      <w:pPr>
        <w:pStyle w:val="ListBullet"/>
        <w:spacing w:after="40"/>
      </w:pPr>
      <w:r>
        <w:t>租户、组织、用户、服务身份、OIDC和RBAC+ABAC基础。</w:t>
      </w:r>
    </w:p>
    <w:p>
      <w:pPr>
        <w:pStyle w:val="ListBullet"/>
        <w:spacing w:after="40"/>
      </w:pPr>
      <w:r>
        <w:t>PostgreSQL迁移、审计字段、Outbox/执行投影机制。</w:t>
      </w:r>
    </w:p>
    <w:p>
      <w:pPr>
        <w:pStyle w:val="ListBullet"/>
        <w:spacing w:after="40"/>
      </w:pPr>
      <w:r>
        <w:t>Artifact Service、MinIO、证据元数据、文件安全和checksum。</w:t>
      </w:r>
    </w:p>
    <w:p>
      <w:pPr>
        <w:pStyle w:val="ListBullet"/>
        <w:spacing w:after="40"/>
      </w:pPr>
      <w:r>
        <w:t>OpenTelemetry全链路、统一Trace ID和基础仪表盘。</w:t>
      </w:r>
    </w:p>
    <w:p>
      <w:pPr>
        <w:pStyle w:val="ListBullet"/>
        <w:spacing w:after="40"/>
      </w:pPr>
      <w:r>
        <w:t>密钥、配置和环境隔离；基础备份恢复脚本。</w:t>
      </w:r>
    </w:p>
    <w:p>
      <w:pPr>
        <w:pStyle w:val="Heading3"/>
      </w:pPr>
      <w:r>
        <w:t>M2：Temporal可靠执行内核（3周）</w:t>
      </w:r>
    </w:p>
    <w:p>
      <w:pPr>
        <w:pStyle w:val="ListBullet"/>
        <w:spacing w:after="40"/>
      </w:pPr>
      <w:r>
        <w:t>Temporal开发环境、Namespace、Task Queue、Worker健康和部署模板。</w:t>
      </w:r>
    </w:p>
    <w:p>
      <w:pPr>
        <w:pStyle w:val="ListBullet"/>
        <w:spacing w:after="40"/>
      </w:pPr>
      <w:r>
        <w:t>DigitalEmployeeTaskWorkflow、HumanApprovalWorkflow、ScheduledEmployeeWorkflow基础实现。</w:t>
      </w:r>
    </w:p>
    <w:p>
      <w:pPr>
        <w:pStyle w:val="ListBullet"/>
        <w:spacing w:after="40"/>
      </w:pPr>
      <w:r>
        <w:t>Signal/Update、取消、超时、重试、补偿、查询和投影同步。</w:t>
      </w:r>
    </w:p>
    <w:p>
      <w:pPr>
        <w:pStyle w:val="ListBullet"/>
        <w:spacing w:after="40"/>
      </w:pPr>
      <w:r>
        <w:t>Workflow确定性、Activity幂等、重启恢复和时间跳跃测试。</w:t>
      </w:r>
    </w:p>
    <w:p>
      <w:pPr>
        <w:pStyle w:val="Heading3"/>
      </w:pPr>
      <w:r>
        <w:t>M3：数字员工装配与Agent运行时（5周）</w:t>
      </w:r>
    </w:p>
    <w:p>
      <w:pPr>
        <w:pStyle w:val="ListBullet"/>
        <w:spacing w:after="40"/>
      </w:pPr>
      <w:r>
        <w:t>数字员工、岗位模板、发布版本、自治策略和依赖锁定。</w:t>
      </w:r>
    </w:p>
    <w:p>
      <w:pPr>
        <w:pStyle w:val="ListBullet"/>
        <w:spacing w:after="40"/>
      </w:pPr>
      <w:r>
        <w:t>八步创建向导后端、测试沙箱和发布门禁。</w:t>
      </w:r>
    </w:p>
    <w:p>
      <w:pPr>
        <w:pStyle w:val="ListBullet"/>
        <w:spacing w:after="40"/>
      </w:pPr>
      <w:r>
        <w:t>Skill/Workflow/Tool/Connector Registry。</w:t>
      </w:r>
    </w:p>
    <w:p>
      <w:pPr>
        <w:pStyle w:val="ListBullet"/>
        <w:spacing w:after="40"/>
      </w:pPr>
      <w:r>
        <w:t>Model Gateway：模型适配、路由、结构化输出、主备、成本与隐私策略。</w:t>
      </w:r>
    </w:p>
    <w:p>
      <w:pPr>
        <w:pStyle w:val="ListBullet"/>
        <w:spacing w:after="40"/>
      </w:pPr>
      <w:r>
        <w:t>LangGraph/Agent Runtime：意图、岗位路由、计划、补参、工具选择和证据驱动解释。</w:t>
      </w:r>
    </w:p>
    <w:p>
      <w:pPr>
        <w:pStyle w:val="ListBullet"/>
        <w:spacing w:after="40"/>
      </w:pPr>
      <w:r>
        <w:t>岗位级Golden Dataset和员工版本比较。</w:t>
      </w:r>
    </w:p>
    <w:p>
      <w:pPr>
        <w:pStyle w:val="Heading3"/>
      </w:pPr>
      <w:r>
        <w:t>M4：协作与任务闭环（5周）</w:t>
      </w:r>
    </w:p>
    <w:p>
      <w:pPr>
        <w:pStyle w:val="ListBullet"/>
        <w:spacing w:after="40"/>
      </w:pPr>
      <w:r>
        <w:t>工作空间、频道、成员、消息、@、附件和WebSocket。</w:t>
      </w:r>
    </w:p>
    <w:p>
      <w:pPr>
        <w:pStyle w:val="ListBullet"/>
        <w:spacing w:after="40"/>
      </w:pPr>
      <w:r>
        <w:t>统一Channel Adapter；自有Web也必须通过统一内部事件。</w:t>
      </w:r>
    </w:p>
    <w:p>
      <w:pPr>
        <w:pStyle w:val="ListBullet"/>
        <w:spacing w:after="40"/>
      </w:pPr>
      <w:r>
        <w:t>任务中心、六页签任务详情、执行时间线和状态投影。</w:t>
      </w:r>
    </w:p>
    <w:p>
      <w:pPr>
        <w:pStyle w:val="ListBullet"/>
        <w:spacing w:after="40"/>
      </w:pPr>
      <w:r>
        <w:t>补参、审批、退回修改、人工接管、暂停恢复和取消。</w:t>
      </w:r>
    </w:p>
    <w:p>
      <w:pPr>
        <w:pStyle w:val="ListBullet"/>
        <w:spacing w:after="40"/>
      </w:pPr>
      <w:r>
        <w:t>成果中心、专业结果组件、版本和证据链。</w:t>
      </w:r>
    </w:p>
    <w:p>
      <w:pPr>
        <w:pStyle w:val="ListBullet"/>
        <w:spacing w:after="40"/>
      </w:pPr>
      <w:r>
        <w:t>五条原型主流程连接真实后端。</w:t>
      </w:r>
    </w:p>
    <w:p>
      <w:pPr>
        <w:pStyle w:val="Heading3"/>
      </w:pPr>
      <w:r>
        <w:t>M5：首批场景与连接器（4周）</w:t>
      </w:r>
    </w:p>
    <w:p>
      <w:pPr>
        <w:pStyle w:val="ListBullet"/>
        <w:spacing w:after="40"/>
      </w:pPr>
      <w:r>
        <w:t>一个知识/规则型场景，例如两票审核或安全风险。</w:t>
      </w:r>
    </w:p>
    <w:p>
      <w:pPr>
        <w:pStyle w:val="ListBullet"/>
        <w:spacing w:after="40"/>
      </w:pPr>
      <w:r>
        <w:t>一个专业系统型场景，例如设备诊断、经营分析或交易分析；运筹优化仅为可选能力。</w:t>
      </w:r>
    </w:p>
    <w:p>
      <w:pPr>
        <w:pStyle w:val="ListBullet"/>
        <w:spacing w:after="40"/>
      </w:pPr>
      <w:r>
        <w:t>至少一个MCP接入和一个REST/数据库专业连接器。</w:t>
      </w:r>
    </w:p>
    <w:p>
      <w:pPr>
        <w:pStyle w:val="ListBullet"/>
        <w:spacing w:after="40"/>
      </w:pPr>
      <w:r>
        <w:t>基础MultiAgentCollaborationWorkflow与主管/专业员工协作。</w:t>
      </w:r>
    </w:p>
    <w:p>
      <w:pPr>
        <w:pStyle w:val="ListBullet"/>
        <w:spacing w:after="40"/>
      </w:pPr>
      <w:r>
        <w:t>真实数据、回归集、业务指标和结果组件。</w:t>
      </w:r>
    </w:p>
    <w:p>
      <w:pPr>
        <w:pStyle w:val="ListBullet"/>
        <w:spacing w:after="40"/>
      </w:pPr>
      <w:r>
        <w:t>验证第二场景不修改平台内核。</w:t>
      </w:r>
    </w:p>
    <w:p>
      <w:pPr>
        <w:pStyle w:val="Heading3"/>
      </w:pPr>
      <w:r>
        <w:t>M6：生产治理与硬化（5周）</w:t>
      </w:r>
    </w:p>
    <w:p>
      <w:pPr>
        <w:pStyle w:val="ListBullet"/>
        <w:spacing w:after="40"/>
      </w:pPr>
      <w:r>
        <w:t>权限穿透、租户隔离、越权测试、敏感数据路由、密钥轮换和审计导出。</w:t>
      </w:r>
    </w:p>
    <w:p>
      <w:pPr>
        <w:pStyle w:val="ListBullet"/>
        <w:spacing w:after="40"/>
      </w:pPr>
      <w:r>
        <w:t>Temporal Worker版本、Continue-As-New、History容量、失败补偿和灾难恢复。</w:t>
      </w:r>
    </w:p>
    <w:p>
      <w:pPr>
        <w:pStyle w:val="ListBullet"/>
        <w:spacing w:after="40"/>
      </w:pPr>
      <w:r>
        <w:t>性能、并发、长任务、接口故障、Worker重启和网络抖动测试。</w:t>
      </w:r>
    </w:p>
    <w:p>
      <w:pPr>
        <w:pStyle w:val="ListBullet"/>
        <w:spacing w:after="40"/>
      </w:pPr>
      <w:r>
        <w:t>Agent安全评测、提示注入、工具滥用、数据外泄和高风险审批测试。</w:t>
      </w:r>
    </w:p>
    <w:p>
      <w:pPr>
        <w:pStyle w:val="ListBullet"/>
        <w:spacing w:after="40"/>
      </w:pPr>
      <w:r>
        <w:t>Kubernetes部署、监控告警、备份、恢复、Runbook、灰度和回滚。</w:t>
      </w:r>
    </w:p>
    <w:p>
      <w:pPr>
        <w:pStyle w:val="Heading3"/>
      </w:pPr>
      <w:r>
        <w:t>M7：联合试点与R1验收（2周上线准备+不少于30天运营）</w:t>
      </w:r>
    </w:p>
    <w:p>
      <w:pPr>
        <w:pStyle w:val="ListBullet"/>
        <w:spacing w:after="40"/>
      </w:pPr>
      <w:r>
        <w:t>部署客户环境，完成身份、数据、系统和安全联调。</w:t>
      </w:r>
    </w:p>
    <w:p>
      <w:pPr>
        <w:pStyle w:val="ListBullet"/>
        <w:spacing w:after="40"/>
      </w:pPr>
      <w:r>
        <w:t>培训业务主管、员工管理员、集成和运维人员。</w:t>
      </w:r>
    </w:p>
    <w:p>
      <w:pPr>
        <w:pStyle w:val="ListBullet"/>
        <w:spacing w:after="40"/>
      </w:pPr>
      <w:r>
        <w:t>连续运行不少于30天，累计不少于100个正式任务。</w:t>
      </w:r>
    </w:p>
    <w:p>
      <w:pPr>
        <w:pStyle w:val="ListBullet"/>
        <w:spacing w:after="40"/>
      </w:pPr>
      <w:r>
        <w:t>形成R1验收、价值评估、失败复盘、架构债务报告和R2进入评审。</w:t>
      </w:r>
    </w:p>
    <w:p>
      <w:pPr>
        <w:pStyle w:val="Heading2"/>
      </w:pPr>
      <w:r>
        <w:t>7.2 Release 2：多场景与组织级应用版（M8—M11）</w:t>
      </w:r>
    </w:p>
    <w:p>
      <w:pPr>
        <w:pStyle w:val="Heading3"/>
      </w:pPr>
      <w:r>
        <w:t>M8：多场景岗位与组织协作（6周）</w:t>
      </w:r>
    </w:p>
    <w:p>
      <w:pPr>
        <w:pStyle w:val="ListBullet"/>
        <w:spacing w:after="40"/>
      </w:pPr>
      <w:r>
        <w:t>扩展至少3类业务岗位包及其标准Workflow、评测集和成果组件。</w:t>
      </w:r>
    </w:p>
    <w:p>
      <w:pPr>
        <w:pStyle w:val="ListBullet"/>
        <w:spacing w:after="40"/>
      </w:pPr>
      <w:r>
        <w:t>增强主管员工、专业员工、并行子任务、冲突呈现和跨空间协作。</w:t>
      </w:r>
    </w:p>
    <w:p>
      <w:pPr>
        <w:pStyle w:val="ListBullet"/>
        <w:spacing w:after="40"/>
      </w:pPr>
      <w:r>
        <w:t>岗位模板复制、租户本地化、员工批量发布和组织级绩效。</w:t>
      </w:r>
    </w:p>
    <w:p>
      <w:pPr>
        <w:pStyle w:val="Heading3"/>
      </w:pPr>
      <w:r>
        <w:t>M9：企业集成与多渠道（6周）</w:t>
      </w:r>
    </w:p>
    <w:p>
      <w:pPr>
        <w:pStyle w:val="ListBullet"/>
        <w:spacing w:after="40"/>
      </w:pPr>
      <w:r>
        <w:t>正式接入钉钉、企业微信或飞书至少一种渠道。</w:t>
      </w:r>
    </w:p>
    <w:p>
      <w:pPr>
        <w:pStyle w:val="ListBullet"/>
        <w:spacing w:after="40"/>
      </w:pPr>
      <w:r>
        <w:t>实现企业SSO、组织同步、渠道身份映射、群/频道映射和卡片交互。</w:t>
      </w:r>
    </w:p>
    <w:p>
      <w:pPr>
        <w:pStyle w:val="ListBullet"/>
        <w:spacing w:after="40"/>
      </w:pPr>
      <w:r>
        <w:t>扩展周期任务、业务事件触发、外部审批和更多企业连接器。</w:t>
      </w:r>
    </w:p>
    <w:p>
      <w:pPr>
        <w:pStyle w:val="Heading3"/>
      </w:pPr>
      <w:r>
        <w:t>M10：多租户运营与配置产品化（6周）</w:t>
      </w:r>
    </w:p>
    <w:p>
      <w:pPr>
        <w:pStyle w:val="ListBullet"/>
        <w:spacing w:after="40"/>
      </w:pPr>
      <w:r>
        <w:t>正式启用多租户管理、资源配额、租户级模型/知识/工具策略和隔离监控。</w:t>
      </w:r>
    </w:p>
    <w:p>
      <w:pPr>
        <w:pStyle w:val="ListBullet"/>
        <w:spacing w:after="40"/>
      </w:pPr>
      <w:r>
        <w:t>建设客户配置中心、模板导入导出、环境差异和部署参数管理。</w:t>
      </w:r>
    </w:p>
    <w:p>
      <w:pPr>
        <w:pStyle w:val="ListBullet"/>
        <w:spacing w:after="40"/>
      </w:pPr>
      <w:r>
        <w:t>增强成本分析、员工运营、灰度范围、SLA和租户级审计。</w:t>
      </w:r>
    </w:p>
    <w:p>
      <w:pPr>
        <w:pStyle w:val="Heading3"/>
      </w:pPr>
      <w:r>
        <w:t>M11：第二客户复制与R2验收（4周+运营验证）</w:t>
      </w:r>
    </w:p>
    <w:p>
      <w:pPr>
        <w:pStyle w:val="ListBullet"/>
        <w:spacing w:after="40"/>
      </w:pPr>
      <w:r>
        <w:t>使用标准部署包和岗位包接入第二客户或第二独立业务组织。</w:t>
      </w:r>
    </w:p>
    <w:p>
      <w:pPr>
        <w:pStyle w:val="ListBullet"/>
        <w:spacing w:after="40"/>
      </w:pPr>
      <w:r>
        <w:t>验证公共平台代码复用≥80%，客户差异主要位于配置和Connector。</w:t>
      </w:r>
    </w:p>
    <w:p>
      <w:pPr>
        <w:pStyle w:val="ListBullet"/>
        <w:spacing w:after="40"/>
      </w:pPr>
      <w:r>
        <w:t>完成R2验收、复制成本分析、产品定价输入和R3生态进入评审。</w:t>
      </w:r>
    </w:p>
    <w:p>
      <w:pPr>
        <w:pStyle w:val="Heading2"/>
      </w:pPr>
      <w:r>
        <w:t>7.3 Release 3：平台生态与规模运营版（M12—M15）</w:t>
      </w:r>
    </w:p>
    <w:p>
      <w:pPr>
        <w:pStyle w:val="Heading3"/>
      </w:pPr>
      <w:r>
        <w:t>M12：开放平台与开发者体系（5周）</w:t>
      </w:r>
    </w:p>
    <w:p>
      <w:pPr>
        <w:pStyle w:val="ListBullet"/>
        <w:spacing w:after="40"/>
      </w:pPr>
      <w:r>
        <w:t>发布Skill SDK、Connector SDK、MCP注册、Open API和开发者门户。</w:t>
      </w:r>
    </w:p>
    <w:p>
      <w:pPr>
        <w:pStyle w:val="ListBullet"/>
        <w:spacing w:after="40"/>
      </w:pPr>
      <w:r>
        <w:t>提供沙箱、契约测试、发布申请、依赖扫描、权限声明和示例工程。</w:t>
      </w:r>
    </w:p>
    <w:p>
      <w:pPr>
        <w:pStyle w:val="ListBullet"/>
        <w:spacing w:after="40"/>
      </w:pPr>
      <w:r>
        <w:t>建立第三方能力审核、签名、版本和租户授权机制。</w:t>
      </w:r>
    </w:p>
    <w:p>
      <w:pPr>
        <w:pStyle w:val="Heading3"/>
      </w:pPr>
      <w:r>
        <w:t>M13：可视化编排与能力市场（5周）</w:t>
      </w:r>
    </w:p>
    <w:p>
      <w:pPr>
        <w:pStyle w:val="ListBullet"/>
        <w:spacing w:after="40"/>
      </w:pPr>
      <w:r>
        <w:t>建设受治理的可视化Workflow/Skill编排器，不替代Temporal执行权威。</w:t>
      </w:r>
    </w:p>
    <w:p>
      <w:pPr>
        <w:pStyle w:val="ListBullet"/>
        <w:spacing w:after="40"/>
      </w:pPr>
      <w:r>
        <w:t>岗位模板市场、能力市场、版本对比、测试运行和回滚。</w:t>
      </w:r>
    </w:p>
    <w:p>
      <w:pPr>
        <w:pStyle w:val="ListBullet"/>
        <w:spacing w:after="40"/>
      </w:pPr>
      <w:r>
        <w:t>支持企业内部共享与生态伙伴受控发布。</w:t>
      </w:r>
    </w:p>
    <w:p>
      <w:pPr>
        <w:pStyle w:val="Heading3"/>
      </w:pPr>
      <w:r>
        <w:t>M14：规模运营、计量与生态治理（6周）</w:t>
      </w:r>
    </w:p>
    <w:p>
      <w:pPr>
        <w:pStyle w:val="ListBullet"/>
        <w:spacing w:after="40"/>
      </w:pPr>
      <w:r>
        <w:t>完整计量计费、成本分摊、配额、账单和生态结算。</w:t>
      </w:r>
    </w:p>
    <w:p>
      <w:pPr>
        <w:pStyle w:val="ListBullet"/>
        <w:spacing w:after="40"/>
      </w:pPr>
      <w:r>
        <w:t>多模型、多算力、私有模型、RPA集群和更多协作渠道。</w:t>
      </w:r>
    </w:p>
    <w:p>
      <w:pPr>
        <w:pStyle w:val="ListBullet"/>
        <w:spacing w:after="40"/>
      </w:pPr>
      <w:r>
        <w:t>伙伴管理、能力质量评分、运营推荐和自动化评测。</w:t>
      </w:r>
    </w:p>
    <w:p>
      <w:pPr>
        <w:pStyle w:val="Heading3"/>
      </w:pPr>
      <w:r>
        <w:t>M15：大规模生产与R3验收（4周+规模运营）</w:t>
      </w:r>
    </w:p>
    <w:p>
      <w:pPr>
        <w:pStyle w:val="ListBullet"/>
        <w:spacing w:after="40"/>
      </w:pPr>
      <w:r>
        <w:t>完成高并发、高可用、跨区域备份恢复和规模租户演练。</w:t>
      </w:r>
    </w:p>
    <w:p>
      <w:pPr>
        <w:pStyle w:val="ListBullet"/>
        <w:spacing w:after="40"/>
      </w:pPr>
      <w:r>
        <w:t>验证第三方能力发布、租户授权、计量、审计和故障隔离。</w:t>
      </w:r>
    </w:p>
    <w:p>
      <w:pPr>
        <w:pStyle w:val="ListBullet"/>
        <w:spacing w:after="40"/>
      </w:pPr>
      <w:r>
        <w:t>形成R3商业运营验收、SaaS/私有化双交付手册和生态运营制度。</w:t>
      </w:r>
    </w:p>
    <w:p>
      <w:pPr>
        <w:pStyle w:val="Heading1"/>
      </w:pPr>
      <w:r>
        <w:t>8. 契约优先与数据模型实施</w:t>
      </w:r>
    </w:p>
    <w:p>
      <w:pPr>
        <w:pStyle w:val="Heading2"/>
      </w:pPr>
      <w:r>
        <w:t>8.1 首批必须冻结的契约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2592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契约</w:t>
            </w:r>
          </w:p>
        </w:tc>
        <w:tc>
          <w:tcPr>
            <w:tcW w:type="dxa" w:w="7416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关键内容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统一事件Envelope</w:t>
            </w:r>
          </w:p>
        </w:tc>
        <w:tc>
          <w:tcPr>
            <w:tcW w:type="dxa" w:w="74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event_id、type、tenant、actor、channel、timestamp、correlation、payload_schema_version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TaskContract</w:t>
            </w:r>
          </w:p>
        </w:tc>
        <w:tc>
          <w:tcPr>
            <w:tcW w:type="dxa" w:w="74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目标、输入、负责人、风险、审批、交付物、员工版本和依赖版本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SkillContract</w:t>
            </w:r>
          </w:p>
        </w:tc>
        <w:tc>
          <w:tcPr>
            <w:tcW w:type="dxa" w:w="74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输入输出Schema、工具依赖、错误、权限、风险、评测和版本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ToolContract</w:t>
            </w:r>
          </w:p>
        </w:tc>
        <w:tc>
          <w:tcPr>
            <w:tcW w:type="dxa" w:w="74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Schema、幂等、超时、重试、权限、审批、证据和回执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ArtifactContract</w:t>
            </w:r>
          </w:p>
        </w:tc>
        <w:tc>
          <w:tcPr>
            <w:tcW w:type="dxa" w:w="74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类型、版本、存储引用、checksum、来源和访问策略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EvidenceContract</w:t>
            </w:r>
          </w:p>
        </w:tc>
        <w:tc>
          <w:tcPr>
            <w:tcW w:type="dxa" w:w="74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来源、时间、请求ID、模型/服务版本、校验和关联调用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ApprovalContract</w:t>
            </w:r>
          </w:p>
        </w:tc>
        <w:tc>
          <w:tcPr>
            <w:tcW w:type="dxa" w:w="741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审批类型、对象、风险、决策、条件、超时和执行授权</w:t>
            </w:r>
          </w:p>
        </w:tc>
      </w:tr>
    </w:tbl>
    <w:p>
      <w:pPr>
        <w:spacing w:after="0"/>
      </w:pPr>
    </w:p>
    <w:p>
      <w:pPr>
        <w:pStyle w:val="Heading2"/>
      </w:pPr>
      <w:r>
        <w:t>8.2 数据库实施原则</w:t>
      </w:r>
    </w:p>
    <w:p>
      <w:pPr>
        <w:pStyle w:val="ListBullet"/>
        <w:spacing w:after="40"/>
      </w:pPr>
      <w:r>
        <w:t>所有核心表使用UUID/ULID等全局ID，并另设稳定business_key。</w:t>
      </w:r>
    </w:p>
    <w:p>
      <w:pPr>
        <w:pStyle w:val="ListBullet"/>
        <w:spacing w:after="40"/>
      </w:pPr>
      <w:r>
        <w:t>所有可变配置和发布资产使用不可变版本记录，运行任务锁定具体版本。</w:t>
      </w:r>
    </w:p>
    <w:p>
      <w:pPr>
        <w:pStyle w:val="ListBullet"/>
        <w:spacing w:after="40"/>
      </w:pPr>
      <w:r>
        <w:t>审计和证据采用追加写；业务删除使用状态和保留策略，避免破坏历史任务。</w:t>
      </w:r>
    </w:p>
    <w:p>
      <w:pPr>
        <w:pStyle w:val="ListBullet"/>
        <w:spacing w:after="40"/>
      </w:pPr>
      <w:r>
        <w:t>执行投影通过Activity或Outbox更新，保证Temporal与业务查询最终一致。</w:t>
      </w:r>
    </w:p>
    <w:p>
      <w:pPr>
        <w:pStyle w:val="ListBullet"/>
        <w:spacing w:after="40"/>
      </w:pPr>
      <w:r>
        <w:t>大型结果、长文本和文件保存到Artifact，数据库保存索引、摘要和校验。</w:t>
      </w:r>
    </w:p>
    <w:p>
      <w:pPr>
        <w:pStyle w:val="Heading1"/>
      </w:pPr>
      <w:r>
        <w:t>9. Temporal、Agent与工具工程规范</w:t>
      </w:r>
    </w:p>
    <w:p>
      <w:pPr>
        <w:pStyle w:val="Heading2"/>
      </w:pPr>
      <w:r>
        <w:t>9.1 Temporal规范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2232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主题</w:t>
            </w:r>
          </w:p>
        </w:tc>
        <w:tc>
          <w:tcPr>
            <w:tcW w:type="dxa" w:w="7776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强制要求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Workflow确定性</w:t>
            </w:r>
          </w:p>
        </w:tc>
        <w:tc>
          <w:tcPr>
            <w:tcW w:type="dxa" w:w="77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禁止网络、普通数据库、LLM、文件、非确定时间和随机调用。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Workflow ID</w:t>
            </w:r>
          </w:p>
        </w:tc>
        <w:tc>
          <w:tcPr>
            <w:tcW w:type="dxa" w:w="77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使用tenant+task business key，避免重复创建。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Activity幂等</w:t>
            </w:r>
          </w:p>
        </w:tc>
        <w:tc>
          <w:tcPr>
            <w:tcW w:type="dxa" w:w="77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所有有副作用动作使用idempotency_key和外部回执查询。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重试</w:t>
            </w:r>
          </w:p>
        </w:tc>
        <w:tc>
          <w:tcPr>
            <w:tcW w:type="dxa" w:w="77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按错误分类；业务校验和权限错误不可重试。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人机交互</w:t>
            </w:r>
          </w:p>
        </w:tc>
        <w:tc>
          <w:tcPr>
            <w:tcW w:type="dxa" w:w="77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使用Signal/Update，等待状态可查询且支持超时升级。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大载荷</w:t>
            </w:r>
          </w:p>
        </w:tc>
        <w:tc>
          <w:tcPr>
            <w:tcW w:type="dxa" w:w="77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只传Artifact引用和摘要，不传大文件/大数组/长对话。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版本</w:t>
            </w:r>
          </w:p>
        </w:tc>
        <w:tc>
          <w:tcPr>
            <w:tcW w:type="dxa" w:w="77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Worker和Workflow升级遵循兼容策略；运行中任务锁定版本。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可观测</w:t>
            </w:r>
          </w:p>
        </w:tc>
        <w:tc>
          <w:tcPr>
            <w:tcW w:type="dxa" w:w="77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每个Workflow/Activity关联task_id和trace_id。</w:t>
            </w:r>
          </w:p>
        </w:tc>
      </w:tr>
    </w:tbl>
    <w:p>
      <w:pPr>
        <w:spacing w:after="0"/>
      </w:pPr>
    </w:p>
    <w:p>
      <w:pPr>
        <w:pStyle w:val="Heading2"/>
      </w:pPr>
      <w:r>
        <w:t>9.2 Agent规范</w:t>
      </w:r>
    </w:p>
    <w:p>
      <w:pPr>
        <w:pStyle w:val="ListBullet"/>
        <w:spacing w:after="40"/>
      </w:pPr>
      <w:r>
        <w:t>所有模型输出使用Pydantic/JSON Schema校验；失败需重试、降级或转人工。</w:t>
      </w:r>
    </w:p>
    <w:p>
      <w:pPr>
        <w:pStyle w:val="ListBullet"/>
        <w:spacing w:after="40"/>
      </w:pPr>
      <w:r>
        <w:t>岗位路由不能仅靠关键词，需结合职责、上下文、Skill适用条件和权限。</w:t>
      </w:r>
    </w:p>
    <w:p>
      <w:pPr>
        <w:pStyle w:val="ListBullet"/>
        <w:spacing w:after="40"/>
      </w:pPr>
      <w:r>
        <w:t>Agent解释必须引用Tool Evidence，不得凭空补充专业数值。</w:t>
      </w:r>
    </w:p>
    <w:p>
      <w:pPr>
        <w:pStyle w:val="ListBullet"/>
        <w:spacing w:after="40"/>
      </w:pPr>
      <w:r>
        <w:t>上下文构建分离会话、任务、知识、记忆和业务数据，设置来源和Token预算。</w:t>
      </w:r>
    </w:p>
    <w:p>
      <w:pPr>
        <w:pStyle w:val="ListBullet"/>
        <w:spacing w:after="40"/>
      </w:pPr>
      <w:r>
        <w:t>多Agent协作有主管、子任务和收敛条件，禁止无限互聊。</w:t>
      </w:r>
    </w:p>
    <w:p>
      <w:pPr>
        <w:pStyle w:val="Heading2"/>
      </w:pPr>
      <w:r>
        <w:t>9.3 Tool/Connector规范</w:t>
      </w:r>
    </w:p>
    <w:p>
      <w:pPr>
        <w:pStyle w:val="ListBullet"/>
        <w:spacing w:after="40"/>
      </w:pPr>
      <w:r>
        <w:t>Tool Gateway统一鉴权、ABAC、限流、脱敏、幂等、审批、审计和证据。</w:t>
      </w:r>
    </w:p>
    <w:p>
      <w:pPr>
        <w:pStyle w:val="ListBullet"/>
        <w:spacing w:after="40"/>
      </w:pPr>
      <w:r>
        <w:t>Connector实现健康检查、能力发现、Schema版本、超时重试、环境和认证配置。</w:t>
      </w:r>
    </w:p>
    <w:p>
      <w:pPr>
        <w:pStyle w:val="ListBullet"/>
        <w:spacing w:after="40"/>
      </w:pPr>
      <w:r>
        <w:t>外部写操作默认高风险，必须有预览、审批、回执验证和可选补偿。</w:t>
      </w:r>
    </w:p>
    <w:p>
      <w:pPr>
        <w:pStyle w:val="ListBullet"/>
        <w:spacing w:after="40"/>
      </w:pPr>
      <w:r>
        <w:t>数据库连接默认只读；任何写操作使用专用工具和明确SQL/业务API。</w:t>
      </w:r>
    </w:p>
    <w:p>
      <w:pPr>
        <w:pStyle w:val="Heading1"/>
      </w:pPr>
      <w:r>
        <w:t>10. 测试、质量与生产门禁</w:t>
      </w:r>
    </w:p>
    <w:p>
      <w:pPr>
        <w:pStyle w:val="Heading2"/>
      </w:pPr>
      <w:r>
        <w:t>10.1 测试金字塔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2232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层级</w:t>
            </w:r>
          </w:p>
        </w:tc>
        <w:tc>
          <w:tcPr>
            <w:tcW w:type="dxa" w:w="7776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测试内容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单元测试</w:t>
            </w:r>
          </w:p>
        </w:tc>
        <w:tc>
          <w:tcPr>
            <w:tcW w:type="dxa" w:w="77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领域规则、Schema、权限、路由、格式化、错误分类。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Workflow测试</w:t>
            </w:r>
          </w:p>
        </w:tc>
        <w:tc>
          <w:tcPr>
            <w:tcW w:type="dxa" w:w="77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Temporal时间跳跃、Signal、重试、超时、取消、补偿、Continue-As-New。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Activity契约测试</w:t>
            </w:r>
          </w:p>
        </w:tc>
        <w:tc>
          <w:tcPr>
            <w:tcW w:type="dxa" w:w="77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幂等、超时、重试、回执、权限和证据。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Agent评测</w:t>
            </w:r>
          </w:p>
        </w:tc>
        <w:tc>
          <w:tcPr>
            <w:tcW w:type="dxa" w:w="77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意图、参数、Skill选择、引用、幻觉、越权和安全。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集成测试</w:t>
            </w:r>
          </w:p>
        </w:tc>
        <w:tc>
          <w:tcPr>
            <w:tcW w:type="dxa" w:w="77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PostgreSQL、MinIO、Temporal、OIDC、MCP、模型网关。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Mock E2E</w:t>
            </w:r>
          </w:p>
        </w:tc>
        <w:tc>
          <w:tcPr>
            <w:tcW w:type="dxa" w:w="77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稳定覆盖页面和异常状态。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Real E2E</w:t>
            </w:r>
          </w:p>
        </w:tc>
        <w:tc>
          <w:tcPr>
            <w:tcW w:type="dxa" w:w="77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真实Temporal、真实模型/专业服务和真实回执。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生产演练</w:t>
            </w:r>
          </w:p>
        </w:tc>
        <w:tc>
          <w:tcPr>
            <w:tcW w:type="dxa" w:w="777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重启、故障、备份恢复、Worker升级、审批长等待和网络异常。</w:t>
            </w:r>
          </w:p>
        </w:tc>
      </w:tr>
    </w:tbl>
    <w:p>
      <w:pPr>
        <w:spacing w:after="0"/>
      </w:pPr>
    </w:p>
    <w:p>
      <w:pPr>
        <w:pStyle w:val="Heading2"/>
      </w:pPr>
      <w:r>
        <w:t>10.2 合并门禁</w:t>
      </w:r>
    </w:p>
    <w:p>
      <w:pPr>
        <w:pStyle w:val="ListBullet"/>
        <w:spacing w:after="40"/>
      </w:pPr>
      <w:r>
        <w:t>代码格式、类型检查、静态扫描和单元测试通过。</w:t>
      </w:r>
    </w:p>
    <w:p>
      <w:pPr>
        <w:pStyle w:val="ListBullet"/>
        <w:spacing w:after="40"/>
      </w:pPr>
      <w:r>
        <w:t>领域对象或契约变更需附兼容性说明和迁移脚本。</w:t>
      </w:r>
    </w:p>
    <w:p>
      <w:pPr>
        <w:pStyle w:val="ListBullet"/>
        <w:spacing w:after="40"/>
      </w:pPr>
      <w:r>
        <w:t>Workflow或Activity变更需确定性、幂等和重试评审。</w:t>
      </w:r>
    </w:p>
    <w:p>
      <w:pPr>
        <w:pStyle w:val="ListBullet"/>
        <w:spacing w:after="40"/>
      </w:pPr>
      <w:r>
        <w:t>权限与高风险动作变更需安全测试。</w:t>
      </w:r>
    </w:p>
    <w:p>
      <w:pPr>
        <w:pStyle w:val="ListBullet"/>
        <w:spacing w:after="40"/>
      </w:pPr>
      <w:r>
        <w:t>高保真原型主流程变更需同步PRD和自动化E2E。</w:t>
      </w:r>
    </w:p>
    <w:p>
      <w:pPr>
        <w:pStyle w:val="Heading2"/>
      </w:pPr>
      <w:r>
        <w:t>10.3 生产发布门禁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DECEC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pStyle w:val="Callout"/>
              <w:spacing w:after="0"/>
            </w:pPr>
            <w:r>
              <w:rPr>
                <w:rFonts w:ascii="Noto Sans CJK SC" w:hAnsi="Noto Sans CJK SC" w:eastAsia="Noto Sans CJK SC"/>
                <w:b/>
                <w:color w:val="B42318"/>
              </w:rPr>
              <w:t>任何“页面可点”“Agent回复成功”都不能作为生产完成依据。必须以Temporal执行完成、外部工具可核验回执、Artifact成果和Evidence证据为准。</w:t>
            </w:r>
          </w:p>
        </w:tc>
      </w:tr>
    </w:tbl>
    <w:p>
      <w:pPr>
        <w:spacing w:after="0"/>
      </w:pPr>
    </w:p>
    <w:p>
      <w:pPr>
        <w:pStyle w:val="ListBullet"/>
        <w:spacing w:after="40"/>
      </w:pPr>
      <w:r>
        <w:t>真实E2E通过，且无前端Mock或假回执。</w:t>
      </w:r>
    </w:p>
    <w:p>
      <w:pPr>
        <w:pStyle w:val="ListBullet"/>
        <w:spacing w:after="40"/>
      </w:pPr>
      <w:r>
        <w:t>Worker重启、外部接口超时、审批等待、人工接管和恢复测试通过。</w:t>
      </w:r>
    </w:p>
    <w:p>
      <w:pPr>
        <w:pStyle w:val="ListBullet"/>
        <w:spacing w:after="40"/>
      </w:pPr>
      <w:r>
        <w:t>越权、敏感数据、提示注入和工具滥用测试通过。</w:t>
      </w:r>
    </w:p>
    <w:p>
      <w:pPr>
        <w:pStyle w:val="ListBullet"/>
        <w:spacing w:after="40"/>
      </w:pPr>
      <w:r>
        <w:t>备份恢复、告警、运维Runbook和回滚方案完成。</w:t>
      </w:r>
    </w:p>
    <w:p>
      <w:pPr>
        <w:pStyle w:val="ListBullet"/>
        <w:spacing w:after="40"/>
      </w:pPr>
      <w:r>
        <w:t>员工版本、Skill版本、Workflow版本和模型策略可追溯。</w:t>
      </w:r>
    </w:p>
    <w:p>
      <w:pPr>
        <w:pStyle w:val="Heading1"/>
      </w:pPr>
      <w:r>
        <w:t>11. 安全、合规与私有化</w:t>
      </w:r>
    </w:p>
    <w:p>
      <w:pPr>
        <w:pStyle w:val="ListBullet"/>
        <w:spacing w:after="40"/>
      </w:pPr>
      <w:r>
        <w:t>支持客户内网/私有云部署；公网模型调用按数据分级和客户策略控制。</w:t>
      </w:r>
    </w:p>
    <w:p>
      <w:pPr>
        <w:pStyle w:val="ListBullet"/>
        <w:spacing w:after="40"/>
      </w:pPr>
      <w:r>
        <w:t>Secret Manager管理模型、MCP、API和数据库凭据，禁止写入代码、Prompt和日志。</w:t>
      </w:r>
    </w:p>
    <w:p>
      <w:pPr>
        <w:pStyle w:val="ListBullet"/>
        <w:spacing w:after="40"/>
      </w:pPr>
      <w:r>
        <w:t>文档、消息、数据和Artifact按租户、空间、角色和数据范围授权。</w:t>
      </w:r>
    </w:p>
    <w:p>
      <w:pPr>
        <w:pStyle w:val="ListBullet"/>
        <w:spacing w:after="40"/>
      </w:pPr>
      <w:r>
        <w:t>模型输入输出、工具调用、审批和人工修改均记录审计。</w:t>
      </w:r>
    </w:p>
    <w:p>
      <w:pPr>
        <w:pStyle w:val="ListBullet"/>
        <w:spacing w:after="40"/>
      </w:pPr>
      <w:r>
        <w:t>提供数据保留、导出、删除、脱敏和备份策略。</w:t>
      </w:r>
    </w:p>
    <w:p>
      <w:pPr>
        <w:pStyle w:val="ListBullet"/>
        <w:spacing w:after="40"/>
      </w:pPr>
      <w:r>
        <w:t>对生产控制、资金交易、重大安全动作默认L4，仅提供辅助决策或人工审批执行。</w:t>
      </w:r>
    </w:p>
    <w:p>
      <w:pPr>
        <w:pStyle w:val="Heading1"/>
      </w:pPr>
      <w:r>
        <w:t>12. CI/CD、环境与版本管理</w:t>
      </w:r>
    </w:p>
    <w:p>
      <w:pPr>
        <w:pStyle w:val="Heading2"/>
      </w:pPr>
      <w:r>
        <w:t>12.1 环境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1656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环境</w:t>
            </w:r>
          </w:p>
        </w:tc>
        <w:tc>
          <w:tcPr>
            <w:tcW w:type="dxa" w:w="3024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用途</w:t>
            </w:r>
          </w:p>
        </w:tc>
        <w:tc>
          <w:tcPr>
            <w:tcW w:type="dxa" w:w="5328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要求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Local</w:t>
            </w:r>
          </w:p>
        </w:tc>
        <w:tc>
          <w:tcPr>
            <w:tcW w:type="dxa" w:w="30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开发与单元测试</w:t>
            </w:r>
          </w:p>
        </w:tc>
        <w:tc>
          <w:tcPr>
            <w:tcW w:type="dxa" w:w="53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Docker Compose、一键启动、模拟身份与工具。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Dev</w:t>
            </w:r>
          </w:p>
        </w:tc>
        <w:tc>
          <w:tcPr>
            <w:tcW w:type="dxa" w:w="30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共享开发集成</w:t>
            </w:r>
          </w:p>
        </w:tc>
        <w:tc>
          <w:tcPr>
            <w:tcW w:type="dxa" w:w="53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独立Temporal Namespace、测试模型和连接器。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Test</w:t>
            </w:r>
          </w:p>
        </w:tc>
        <w:tc>
          <w:tcPr>
            <w:tcW w:type="dxa" w:w="30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自动化与回归</w:t>
            </w:r>
          </w:p>
        </w:tc>
        <w:tc>
          <w:tcPr>
            <w:tcW w:type="dxa" w:w="53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稳定数据、真实E2E、权限和恢复测试。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Pre-prod</w:t>
            </w:r>
          </w:p>
        </w:tc>
        <w:tc>
          <w:tcPr>
            <w:tcW w:type="dxa" w:w="30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生产同构演练</w:t>
            </w:r>
          </w:p>
        </w:tc>
        <w:tc>
          <w:tcPr>
            <w:tcW w:type="dxa" w:w="53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K8s、正式拓扑、脱敏数据、备份恢复。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Prod</w:t>
            </w:r>
          </w:p>
        </w:tc>
        <w:tc>
          <w:tcPr>
            <w:tcW w:type="dxa" w:w="30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客户生产</w:t>
            </w:r>
          </w:p>
        </w:tc>
        <w:tc>
          <w:tcPr>
            <w:tcW w:type="dxa" w:w="53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高可用、审计、告警、SLA和变更控制。</w:t>
            </w:r>
          </w:p>
        </w:tc>
      </w:tr>
    </w:tbl>
    <w:p>
      <w:pPr>
        <w:spacing w:after="0"/>
      </w:pPr>
    </w:p>
    <w:p>
      <w:pPr>
        <w:pStyle w:val="Heading2"/>
      </w:pPr>
      <w:r>
        <w:t>12.2 版本对象</w:t>
      </w:r>
    </w:p>
    <w:p>
      <w:pPr>
        <w:pStyle w:val="ListBullet"/>
        <w:spacing w:after="40"/>
      </w:pPr>
      <w:r>
        <w:t>应用版本、数据库迁移版本、Temporal Worker/Workflow版本。</w:t>
      </w:r>
    </w:p>
    <w:p>
      <w:pPr>
        <w:pStyle w:val="ListBullet"/>
        <w:spacing w:after="40"/>
      </w:pPr>
      <w:r>
        <w:t>数字员工、岗位模板、Skill、WorkflowDefinition、Tool Schema、Connector、ModelPolicy。</w:t>
      </w:r>
    </w:p>
    <w:p>
      <w:pPr>
        <w:pStyle w:val="ListBullet"/>
        <w:spacing w:after="40"/>
      </w:pPr>
      <w:r>
        <w:t>知识库快照、评测集、Prompt模板、权限和审批策略。</w:t>
      </w:r>
    </w:p>
    <w:p>
      <w:pPr>
        <w:pStyle w:val="ListBullet"/>
        <w:spacing w:after="40"/>
      </w:pPr>
      <w:r>
        <w:t>所有任务保存完整依赖锁定清单，保证结果可复现。</w:t>
      </w:r>
    </w:p>
    <w:p>
      <w:pPr>
        <w:pStyle w:val="Heading2"/>
      </w:pPr>
      <w:r>
        <w:t>12.3 发布策略</w:t>
      </w:r>
    </w:p>
    <w:p>
      <w:pPr>
        <w:pStyle w:val="ListBullet"/>
        <w:spacing w:after="40"/>
      </w:pPr>
      <w:r>
        <w:t>员工和Skill支持草稿、测试、灰度、正式、停用和回滚。</w:t>
      </w:r>
    </w:p>
    <w:p>
      <w:pPr>
        <w:pStyle w:val="ListBullet"/>
        <w:spacing w:after="40"/>
      </w:pPr>
      <w:r>
        <w:t>应用采用蓝绿或滚动发布；Temporal Worker遵循版本兼容策略。</w:t>
      </w:r>
    </w:p>
    <w:p>
      <w:pPr>
        <w:pStyle w:val="ListBullet"/>
        <w:spacing w:after="40"/>
      </w:pPr>
      <w:r>
        <w:t>数据库迁移向前兼容，先扩展后收缩，避免运行中Worker读取失败。</w:t>
      </w:r>
    </w:p>
    <w:p>
      <w:pPr>
        <w:pStyle w:val="Heading1"/>
      </w:pPr>
      <w:r>
        <w:t>13. 试点上线与运营验证</w:t>
      </w:r>
    </w:p>
    <w:p>
      <w:pPr>
        <w:pStyle w:val="Heading2"/>
      </w:pPr>
      <w:r>
        <w:t>13.1 试点选择原则</w:t>
      </w:r>
    </w:p>
    <w:p>
      <w:pPr>
        <w:pStyle w:val="ListBullet"/>
        <w:spacing w:after="40"/>
      </w:pPr>
      <w:r>
        <w:t>有明确业务负责人、真实用户、数据和系统接口。</w:t>
      </w:r>
    </w:p>
    <w:p>
      <w:pPr>
        <w:pStyle w:val="ListBullet"/>
        <w:spacing w:after="40"/>
      </w:pPr>
      <w:r>
        <w:t>任务高频、流程稳定、结果可量化，但不直接触发不可逆生产控制。</w:t>
      </w:r>
    </w:p>
    <w:p>
      <w:pPr>
        <w:pStyle w:val="ListBullet"/>
        <w:spacing w:after="40"/>
      </w:pPr>
      <w:r>
        <w:t>允许至少30天连续运行和人工反馈。</w:t>
      </w:r>
    </w:p>
    <w:p>
      <w:pPr>
        <w:pStyle w:val="ListBullet"/>
        <w:spacing w:after="40"/>
      </w:pPr>
      <w:r>
        <w:t>首选一个知识/规则型和一个专业系统型任务，验证平台广度。</w:t>
      </w:r>
    </w:p>
    <w:p>
      <w:pPr>
        <w:pStyle w:val="Heading2"/>
      </w:pPr>
      <w:r>
        <w:t>13.2 运营指标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2088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类别</w:t>
            </w:r>
          </w:p>
        </w:tc>
        <w:tc>
          <w:tcPr>
            <w:tcW w:type="dxa" w:w="7920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指标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使用</w:t>
            </w:r>
          </w:p>
        </w:tc>
        <w:tc>
          <w:tcPr>
            <w:tcW w:type="dxa" w:w="79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活跃用户、正式任务数、周期任务执行数、群内派单率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质量</w:t>
            </w:r>
          </w:p>
        </w:tc>
        <w:tc>
          <w:tcPr>
            <w:tcW w:type="dxa" w:w="79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成功率、按时率、采纳率、修改率、接管率、严重错误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可靠性</w:t>
            </w:r>
          </w:p>
        </w:tc>
        <w:tc>
          <w:tcPr>
            <w:tcW w:type="dxa" w:w="79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Activity重试、恢复率、外部系统失败、Workflow积压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效率价值</w:t>
            </w:r>
          </w:p>
        </w:tc>
        <w:tc>
          <w:tcPr>
            <w:tcW w:type="dxa" w:w="79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平均处理时长、人工节省时间、业务收益/损失避免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成本</w:t>
            </w:r>
          </w:p>
        </w:tc>
        <w:tc>
          <w:tcPr>
            <w:tcW w:type="dxa" w:w="79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模型Token、工具调用、任务成本、员工/岗位单位成本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体验</w:t>
            </w:r>
          </w:p>
        </w:tc>
        <w:tc>
          <w:tcPr>
            <w:tcW w:type="dxa" w:w="79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首次反馈时间、主动汇报有效率、满意度、群内噪声</w:t>
            </w:r>
          </w:p>
        </w:tc>
      </w:tr>
    </w:tbl>
    <w:p>
      <w:pPr>
        <w:spacing w:after="0"/>
      </w:pPr>
    </w:p>
    <w:p>
      <w:pPr>
        <w:pStyle w:val="Heading2"/>
      </w:pPr>
      <w:r>
        <w:t>13.3 第二客户复制门槛</w:t>
      </w:r>
    </w:p>
    <w:p>
      <w:pPr>
        <w:pStyle w:val="ListBullet"/>
        <w:spacing w:after="40"/>
      </w:pPr>
      <w:r>
        <w:t>公共平台代码复用≥80%，客户差异主要通过配置、Connector和岗位包完成。</w:t>
      </w:r>
    </w:p>
    <w:p>
      <w:pPr>
        <w:pStyle w:val="ListBullet"/>
        <w:spacing w:after="40"/>
      </w:pPr>
      <w:r>
        <w:t>新增客户不修改Temporal通用Workflow和核心领域对象。</w:t>
      </w:r>
    </w:p>
    <w:p>
      <w:pPr>
        <w:pStyle w:val="ListBullet"/>
        <w:spacing w:after="40"/>
      </w:pPr>
      <w:r>
        <w:t>部署、身份、连接器、数据、培训和验收形成标准手册。</w:t>
      </w:r>
    </w:p>
    <w:p>
      <w:pPr>
        <w:pStyle w:val="Heading1"/>
      </w:pPr>
      <w:r>
        <w:t>14. 工作量与资源测算</w:t>
      </w:r>
    </w:p>
    <w:p>
      <w:pPr>
        <w:pStyle w:val="Heading2"/>
      </w:pPr>
      <w:r>
        <w:t>14.1 分Release参考投入</w:t>
      </w:r>
    </w:p>
    <w:p>
      <w:r>
        <w:t>以下为标准团队参考区间，用于路线和资源规划，不作为固定报价。客户接口数量、现有平台复用程度、私有化安全要求、联合试点周期和岗位复杂度会显著影响投入。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  <w:cantSplit/>
        </w:trPr>
        <w:tc>
          <w:tcPr>
            <w:tcW w:type="dxa" w:w="1728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产品版本</w:t>
            </w:r>
          </w:p>
        </w:tc>
        <w:tc>
          <w:tcPr>
            <w:tcW w:type="dxa" w:w="1800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参考周期</w:t>
            </w:r>
          </w:p>
        </w:tc>
        <w:tc>
          <w:tcPr>
            <w:tcW w:type="dxa" w:w="1800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参考人月</w:t>
            </w:r>
          </w:p>
        </w:tc>
        <w:tc>
          <w:tcPr>
            <w:tcW w:type="dxa" w:w="5760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主要投入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6"/>
              </w:rPr>
              <w:t>R1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6"/>
              </w:rPr>
              <w:t>30—32周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6"/>
              </w:rPr>
              <w:t>60—75</w:t>
            </w:r>
          </w:p>
        </w:tc>
        <w:tc>
          <w:tcPr>
            <w:tcW w:type="dxa" w:w="57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6"/>
              </w:rPr>
              <w:t>终局底座、Temporal/Agent、双端产品、两条真实场景、生产硬化和联合试点。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6"/>
              </w:rPr>
              <w:t>R2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6"/>
              </w:rPr>
              <w:t>追加20—24周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6"/>
              </w:rPr>
              <w:t>45—60</w:t>
            </w:r>
          </w:p>
        </w:tc>
        <w:tc>
          <w:tcPr>
            <w:tcW w:type="dxa" w:w="57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6"/>
              </w:rPr>
              <w:t>多岗位、多渠道、多租户运营、组织集成和第二客户复制。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6"/>
              </w:rPr>
              <w:t>R3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6"/>
              </w:rPr>
              <w:t>追加20—24周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6"/>
              </w:rPr>
              <w:t>55—75</w:t>
            </w:r>
          </w:p>
        </w:tc>
        <w:tc>
          <w:tcPr>
            <w:tcW w:type="dxa" w:w="57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6"/>
              </w:rPr>
              <w:t>开放SDK、可视化编排、能力市场、计量计费、生态和规模运营。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6"/>
              </w:rPr>
              <w:t>终局合计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6"/>
              </w:rPr>
              <w:t>约70—80周</w:t>
            </w:r>
          </w:p>
        </w:tc>
        <w:tc>
          <w:tcPr>
            <w:tcW w:type="dxa" w:w="180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6"/>
              </w:rPr>
              <w:t>160—210</w:t>
            </w:r>
          </w:p>
        </w:tc>
        <w:tc>
          <w:tcPr>
            <w:tcW w:type="dxa" w:w="57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6"/>
              </w:rPr>
              <w:t>不含客户长期驻场、硬件、第三方许可和大规模定制系统改造。</w:t>
            </w:r>
          </w:p>
        </w:tc>
      </w:tr>
    </w:tbl>
    <w:p>
      <w:pPr>
        <w:spacing w:after="0"/>
      </w:pPr>
    </w:p>
    <w:p>
      <w:pPr>
        <w:pStyle w:val="Heading2"/>
      </w:pPr>
      <w:r>
        <w:t>14.2 R1工作域参考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2520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工作域</w:t>
            </w:r>
          </w:p>
        </w:tc>
        <w:tc>
          <w:tcPr>
            <w:tcW w:type="dxa" w:w="1728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参考人月</w:t>
            </w:r>
          </w:p>
        </w:tc>
        <w:tc>
          <w:tcPr>
            <w:tcW w:type="dxa" w:w="5760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架构、领域与产品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6-8</w:t>
            </w:r>
          </w:p>
        </w:tc>
        <w:tc>
          <w:tcPr>
            <w:tcW w:type="dxa" w:w="57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PRD、原型、ADR、领域模型、契约、评审。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平台后端与Temporal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14-18</w:t>
            </w:r>
          </w:p>
        </w:tc>
        <w:tc>
          <w:tcPr>
            <w:tcW w:type="dxa" w:w="57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领域服务、Workflow、Activity、权限和投影。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Agent、模型与评测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10-13</w:t>
            </w:r>
          </w:p>
        </w:tc>
        <w:tc>
          <w:tcPr>
            <w:tcW w:type="dxa" w:w="57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运行时、网关、RAG、评测和安全。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前端与实时协作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10-12</w:t>
            </w:r>
          </w:p>
        </w:tc>
        <w:tc>
          <w:tcPr>
            <w:tcW w:type="dxa" w:w="57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双端页面、群聊、任务、成果和管理中心。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连接器与业务场景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8-12</w:t>
            </w:r>
          </w:p>
        </w:tc>
        <w:tc>
          <w:tcPr>
            <w:tcW w:type="dxa" w:w="57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MCP、专业系统、两条真实场景。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测试、DevOps与安全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10-12</w:t>
            </w:r>
          </w:p>
        </w:tc>
        <w:tc>
          <w:tcPr>
            <w:tcW w:type="dxa" w:w="576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E2E、恢复、K8s、可观测、备份和安全。</w:t>
            </w:r>
          </w:p>
        </w:tc>
      </w:tr>
    </w:tbl>
    <w:p>
      <w:pPr>
        <w:spacing w:after="0"/>
      </w:pPr>
    </w:p>
    <w:p>
      <w:pPr>
        <w:pStyle w:val="Heading2"/>
      </w:pPr>
      <w:r>
        <w:t>14.3 缩编原则</w:t>
      </w:r>
    </w:p>
    <w:p>
      <w:r>
        <w:t>若只有4—6人，应保持M0—M7架构与门禁，将R1首批员工缩至2名、Skill缩至2个、专业连接器缩至1个，并将R1周期延长至9—12个月；不建议删除Temporal、权限、审计、证据和版本体系。R2、R3需在R1真实试点通过后另行配置团队。</w:t>
      </w:r>
    </w:p>
    <w:p>
      <w:pPr>
        <w:pStyle w:val="Heading1"/>
      </w:pPr>
      <w:r>
        <w:t>15. 风险与应对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1944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风险</w:t>
            </w:r>
          </w:p>
        </w:tc>
        <w:tc>
          <w:tcPr>
            <w:tcW w:type="dxa" w:w="3240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早期信号</w:t>
            </w:r>
          </w:p>
        </w:tc>
        <w:tc>
          <w:tcPr>
            <w:tcW w:type="dxa" w:w="4824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应对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6"/>
              </w:rPr>
              <w:t>架构过重</w:t>
            </w:r>
          </w:p>
        </w:tc>
        <w:tc>
          <w:tcPr>
            <w:tcW w:type="dxa" w:w="32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6"/>
              </w:rPr>
              <w:t>大量基础设施、无端到端业务演示</w:t>
            </w:r>
          </w:p>
        </w:tc>
        <w:tc>
          <w:tcPr>
            <w:tcW w:type="dxa" w:w="48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6"/>
              </w:rPr>
              <w:t>每阶段必须交付纵向闭环；控制物理服务数量。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6"/>
              </w:rPr>
              <w:t>Temporal使用不当</w:t>
            </w:r>
          </w:p>
        </w:tc>
        <w:tc>
          <w:tcPr>
            <w:tcW w:type="dxa" w:w="32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6"/>
              </w:rPr>
              <w:t>Workflow中直接调网络/LLM；Activity不幂等</w:t>
            </w:r>
          </w:p>
        </w:tc>
        <w:tc>
          <w:tcPr>
            <w:tcW w:type="dxa" w:w="48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6"/>
              </w:rPr>
              <w:t>代码检查、模板、专项评审和故障演练。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6"/>
              </w:rPr>
              <w:t>双状态源</w:t>
            </w:r>
          </w:p>
        </w:tc>
        <w:tc>
          <w:tcPr>
            <w:tcW w:type="dxa" w:w="32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6"/>
              </w:rPr>
              <w:t>页面状态与Temporal冲突</w:t>
            </w:r>
          </w:p>
        </w:tc>
        <w:tc>
          <w:tcPr>
            <w:tcW w:type="dxa" w:w="48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6"/>
              </w:rPr>
              <w:t>投影只读、统一事件、状态对账任务。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6"/>
              </w:rPr>
              <w:t>Agent不稳定</w:t>
            </w:r>
          </w:p>
        </w:tc>
        <w:tc>
          <w:tcPr>
            <w:tcW w:type="dxa" w:w="32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6"/>
              </w:rPr>
              <w:t>路由错、工具乱调、解释失真</w:t>
            </w:r>
          </w:p>
        </w:tc>
        <w:tc>
          <w:tcPr>
            <w:tcW w:type="dxa" w:w="48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6"/>
              </w:rPr>
              <w:t>结构化输出、职责边界、评测集、证据驱动。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6"/>
              </w:rPr>
              <w:t>客户接口拖期</w:t>
            </w:r>
          </w:p>
        </w:tc>
        <w:tc>
          <w:tcPr>
            <w:tcW w:type="dxa" w:w="32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6"/>
              </w:rPr>
              <w:t>无接口或数据质量差</w:t>
            </w:r>
          </w:p>
        </w:tc>
        <w:tc>
          <w:tcPr>
            <w:tcW w:type="dxa" w:w="48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6"/>
              </w:rPr>
              <w:t>M0完成接口清单、Mock Server和数据质量评估。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6"/>
              </w:rPr>
              <w:t>定制侵蚀内核</w:t>
            </w:r>
          </w:p>
        </w:tc>
        <w:tc>
          <w:tcPr>
            <w:tcW w:type="dxa" w:w="32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6"/>
              </w:rPr>
              <w:t>场景代码进入公共服务</w:t>
            </w:r>
          </w:p>
        </w:tc>
        <w:tc>
          <w:tcPr>
            <w:tcW w:type="dxa" w:w="48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6"/>
              </w:rPr>
              <w:t>插件/注册机制、架构测试、禁止依赖规则。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6"/>
              </w:rPr>
              <w:t>安全审批滞后</w:t>
            </w:r>
          </w:p>
        </w:tc>
        <w:tc>
          <w:tcPr>
            <w:tcW w:type="dxa" w:w="32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6"/>
              </w:rPr>
              <w:t>上线前才补权限和审计</w:t>
            </w:r>
          </w:p>
        </w:tc>
        <w:tc>
          <w:tcPr>
            <w:tcW w:type="dxa" w:w="48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6"/>
              </w:rPr>
              <w:t>从M1落地，多层强制执行。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6"/>
              </w:rPr>
              <w:t>产品无人持续用</w:t>
            </w:r>
          </w:p>
        </w:tc>
        <w:tc>
          <w:tcPr>
            <w:tcW w:type="dxa" w:w="32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6"/>
              </w:rPr>
              <w:t>演示很好但任务不高频</w:t>
            </w:r>
          </w:p>
        </w:tc>
        <w:tc>
          <w:tcPr>
            <w:tcW w:type="dxa" w:w="48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6"/>
              </w:rPr>
              <w:t>联合客户共创，按30天真实运行验收。</w:t>
            </w:r>
          </w:p>
        </w:tc>
      </w:tr>
    </w:tbl>
    <w:p>
      <w:pPr>
        <w:spacing w:after="0"/>
      </w:pPr>
    </w:p>
    <w:p>
      <w:pPr>
        <w:pStyle w:val="Heading1"/>
      </w:pPr>
      <w:r>
        <w:t>16. 完整交付物清单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1944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类别</w:t>
            </w:r>
          </w:p>
        </w:tc>
        <w:tc>
          <w:tcPr>
            <w:tcW w:type="dxa" w:w="8064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交付物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产品</w:t>
            </w:r>
          </w:p>
        </w:tc>
        <w:tc>
          <w:tcPr>
            <w:tcW w:type="dxa" w:w="80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PRD、原型、页面地图、用户流程、需求追踪矩阵。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架构</w:t>
            </w:r>
          </w:p>
        </w:tc>
        <w:tc>
          <w:tcPr>
            <w:tcW w:type="dxa" w:w="80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总体架构、领域模型、ADR、部署架构、接口与事件契约。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代码</w:t>
            </w:r>
          </w:p>
        </w:tc>
        <w:tc>
          <w:tcPr>
            <w:tcW w:type="dxa" w:w="80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前端、API、Workers、SDK、Connector、基础设施代码。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数据</w:t>
            </w:r>
          </w:p>
        </w:tc>
        <w:tc>
          <w:tcPr>
            <w:tcW w:type="dxa" w:w="80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迁移脚本、种子数据、评测集、脱敏测试数据。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测试</w:t>
            </w:r>
          </w:p>
        </w:tc>
        <w:tc>
          <w:tcPr>
            <w:tcW w:type="dxa" w:w="80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单元、Workflow、Agent评测、E2E、性能、安全和恢复报告。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运维</w:t>
            </w:r>
          </w:p>
        </w:tc>
        <w:tc>
          <w:tcPr>
            <w:tcW w:type="dxa" w:w="80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部署手册、备份恢复、监控告警、故障处理、升级回滚Runbook。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试点</w:t>
            </w:r>
          </w:p>
        </w:tc>
        <w:tc>
          <w:tcPr>
            <w:tcW w:type="dxa" w:w="80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培训、试运行数据、价值评估、验收报告、复制包。</w:t>
            </w:r>
          </w:p>
        </w:tc>
      </w:tr>
    </w:tbl>
    <w:p>
      <w:pPr>
        <w:spacing w:after="0"/>
      </w:pPr>
    </w:p>
    <w:p>
      <w:pPr>
        <w:pStyle w:val="Heading1"/>
      </w:pPr>
      <w:r>
        <w:t>附录A. Release与Milestone验收检查表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2520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门禁</w:t>
            </w:r>
          </w:p>
        </w:tc>
        <w:tc>
          <w:tcPr>
            <w:tcW w:type="dxa" w:w="7488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必须满足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M0 Architecture Baseline</w:t>
            </w:r>
          </w:p>
        </w:tc>
        <w:tc>
          <w:tcPr>
            <w:tcW w:type="dxa" w:w="74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核心对象、契约、ADR、仓库、需求追踪和环境冻结。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M2 Durable Execution</w:t>
            </w:r>
          </w:p>
        </w:tc>
        <w:tc>
          <w:tcPr>
            <w:tcW w:type="dxa" w:w="74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Temporal、Workflow、Activity、Signals、恢复和投影真实运行。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M3 Employee Runtime</w:t>
            </w:r>
          </w:p>
        </w:tc>
        <w:tc>
          <w:tcPr>
            <w:tcW w:type="dxa" w:w="74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员工装配、Skill、Model/Tool Gateway和评测闭环。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M4 Collaboration</w:t>
            </w:r>
          </w:p>
        </w:tc>
        <w:tc>
          <w:tcPr>
            <w:tcW w:type="dxa" w:w="74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群聊派单、补参、任务、审批、成果、接管端到端。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R1 Acceptance</w:t>
            </w:r>
          </w:p>
        </w:tc>
        <w:tc>
          <w:tcPr>
            <w:tcW w:type="dxa" w:w="74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两类真实场景、生产门禁、连续30天、100任务和价值指标达标。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R2 Acceptance</w:t>
            </w:r>
          </w:p>
        </w:tc>
        <w:tc>
          <w:tcPr>
            <w:tcW w:type="dxa" w:w="74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多岗位、多渠道、多租户、SSO和第二客户复制达标。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R3 Acceptance</w:t>
            </w:r>
          </w:p>
        </w:tc>
        <w:tc>
          <w:tcPr>
            <w:tcW w:type="dxa" w:w="74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开放能力、市场、计量、生态治理和规模高可用达标。</w:t>
            </w:r>
          </w:p>
        </w:tc>
      </w:tr>
    </w:tbl>
    <w:p>
      <w:pPr>
        <w:spacing w:after="0"/>
      </w:pPr>
    </w:p>
    <w:p>
      <w:pPr>
        <w:pStyle w:val="Heading1"/>
      </w:pPr>
      <w:r>
        <w:t>附录B. 架构债务检查表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2520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检查项</w:t>
            </w:r>
          </w:p>
        </w:tc>
        <w:tc>
          <w:tcPr>
            <w:tcW w:type="dxa" w:w="7488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失败判定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任务状态权威</w:t>
            </w:r>
          </w:p>
        </w:tc>
        <w:tc>
          <w:tcPr>
            <w:tcW w:type="dxa" w:w="74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存在数据库、队列或LangGraph可以绕过Temporal独立推进正式任务。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网关与权限</w:t>
            </w:r>
          </w:p>
        </w:tc>
        <w:tc>
          <w:tcPr>
            <w:tcW w:type="dxa" w:w="74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模型或外部系统调用绕过Model/Tool Gateway和服务端权限。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租户与组织</w:t>
            </w:r>
          </w:p>
        </w:tc>
        <w:tc>
          <w:tcPr>
            <w:tcW w:type="dxa" w:w="74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核心表、事件、Artifact或缓存键缺少租户/组织隔离语义。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资产版本化</w:t>
            </w:r>
          </w:p>
        </w:tc>
        <w:tc>
          <w:tcPr>
            <w:tcW w:type="dxa" w:w="74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运行任务未锁定员工、Skill、Workflow、工具Schema、模型策略或知识版本。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专业耦合</w:t>
            </w:r>
          </w:p>
        </w:tc>
        <w:tc>
          <w:tcPr>
            <w:tcW w:type="dxa" w:w="74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公共领域服务出现交易、运筹、安全或设备场景专用分支。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真实执行</w:t>
            </w:r>
          </w:p>
        </w:tc>
        <w:tc>
          <w:tcPr>
            <w:tcW w:type="dxa" w:w="74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页面Mock、大模型文本或伪回执被用于宣称任务完成。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可追溯性</w:t>
            </w:r>
          </w:p>
        </w:tc>
        <w:tc>
          <w:tcPr>
            <w:tcW w:type="dxa" w:w="748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Noto Sans CJK SC" w:hAnsi="Noto Sans CJK SC" w:eastAsia="Noto Sans CJK SC"/>
                <w:color w:val="1F2937"/>
                <w:sz w:val="17"/>
              </w:rPr>
              <w:t>结果无法关联Task、Workflow、AgentRun、SkillRun、ToolCall、Evidence和Artifact。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附录C. 关键技术参考</w:t>
      </w:r>
    </w:p>
    <w:p>
      <w:pPr>
        <w:pStyle w:val="ListBullet"/>
      </w:pPr>
      <w:r>
        <w:t>Temporal Workflows：</w:t>
      </w:r>
      <w:hyperlink r:id="rId13">
        <w:r>
          <w:rPr>
            <w:color w:val="2F75B5"/>
            <w:u w:val="single"/>
          </w:rPr>
          <w:t>https://docs.temporal.io/workflows</w:t>
        </w:r>
      </w:hyperlink>
    </w:p>
    <w:p>
      <w:pPr>
        <w:pStyle w:val="ListBullet"/>
      </w:pPr>
      <w:r>
        <w:t>Temporal Human-in-the-loop AI Agent：</w:t>
      </w:r>
      <w:hyperlink r:id="rId14">
        <w:r>
          <w:rPr>
            <w:color w:val="2F75B5"/>
            <w:u w:val="single"/>
          </w:rPr>
          <w:t>https://docs.temporal.io/ai-cookbook/human-in-the-loop-python</w:t>
        </w:r>
      </w:hyperlink>
    </w:p>
    <w:p>
      <w:pPr>
        <w:pStyle w:val="ListBullet"/>
      </w:pPr>
      <w:r>
        <w:t>Temporal与LangGraph集成：</w:t>
      </w:r>
      <w:hyperlink r:id="rId15">
        <w:r>
          <w:rPr>
            <w:color w:val="2F75B5"/>
            <w:u w:val="single"/>
          </w:rPr>
          <w:t>https://docs.temporal.io/develop/python/integrations/langgraph</w:t>
        </w:r>
      </w:hyperlink>
    </w:p>
    <w:p>
      <w:pPr>
        <w:pStyle w:val="ListBullet"/>
      </w:pPr>
      <w:r>
        <w:t>LangGraph Overview：</w:t>
      </w:r>
      <w:hyperlink r:id="rId16">
        <w:r>
          <w:rPr>
            <w:color w:val="2F75B5"/>
            <w:u w:val="single"/>
          </w:rPr>
          <w:t>https://docs.langchain.com/oss/python/langgraph/overview</w:t>
        </w:r>
      </w:hyperlink>
    </w:p>
    <w:p>
      <w:pPr>
        <w:pStyle w:val="ListBullet"/>
      </w:pPr>
      <w:r>
        <w:t>LangGraph Interrupts：</w:t>
      </w:r>
      <w:hyperlink r:id="rId17">
        <w:r>
          <w:rPr>
            <w:color w:val="2F75B5"/>
            <w:u w:val="single"/>
          </w:rPr>
          <w:t>https://docs.langchain.com/oss/python/langgraph/interrupts</w:t>
        </w:r>
      </w:hyperlink>
    </w:p>
    <w:p>
      <w:pPr>
        <w:pStyle w:val="ListBullet"/>
      </w:pPr>
      <w:r>
        <w:t>MCP Architecture：</w:t>
      </w:r>
      <w:hyperlink r:id="rId18">
        <w:r>
          <w:rPr>
            <w:color w:val="2F75B5"/>
            <w:u w:val="single"/>
          </w:rPr>
          <w:t>https://modelcontextprotocol.io/docs/learn/architecture</w:t>
        </w:r>
      </w:hyperlink>
    </w:p>
    <w:p>
      <w:pPr>
        <w:pStyle w:val="ListBullet"/>
      </w:pPr>
      <w:r>
        <w:t>MCP Specification：</w:t>
      </w:r>
      <w:hyperlink r:id="rId19">
        <w:r>
          <w:rPr>
            <w:color w:val="2F75B5"/>
            <w:u w:val="single"/>
          </w:rPr>
          <w:t>https://modelcontextprotocol.io/specification/2025-11-25</w:t>
        </w:r>
      </w:hyperlink>
    </w:p>
    <w:p>
      <w:pPr>
        <w:pStyle w:val="ListBullet"/>
      </w:pPr>
      <w:r>
        <w:t>OpenTelemetry Documentation：</w:t>
      </w:r>
      <w:hyperlink r:id="rId20">
        <w:r>
          <w:rPr>
            <w:color w:val="2F75B5"/>
            <w:u w:val="single"/>
          </w:rPr>
          <w:t>https://opentelemetry.io/docs/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037" w:bottom="979" w:left="1123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6B7280"/>
        <w:sz w:val="17"/>
      </w:rPr>
      <w:t>GridCrew 电力行业数字员工平台  |  完整开发计划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Noto Sans CJK SC" w:hAnsi="Noto Sans CJK SC" w:eastAsia="Noto Sans CJK SC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75B5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293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F4E78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6B728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before="100" w:after="100"/>
      <w:ind w:left="216" w:right="216"/>
    </w:pPr>
    <w:rPr>
      <w:rFonts w:ascii="Noto Sans CJK SC" w:hAnsi="Noto Sans CJK SC" w:eastAsia="Noto Sans CJK SC"/>
      <w:color w:val="1F2937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hyperlink" Target="https://docs.temporal.io/workflows" TargetMode="External"/><Relationship Id="rId14" Type="http://schemas.openxmlformats.org/officeDocument/2006/relationships/hyperlink" Target="https://docs.temporal.io/ai-cookbook/human-in-the-loop-python" TargetMode="External"/><Relationship Id="rId15" Type="http://schemas.openxmlformats.org/officeDocument/2006/relationships/hyperlink" Target="https://docs.temporal.io/develop/python/integrations/langgraph" TargetMode="External"/><Relationship Id="rId16" Type="http://schemas.openxmlformats.org/officeDocument/2006/relationships/hyperlink" Target="https://docs.langchain.com/oss/python/langgraph/overview" TargetMode="External"/><Relationship Id="rId17" Type="http://schemas.openxmlformats.org/officeDocument/2006/relationships/hyperlink" Target="https://docs.langchain.com/oss/python/langgraph/interrupts" TargetMode="External"/><Relationship Id="rId18" Type="http://schemas.openxmlformats.org/officeDocument/2006/relationships/hyperlink" Target="https://modelcontextprotocol.io/docs/learn/architecture" TargetMode="External"/><Relationship Id="rId19" Type="http://schemas.openxmlformats.org/officeDocument/2006/relationships/hyperlink" Target="https://modelcontextprotocol.io/specification/2025-11-25" TargetMode="External"/><Relationship Id="rId20" Type="http://schemas.openxmlformats.org/officeDocument/2006/relationships/hyperlink" Target="https://opentelemetry.io/doc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GridCrew 电力行业数字员工平台</dc:title>
  <dc:subject>完整开发计划</dc:subject>
  <dc:creator>GridCrew产品规划组</dc:creator>
  <cp:keywords/>
  <dc:description>基于GridCrew高保真原型V2.2与终局架构决策统一品牌与工程命名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