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F557B0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杭州电子科技大学</w:t>
      </w:r>
    </w:p>
    <w:p w14:paraId="6731CD48">
      <w:pPr>
        <w:jc w:val="center"/>
        <w:rPr>
          <w:rFonts w:eastAsia="华文行楷" w:cs="Times New Roman"/>
          <w:sz w:val="56"/>
          <w:szCs w:val="72"/>
        </w:rPr>
      </w:pPr>
      <w:r>
        <w:rPr>
          <w:rFonts w:eastAsia="华文行楷" w:cs="Times New Roman"/>
          <w:sz w:val="56"/>
          <w:szCs w:val="72"/>
        </w:rPr>
        <w:t>Hangzhou Dianzi University</w:t>
      </w:r>
    </w:p>
    <w:p w14:paraId="7E86955E">
      <w:pPr>
        <w:jc w:val="center"/>
        <w:rPr>
          <w:rFonts w:eastAsia="华文行楷" w:cs="Times New Roman"/>
          <w:sz w:val="56"/>
          <w:szCs w:val="72"/>
        </w:rPr>
      </w:pPr>
    </w:p>
    <w:p w14:paraId="00A701F5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《软件开发实践1》</w:t>
      </w:r>
    </w:p>
    <w:p w14:paraId="36032B0E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大作业报告</w:t>
      </w:r>
    </w:p>
    <w:p w14:paraId="32978749">
      <w:pPr>
        <w:jc w:val="center"/>
        <w:rPr>
          <w:rFonts w:cs="Times New Roman"/>
          <w:sz w:val="28"/>
        </w:rPr>
      </w:pPr>
    </w:p>
    <w:p w14:paraId="7A2DD521">
      <w:pPr>
        <w:ind w:firstLine="840" w:firstLineChars="300"/>
        <w:jc w:val="left"/>
        <w:rPr>
          <w:rFonts w:cs="Times New Roman"/>
          <w:sz w:val="28"/>
        </w:rPr>
      </w:pPr>
      <w:r>
        <w:rPr>
          <w:rFonts w:cs="Times New Roman"/>
          <w:sz w:val="28"/>
        </w:rPr>
      </w:r>
      <w:r>
        <w:rPr>
          <w:rFonts w:ascii="Times New Roman" w:hAnsi="Times New Roman" w:eastAsia="宋体"/>
          <w:b/>
          <w:sz w:val="24"/>
        </w:rPr>
        <w:t>项目名称：上海地铁数据分析及可视化</w:t>
      </w:r>
    </w:p>
    <w:p w14:paraId="0AB15475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团队成员：</w:t>
      </w:r>
      <w:bookmarkStart w:id="0" w:name="OLE_LINK1"/>
      <w:bookmarkStart w:id="1" w:name="OLE_LINK2"/>
      <w:r>
        <w:rPr>
          <w:rFonts w:hint="eastAsia" w:cs="Times New Roman"/>
          <w:sz w:val="28"/>
          <w:lang w:val="en-US" w:eastAsia="zh-CN"/>
        </w:rPr>
        <w:t>25050302</w:t>
      </w:r>
      <w:r>
        <w:rPr>
          <w:rFonts w:cs="Times New Roman"/>
          <w:sz w:val="28"/>
        </w:rPr>
        <w:t xml:space="preserve"> </w:t>
      </w:r>
      <w:bookmarkEnd w:id="0"/>
      <w:bookmarkEnd w:id="1"/>
      <w:r>
        <w:rPr>
          <w:rFonts w:hint="eastAsia" w:cs="Times New Roman"/>
          <w:sz w:val="28"/>
          <w:lang w:val="en-US" w:eastAsia="zh-CN"/>
        </w:rPr>
        <w:t>吕可珊</w:t>
      </w:r>
    </w:p>
    <w:p w14:paraId="0476244E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 xml:space="preserve">          </w:t>
      </w:r>
      <w:r>
        <w:rPr>
          <w:rFonts w:hint="eastAsia" w:cs="Times New Roman"/>
          <w:sz w:val="28"/>
          <w:lang w:val="en-US" w:eastAsia="zh-CN"/>
        </w:rPr>
        <w:t>25050301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李嫣</w:t>
      </w:r>
    </w:p>
    <w:p w14:paraId="0ACEA6D9">
      <w:pPr>
        <w:ind w:firstLine="2240" w:firstLineChars="800"/>
        <w:rPr>
          <w:rFonts w:hint="eastAsia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25050306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袁楚帘</w:t>
      </w:r>
    </w:p>
    <w:p w14:paraId="14C343A6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25050401 潘忠琼</w:t>
      </w:r>
    </w:p>
    <w:p w14:paraId="4F2461E1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25050402 胡颖</w:t>
      </w:r>
    </w:p>
    <w:p w14:paraId="173A0B21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完成时间：2026年9月</w:t>
      </w:r>
    </w:p>
    <w:p w14:paraId="422E38D3">
      <w:pPr>
        <w:ind w:firstLine="2240" w:firstLineChars="800"/>
        <w:rPr>
          <w:rFonts w:cs="Times New Roman"/>
          <w:sz w:val="28"/>
        </w:rPr>
      </w:pPr>
    </w:p>
    <w:p w14:paraId="51929E23">
      <w:pPr>
        <w:jc w:val="center"/>
        <w:rPr>
          <w:rFonts w:cs="Times New Roman"/>
          <w:sz w:val="28"/>
        </w:rPr>
      </w:pPr>
    </w:p>
    <w:p w14:paraId="627699C5">
      <w:pPr>
        <w:jc w:val="center"/>
        <w:rPr>
          <w:rFonts w:cs="Times New Roman"/>
          <w:sz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26B0522">
      <w:pPr>
        <w:pStyle w:val="3"/>
        <w:jc w:val="center"/>
        <w:rPr>
          <w:rFonts w:cs="Times New Roman"/>
        </w:rPr>
      </w:pPr>
      <w:r>
        <w:rPr>
          <w:rFonts w:hint="eastAsia" w:ascii="黑体" w:hAnsi="黑体" w:eastAsia="黑体" w:cs="黑体"/>
          <w:sz w:val="32"/>
          <w:szCs w:val="32"/>
        </w:rPr>
        <w:t>上海地铁数据分析及可视化</w:t>
      </w:r>
    </w:p>
    <w:p w14:paraId="3A0336EB">
      <w:pPr>
        <w:spacing w:line="400" w:lineRule="exact"/>
        <w:ind w:left="420"/>
        <w:rPr>
          <w:rFonts w:cs="Times New Roman"/>
          <w:color w:val="5B9BD5"/>
          <w:szCs w:val="21"/>
        </w:rPr>
      </w:pPr>
    </w:p>
    <w:p w14:paraId="66CBEA20">
      <w:pPr>
        <w:pStyle w:val="2"/>
      </w:pPr>
      <w:r>
        <w:rPr>
          <w:rFonts w:hint="eastAsia"/>
        </w:rPr>
        <w:t>1 团队成员</w:t>
      </w:r>
      <w:r>
        <w:t>组成及分工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418"/>
        <w:gridCol w:w="2551"/>
        <w:gridCol w:w="1701"/>
      </w:tblGrid>
      <w:tr w14:paraId="7B492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36" w:type="dxa"/>
            <w:vAlign w:val="center"/>
          </w:tcPr>
          <w:p w14:paraId="37E1AF2F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学号</w:t>
            </w:r>
          </w:p>
        </w:tc>
        <w:tc>
          <w:tcPr>
            <w:tcW w:w="1418" w:type="dxa"/>
            <w:vAlign w:val="center"/>
          </w:tcPr>
          <w:p w14:paraId="680A649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姓名</w:t>
            </w:r>
          </w:p>
        </w:tc>
        <w:tc>
          <w:tcPr>
            <w:tcW w:w="2551" w:type="dxa"/>
            <w:vAlign w:val="center"/>
          </w:tcPr>
          <w:p w14:paraId="71C17F0B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详细任务分工</w:t>
            </w:r>
          </w:p>
        </w:tc>
        <w:tc>
          <w:tcPr>
            <w:tcW w:w="1701" w:type="dxa"/>
            <w:vAlign w:val="center"/>
          </w:tcPr>
          <w:p w14:paraId="2733BDD0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工作量占比</w:t>
            </w:r>
          </w:p>
        </w:tc>
      </w:tr>
      <w:tr w14:paraId="41A5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7" w:hRule="atLeast"/>
          <w:jc w:val="center"/>
        </w:trPr>
        <w:tc>
          <w:tcPr>
            <w:tcW w:w="1336" w:type="dxa"/>
            <w:vAlign w:val="center"/>
          </w:tcPr>
          <w:p w14:paraId="415FCCAB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25050401</w:t>
            </w:r>
          </w:p>
        </w:tc>
        <w:tc>
          <w:tcPr>
            <w:tcW w:w="1418" w:type="dxa"/>
            <w:vAlign w:val="center"/>
          </w:tcPr>
          <w:p w14:paraId="133B868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潘忠琼</w:t>
            </w:r>
          </w:p>
        </w:tc>
        <w:tc>
          <w:tcPr>
            <w:tcW w:w="2551" w:type="dxa"/>
            <w:vAlign w:val="center"/>
          </w:tcPr>
          <w:p w14:paraId="6DA4AAAD">
            <w:pPr>
              <w:pStyle w:val="4"/>
              <w:ind w:firstLine="0" w:firstLineChars="0"/>
              <w:jc w:val="both"/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负</w:t>
            </w:r>
            <w:r>
              <w:rPr>
                <w:rFonts w:ascii="Arial" w:hAnsi="Arial" w:eastAsia="等线" w:cs="Arial"/>
                <w:sz w:val="22"/>
              </w:rPr>
              <w:t>责全量原始数据的清洗、处理，输出标准化的共享分析数据集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134B38B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733A5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CD704E8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25050402</w:t>
            </w:r>
          </w:p>
        </w:tc>
        <w:tc>
          <w:tcPr>
            <w:tcW w:w="1418" w:type="dxa"/>
            <w:vAlign w:val="center"/>
          </w:tcPr>
          <w:p w14:paraId="5FE43DA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胡颖</w:t>
            </w:r>
          </w:p>
        </w:tc>
        <w:tc>
          <w:tcPr>
            <w:tcW w:w="2551" w:type="dxa"/>
            <w:vAlign w:val="center"/>
          </w:tcPr>
          <w:p w14:paraId="521E15CB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基于清洗后的数据集，完成全维度描述性统计，提炼客流时空分布规律。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736FCB0">
            <w:pPr>
              <w:pStyle w:val="4"/>
              <w:ind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7F6D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1" w:hRule="atLeast"/>
          <w:jc w:val="center"/>
        </w:trPr>
        <w:tc>
          <w:tcPr>
            <w:tcW w:w="1336" w:type="dxa"/>
            <w:vAlign w:val="center"/>
          </w:tcPr>
          <w:p w14:paraId="20F75859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25050302</w:t>
            </w:r>
          </w:p>
        </w:tc>
        <w:tc>
          <w:tcPr>
            <w:tcW w:w="1418" w:type="dxa"/>
            <w:vAlign w:val="center"/>
          </w:tcPr>
          <w:p w14:paraId="4C051716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吕可珊</w:t>
            </w:r>
          </w:p>
        </w:tc>
        <w:tc>
          <w:tcPr>
            <w:tcW w:w="2551" w:type="dxa"/>
            <w:vAlign w:val="center"/>
          </w:tcPr>
          <w:p w14:paraId="7A538F24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基于地理信息实现地铁网络的空间可视化，直观呈现客流的地理分布特征。</w:t>
            </w:r>
          </w:p>
        </w:tc>
        <w:tc>
          <w:tcPr>
            <w:tcW w:w="1701" w:type="dxa"/>
            <w:vAlign w:val="center"/>
          </w:tcPr>
          <w:p w14:paraId="72A74459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DBD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4C028D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25050301</w:t>
            </w:r>
          </w:p>
        </w:tc>
        <w:tc>
          <w:tcPr>
            <w:tcW w:w="1418" w:type="dxa"/>
            <w:vAlign w:val="center"/>
          </w:tcPr>
          <w:p w14:paraId="0AEB4B6C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李嫣</w:t>
            </w:r>
          </w:p>
        </w:tc>
        <w:tc>
          <w:tcPr>
            <w:tcW w:w="2551" w:type="dxa"/>
            <w:vAlign w:val="center"/>
          </w:tcPr>
          <w:p w14:paraId="7FB93231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将统计分析结果转化为规范图表，具象化乘客出行模式，统一全项目视觉风格。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7EC77855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AF48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shd w:val="clear"/>
            <w:vAlign w:val="center"/>
          </w:tcPr>
          <w:p w14:paraId="1391D71E">
            <w:pPr>
              <w:jc w:val="center"/>
              <w:rPr>
                <w:rFonts w:hint="default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25050306</w:t>
            </w:r>
          </w:p>
        </w:tc>
        <w:tc>
          <w:tcPr>
            <w:tcW w:w="1418" w:type="dxa"/>
            <w:vAlign w:val="center"/>
          </w:tcPr>
          <w:p w14:paraId="5CF65C35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袁楚帘</w:t>
            </w:r>
          </w:p>
        </w:tc>
        <w:tc>
          <w:tcPr>
            <w:tcW w:w="2551" w:type="dxa"/>
            <w:vAlign w:val="center"/>
          </w:tcPr>
          <w:p w14:paraId="723C53F0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完成进阶数据挖掘分析，统筹整合所有成员的成果，输出最终完整交付物。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0F6D139A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</w:tbl>
    <w:p w14:paraId="614B3D8F">
      <w:pPr>
        <w:rPr>
          <w:rFonts w:cs="Times New Roman"/>
        </w:rPr>
      </w:pPr>
    </w:p>
    <w:p w14:paraId="6C431DFB">
      <w:pPr>
        <w:pStyle w:val="2"/>
      </w:pPr>
      <w:r>
        <w:t>2</w:t>
      </w:r>
      <w:r>
        <w:rPr>
          <w:rFonts w:hint="eastAsia"/>
        </w:rPr>
        <w:t xml:space="preserve"> </w:t>
      </w:r>
      <w:r>
        <w:t>项目开发环境</w:t>
      </w:r>
    </w:p>
    <w:p w14:paraId="4E1C034E">
      <w:pPr>
        <w:spacing w:line="400" w:lineRule="exac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本项目的开发及运行环境要求：</w:t>
      </w:r>
    </w:p>
    <w:p w14:paraId="57DCDF70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开发工具：</w:t>
      </w:r>
      <w:r>
        <w:rPr>
          <w:rFonts w:hint="default" w:ascii="Times New Roman" w:hAnsi="Times New Roman" w:eastAsia="宋体" w:cs="Times New Roman"/>
          <w:sz w:val="24"/>
          <w:szCs w:val="24"/>
        </w:rPr>
        <w:t>Jupyter Notebook</w:t>
      </w:r>
      <w:r>
        <w:rPr>
          <w:rFonts w:ascii="宋体" w:hAnsi="宋体" w:eastAsia="宋体" w:cs="宋体"/>
          <w:sz w:val="24"/>
          <w:szCs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PyCharm Community Edition</w:t>
      </w:r>
    </w:p>
    <w:p w14:paraId="514DA514">
      <w:pPr>
        <w:spacing w:line="400" w:lineRule="exact"/>
        <w:rPr>
          <w:rFonts w:hint="default" w:eastAsia="宋体" w:cs="Times New Roman"/>
          <w:sz w:val="24"/>
          <w:szCs w:val="24"/>
          <w:lang w:val="en-US" w:eastAsia="zh-CN"/>
        </w:rPr>
      </w:pPr>
      <w:r>
        <w:rPr>
          <w:rFonts w:cs="Times New Roman"/>
          <w:sz w:val="24"/>
          <w:szCs w:val="24"/>
        </w:rPr>
      </w:r>
      <w:r>
        <w:rPr>
          <w:rFonts w:hint="eastAsia" w:cs="Times New Roman"/>
          <w:sz w:val="24"/>
          <w:szCs w:val="24"/>
          <w:lang w:val="en-US" w:eastAsia="zh-CN"/>
        </w:rPr>
      </w:r>
      <w:r>
        <w:rPr>
          <w:rFonts w:ascii="Times New Roman" w:hAnsi="Times New Roman" w:eastAsia="宋体"/>
          <w:b w:val="0"/>
          <w:sz w:val="24"/>
        </w:rPr>
        <w:t>开发语言：Python 3.12</w:t>
      </w:r>
    </w:p>
    <w:p w14:paraId="0BBDC8F2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bCs/>
          <w:sz w:val="24"/>
          <w:szCs w:val="24"/>
        </w:rPr>
        <w:t>主要开发库</w:t>
      </w:r>
      <w:r>
        <w:rPr>
          <w:rFonts w:cs="Times New Roman"/>
          <w:sz w:val="24"/>
          <w:szCs w:val="24"/>
        </w:rPr>
        <w:t>：</w:t>
      </w:r>
      <w:r>
        <w:rPr>
          <w:rFonts w:hint="default" w:ascii="Times New Roman" w:hAnsi="Times New Roman" w:eastAsia="宋体" w:cs="Times New Roman"/>
          <w:sz w:val="24"/>
          <w:szCs w:val="24"/>
        </w:rPr>
        <w:t>pandas、numpy、matplotlib、pyecharts、scikit</w:t>
      </w:r>
      <w:r>
        <w:rPr>
          <w:rFonts w:hint="default" w:ascii="Times New Roman" w:hAnsi="Times New Roman" w:eastAsia="宋体" w:cs="Times New Roman"/>
          <w:sz w:val="24"/>
          <w:szCs w:val="24"/>
        </w:rPr>
        <w:noBreakHyphen/>
      </w:r>
      <w:r>
        <w:rPr>
          <w:rFonts w:hint="default" w:ascii="Times New Roman" w:hAnsi="Times New Roman" w:eastAsia="宋体" w:cs="Times New Roman"/>
          <w:sz w:val="24"/>
          <w:szCs w:val="24"/>
        </w:rPr>
        <w:t>learn、statsmodels、</w:t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 xml:space="preserve">  </w:t>
      </w:r>
      <w:r>
        <w:rPr>
          <w:rFonts w:hint="default" w:ascii="Times New Roman" w:hAnsi="Times New Roman" w:eastAsia="宋体" w:cs="Times New Roman"/>
          <w:sz w:val="24"/>
          <w:szCs w:val="24"/>
        </w:rPr>
        <w:t>geopandas</w:t>
      </w:r>
    </w:p>
    <w:p w14:paraId="3C1D5354">
      <w:pPr>
        <w:spacing w:line="400" w:lineRule="exact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使用的Coding Agent的工具名称</w:t>
      </w:r>
      <w:r>
        <w:rPr>
          <w:rFonts w:hint="eastAsia" w:cs="Times New Roman"/>
          <w:bCs/>
          <w:sz w:val="24"/>
          <w:szCs w:val="24"/>
        </w:rPr>
        <w:t>（若有）：</w:t>
      </w:r>
      <w:r>
        <w:rPr>
          <w:rFonts w:cs="Times New Roman"/>
          <w:bCs/>
          <w:sz w:val="24"/>
          <w:szCs w:val="24"/>
        </w:rPr>
        <w:t>如字节的TRAE、腾讯的CodeBuddy、claude code等</w:t>
      </w:r>
    </w:p>
    <w:p w14:paraId="1B41C2FD">
      <w:pPr>
        <w:rPr>
          <w:rFonts w:cs="Times New Roman"/>
        </w:rPr>
      </w:pPr>
    </w:p>
    <w:p w14:paraId="07AB362D">
      <w:pPr>
        <w:pStyle w:val="2"/>
      </w:pPr>
      <w:r>
        <w:rPr/>
        <w:t>3</w:t>
      </w:r>
      <w:r>
        <w:rPr>
          <w:rFonts w:hint="eastAsia"/>
        </w:rPr>
        <w:t xml:space="preserve"> </w:t>
      </w:r>
      <w:r>
        <w:rPr/>
        <w:t>数据说明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本项目基于上海地铁智能卡刷卡数据分析城市轨道交通客流规律。原始数据来自 Figshare 公开发布的 MetroFlow 数据集（Sun 等，Scientific Data, 2025），时间覆盖 2017 年 5 月 1 日至 2017 年 8 月 31 日共 123 天，涉及上海地铁 302 个车站、超过 7 亿条原始刷卡记录，并附有站点属性、小时级天气与工作日日历等辅助信息。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原始刷卡记录无法直接用于分析，需经过出行行程识别、OD 配对、异常剔除等预处理。分工1 输出的标准化共享数据集共包含 5 个数据表，统一采用 10 分钟时间粒度，每日运营时段为 06:00—23:00，各表文件与规模见表1。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记录数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std_10min_inout.csv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10分钟粒度站点进出站客流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3,788,892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std_10min_od.csv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10分钟粒度OD出行客流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267,318,222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station_info.csv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站点信息（编号、名称、经纬度、邻接站）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weather_hourly.csv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小时级天气（气温、体感温度、降雨、风速）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2,952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workday_calendar.csv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日期工作日标记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123 条（含87个工作日）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其中站点进出站流量表以「日期+10分钟时段+站点」为主键，记录每个站点每 10 分钟的进站客流 inFlow 与出站客流 outFlow，并进一步区分通勤（HB）与非通勤（NHB）出行细分字段；OD 出行表记录起终点站对之间的 10 分钟客流 Flow，可用于出行距离与流向分析；站点信息表提供各站经纬度与邻接站点，支撑地理可视化；天气表与工作日日历表用于客流的影响因素分析。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数据质量方面，分工1 完成了完整清洗与校验：进出站表与 OD 表中不存在负流量记录，OD 表中同站进出（originStation 等于 destinationStation）的无效记录数为 0，时间范围完整覆盖 2017-05-01 至 2017-08-31 的每日运营时段，字段无缺失。后续所有统计、可视化与数据挖掘工作均基于该数据集展开。</w:t>
      </w:r>
    </w:p>
    <w:bookmarkEnd w:id="4"/>
    <w:p w14:paraId="2271325B">
      <w:pPr>
        <w:pStyle w:val="2"/>
      </w:pPr>
      <w:r>
        <w:rPr/>
        <w:t>4</w:t>
      </w:r>
      <w:r>
        <w:rPr>
          <w:rFonts w:hint="eastAsia"/>
        </w:rPr>
        <w:t xml:space="preserve"> </w:t>
      </w:r>
      <w:r>
        <w:rPr/>
        <w:t>需求分析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【待补充】系统需求分析、功能模块图与业务流程图，待全部成员成果齐备后于总装阶段统一撰写。</w:t>
      </w:r>
    </w:p>
    <w:p w14:paraId="090D550E">
      <w:pPr>
        <w:pStyle w:val="2"/>
        <w:rPr>
          <w:color w:val="FF0000"/>
        </w:rPr>
      </w:pPr>
      <w:r>
        <w:rPr/>
        <w:t>5</w:t>
      </w:r>
      <w:r>
        <w:rPr>
          <w:rFonts w:hint="eastAsia"/>
        </w:rPr>
        <w:t xml:space="preserve"> </w:t>
      </w:r>
      <w:r>
        <w:rPr/>
        <w:t>系统设计和实现</w:t>
      </w:r>
      <w:r>
        <w:rPr>
          <w:color w:val="FF0000"/>
        </w:rPr>
        <w:t>（包括数据处理过程、数据挖掘算法介绍等）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5.1 数据处理过程（分工1：潘忠琼）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数据处理遵循「原始数据→清洗→标准化→校验」的管线：首先搭建项目目录结构并从 Figshare 下载 MetroFlow 原始数据集，分类存放；随后参考官方项目处理管线，完成时间字段拼接与10 分钟粒度统一；再执行数据清洗，包括剔除同站进出的无效 OD 记录、过滤负流量异常、保留站点信息表内的有效站点、筛选每日 06:00—23:00 运营时段等；最后输出标准化中间数据集并做质量校验。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由于 OD 表原始体积约 12GB，处理采用 pandas 分块（chunk）方式流式读取，共处理原始 OD 记录约 2.67 亿条、进出站记录约 378.9 万条。清洗完成后使用 data_check.py 校验脚本进行质量核验：进出站表最小 inFlow、outFlow 均为 0，无负流量；OD 表抽样校验同站记录为 0、最小 Flow 为 1，时间范围为 2017-05-01 06:00 至 2017-08-31 22:50，数据完整可用。处理全过程记录于《数据预处理说明文档》与清洗运行日志。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5.2 K-Means 站点客流模式聚类（分工5：袁楚帘）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K-Means 是基于划分的无监督聚类算法：给定簇数 K，算法随机初始化 K 个簇中心，反复执行「样本按最近中心分配→按簇内均值更新中心」两步直至收敛，最终最小化簇内误差平方和 SSE。本任务将客流模式相近的地铁站归为一类，识别通勤、枢纽、休闲等功能类型。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特征工程上，以站点进出站流量表为输入，汇总出每个站点「工作日平均分时进/出站客流（17 小时×2）+ 周末平均分时进/出站客流（34 维）+ 日均总客流」共 69 维特征。考虑到枢纽站与郊区站客流规模相差百倍以上，先对流量做 log(1+x) 压缩再做 Z-score 标准化，使客流的时间模式与流量规模共同参与聚类。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聚类数 K 通过肘部法则（SSE 下降趋缓点）与轮廓系数（越大表示簇内越紧、簇间越分离）联合确定。在 K=3~8 范围内的搜索结果见表2 与图1：SSE 随 K 增大单调下降，K 大于 5 后下降明显趋缓；轮廓系数在 K=3 时最高（0.3734）。综合任务对 5 类站点类型的要求与肘部位置，最终取 K=5，对应轮廓系数 0.3070。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K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SSE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轮廓系数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6615.8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0.3734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4932.7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0.342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4028.1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0.307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3526.9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3129.4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2778.7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0.2978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肘部法则与轮廓系数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图1 肘部法则与轮廓系数确定最佳聚类数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聚类结果通过 PCA 降至二维可视化（图2），第一主成分解释方差 87%，主要对应客流规模，各簇沿主成分方向层次分明。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49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聚类散点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图2 K-Means聚类结果PCA降维散点图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5.3 ARIMA 短时客流预测（分工5：袁楚帘）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ARIMA(p,d,q) 是经典的时间序列预测模型，其中 d 为差分阶数（通过 ADF 单位根检验确定平稳性），p、q 分别为自回归与移动平均阶数，本文以 AIC 信息准则最小化进行网格定阶。考虑到地铁客流存在显著的日内早晚高峰周期，进一步引入季节项 SARIMA(p,d,q)×(P,D,Q,s)。夜间停运时段客流恒为 0，不参与建模，序列按每天 06:00—22:00 共 17 个运营小时拼接，因此周期长度 s=17。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从聚类结果中选取两类典型站点构建预测任务：综合枢纽站人民广场（People's Square）与通勤居住站莘庄（Xinzhuang）。两站均取小时级进站客流，前 116 天（1972 个观测）为训练集，最后 7 天（119 个观测）为样本外测试集，并以「上周同一时刻」作为朴素基线对比。ADF 检验显示两站原序列 p 值均小于 0.05，序列平稳，d=0；AIC 网格搜索确定的最终模型为 SARIMA(1, 0, 2)x(1, 1, 1, 17) 与 SARIMA(1, 0, 2)x(1, 1, 1, 17)。</w:t>
      </w:r>
    </w:p>
    <w:p w14:paraId="3B8AE378">
      <w:pPr>
        <w:pStyle w:val="2"/>
      </w:pPr>
      <w:r>
        <w:rPr/>
        <w:t>6</w:t>
      </w:r>
      <w:r>
        <w:rPr>
          <w:rFonts w:hint="eastAsia"/>
        </w:rPr>
        <w:t xml:space="preserve"> </w:t>
      </w:r>
      <w:r>
        <w:rPr/>
        <w:t>结果分析</w:t>
      </w:r>
      <w:r>
        <w:rPr>
          <w:rFonts w:hint="eastAsia"/>
          <w:color w:val="FF0000"/>
        </w:rPr>
        <w:t>（需详细介绍）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6.1 聚类结果分析（分工5）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K=5 时 302 个站点被划分为 5 种功能类型，各类站点数量与平均日均客流见表3。综合枢纽站 26 座（日均客流约 250,949 人次），包括人民广场、上海火车站、徐家汇、南京东路等城市级枢纽，其全天进出站客流均处于高位；就业办公站 75 座，工作日早高峰出站、晚高峰进站特征明显，典型如金科路（张江）、浦电路等；通勤居住站 98 座，呈「早进晚出」双峰形态，集中在外环居住组团；休闲商圈站 79 座，周末客流比例相对更高，包含迪士尼、中华艺术宫、源深体育中心等文旅体场馆站点；郊区低频站点 24 座，全天客流平缓且规模最小。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站点类型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平均日均总客流（人次）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综合枢纽站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250949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就业办公站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99200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通勤居住站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56029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休闲商圈站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29398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郊区低频站点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11067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图3 给出各类型站点的工作日平均分时客流画像：综合枢纽站双峰高耸且午间维持高位；通勤居住站与就业办公站的进出站曲线近似镜像，早晚高峰清晰对映；休闲商圈站下午至晚间客流抬升；郊区低频站全天低平。聚类画像与站点实际城市功能高度吻合，验证了「分时客流特征+K-Means」方案的有效性，可为线路规划、站点周边业态分析与运营排班提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各簇分时客流画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图3 各类型站点工作日平均分时客流画像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6.2 短时客流预测效果分析（分工5）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两座典型站点未来 7 天（119 个运营小时）的样本外预测误差见表4。以人民广场为例，季节 SARIMA 的平均绝对误差 MAE 为 1204.11 人次/小时，较不含周期项的普通 ARIMA（MAE 2185.26）下降约 45%；莘庄站结论一致（MAE 由 2027.49 降至 868.17）。这说明周期项对刻画地铁日内客流节律至关重要。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2185.26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8051755.0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2837.56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34.48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1204.11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3254313.4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1803.97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661.9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937080.5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968.03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2027.49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10912412.2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3303.39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79.66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868.17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2711239.1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1646.58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20.44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232.61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282474.5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531.48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6.38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图4 为预测对比曲线。普通 ARIMA 缺少周期项，多步预测后迅速收敛到序列均值附近，完全无法跟随早晚高峰；季节 SARIMA 的预测曲线与真实曲线峰形与相位基本同步，验证了 s=17 周期设定与 AIC 定阶的有效性。但 SARIMA 也存在明显不足：一是受线性模型均值回归特性影响，对高峰客流量的估计偏低；二是 s=17 仅刻画日内周期，未区分工作日与周末，导致周末出现虚高的通勤高峰预测。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值得注意的是，「上周同一时刻」朴素基线的误差指标优于两个模型（人民广场 MAE 661.9）。这一方面说明地铁周级客流具有极强的规律性，直接复制上周曲线已相当准确；另一方面，朴素基线只是历史值的原样平移，无法适应节假日、大型活动、天气突变等场景，而参数化模型可通过引入外生变量（SARIMAX）、区分工作日/周末子序列、缩短预测步长做滚动预测等方式持续改进。后续工作将沿上述方向提升模型实用价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5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客流预测对比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5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图4 典型站点未来7天进站客流预测对比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【待补充】6.3 客流时空统计分析（分工2）、空间地图可视化（分工3）、统计图表与出行模式可视化（分工4）的结果分析，待对应成员交付后并入本节。</w:t>
      </w:r>
    </w:p>
    <w:p w14:paraId="65E0086D">
      <w:pPr>
        <w:pStyle w:val="2"/>
      </w:pPr>
      <w:r>
        <w:rPr/>
        <w:t xml:space="preserve">7. </w:t>
      </w:r>
      <w:r>
        <w:rPr>
          <w:rFonts w:hint="eastAsia"/>
        </w:rPr>
        <w:t>AI辅助过程</w:t>
      </w:r>
      <w:r>
        <w:rPr/>
        <w:t xml:space="preserve"> 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【待补充】AI 辅助开发过程的提示词示例、生成内容与人工修改说明，由小组统一整理后填入；如内容较多可另附附件文档。</w:t>
      </w:r>
    </w:p>
    <w:p w14:paraId="097C9434">
      <w:pPr>
        <w:pStyle w:val="2"/>
      </w:pPr>
      <w:r>
        <w:rPr>
          <w:rFonts w:hint="eastAsia"/>
        </w:rPr>
        <w:t>8</w:t>
      </w:r>
      <w:r>
        <w:rPr/>
        <w:t xml:space="preserve"> </w:t>
      </w:r>
      <w:r>
        <w:rPr>
          <w:rFonts w:hint="eastAsia"/>
        </w:rPr>
        <w:t>总结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本项目以上海地铁 2017 年 5—8 月超过 7 亿条刷卡记录为对象，完成了「数据治理→统计分析→多维可视化→数据挖掘建模」的全流程实践：分工1 构建了 10 分钟粒度的标准化共享数据集；分工2—4 围绕客流时空规律完成了统计结论与可视化成果；分工5 在此基础上实现了 K-Means 站点聚类与 ARIMA 短时客流预测，并完成全部成果的整合交付。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项目的主要创新点：（1）站点聚类采用「工作日/周末×17 运营小时×进出站」的分时特征并引入 log1p 压缩，兼顾客流模式与规模，聚类出的 5 类站点与真实城市功能高度吻合；（2）针对地铁夜间停运的特点，将序列按每日 17 个运营小时拼接并令季节周期 s=17，使 SARIMA 有效捕捉早晚高峰节律；（3）用业务指标规则自动为抽象簇赋予可解释的中文类型标签，保证聚类结果可读、可核查。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项目仍存在不足：聚类轮廓系数中等（0.31），说明站点客流模式存在连续过渡，硬聚类边界有一定主观性；预测模型为线性时间序列模型，未纳入天气、节假日、大型活动等外生变量，对突发客流适应性有限；OD 表仅用于清洗与统计，尚未开展路径级别的网络分析。后续可尝试 SARIMAX/XGBoost/LSTM 等引入外生变量的模型、结合站点经纬度做时空联合聚类，并利用 OD 数据进行客流分配与网络韧性分析。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607E72"/>
    <w:multiLevelType w:val="multilevel"/>
    <w:tmpl w:val="77607E72"/>
    <w:lvl w:ilvl="0" w:tentative="0">
      <w:start w:val="1"/>
      <w:numFmt w:val="decimal"/>
      <w:lvlText w:val="%1)"/>
      <w:lvlJc w:val="left"/>
      <w:pPr>
        <w:ind w:left="2100" w:hanging="420"/>
      </w:pPr>
    </w:lvl>
    <w:lvl w:ilvl="1" w:tentative="0">
      <w:start w:val="1"/>
      <w:numFmt w:val="lowerLetter"/>
      <w:lvlText w:val="%2)"/>
      <w:lvlJc w:val="left"/>
      <w:pPr>
        <w:ind w:left="2520" w:hanging="420"/>
      </w:pPr>
    </w:lvl>
    <w:lvl w:ilvl="2" w:tentative="0">
      <w:start w:val="1"/>
      <w:numFmt w:val="lowerRoman"/>
      <w:lvlText w:val="%3."/>
      <w:lvlJc w:val="right"/>
      <w:pPr>
        <w:ind w:left="2940" w:hanging="420"/>
      </w:pPr>
    </w:lvl>
    <w:lvl w:ilvl="3" w:tentative="0">
      <w:start w:val="1"/>
      <w:numFmt w:val="decimal"/>
      <w:lvlText w:val="%4."/>
      <w:lvlJc w:val="left"/>
      <w:pPr>
        <w:ind w:left="3360" w:hanging="420"/>
      </w:pPr>
    </w:lvl>
    <w:lvl w:ilvl="4" w:tentative="0">
      <w:start w:val="1"/>
      <w:numFmt w:val="lowerLetter"/>
      <w:lvlText w:val="%5)"/>
      <w:lvlJc w:val="left"/>
      <w:pPr>
        <w:ind w:left="3780" w:hanging="420"/>
      </w:pPr>
    </w:lvl>
    <w:lvl w:ilvl="5" w:tentative="0">
      <w:start w:val="1"/>
      <w:numFmt w:val="lowerRoman"/>
      <w:lvlText w:val="%6."/>
      <w:lvlJc w:val="right"/>
      <w:pPr>
        <w:ind w:left="4200" w:hanging="420"/>
      </w:pPr>
    </w:lvl>
    <w:lvl w:ilvl="6" w:tentative="0">
      <w:start w:val="1"/>
      <w:numFmt w:val="decimal"/>
      <w:lvlText w:val="%7."/>
      <w:lvlJc w:val="left"/>
      <w:pPr>
        <w:ind w:left="4620" w:hanging="420"/>
      </w:pPr>
    </w:lvl>
    <w:lvl w:ilvl="7" w:tentative="0">
      <w:start w:val="1"/>
      <w:numFmt w:val="lowerLetter"/>
      <w:lvlText w:val="%8)"/>
      <w:lvlJc w:val="left"/>
      <w:pPr>
        <w:ind w:left="5040" w:hanging="420"/>
      </w:pPr>
    </w:lvl>
    <w:lvl w:ilvl="8" w:tentative="0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3736EB"/>
    <w:rsid w:val="7A55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3"/>
    <w:next w:val="1"/>
    <w:qFormat/>
    <w:uiPriority w:val="9"/>
    <w:pPr>
      <w:outlineLvl w:val="0"/>
    </w:pPr>
    <w:rPr>
      <w:rFonts w:eastAsia="黑体" w:cs="Times New Roman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outlineLvl w:val="1"/>
    </w:pPr>
    <w:rPr>
      <w:rFonts w:cstheme="majorBidi"/>
      <w:b/>
      <w:bCs/>
      <w:sz w:val="24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spacing w:line="360" w:lineRule="auto"/>
      <w:ind w:firstLine="420" w:firstLineChars="200"/>
    </w:pPr>
    <w:rPr>
      <w:rFonts w:cs="Times New Roman"/>
      <w:sz w:val="24"/>
      <w:szCs w:val="24"/>
    </w:rPr>
  </w:style>
  <w:style w:type="paragraph" w:styleId="5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817</Words>
  <Characters>927</Characters>
  <Lines>0</Lines>
  <Paragraphs>0</Paragraphs>
  <TotalTime>5</TotalTime>
  <ScaleCrop>false</ScaleCrop>
  <LinksUpToDate>false</LinksUpToDate>
  <CharactersWithSpaces>957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2026-09-03T02:00:00Z</dcterms:created>
  <dc:creator>32638</dc:creator>
  <cp:lastModifiedBy>WPS_1756266464</cp:lastModifiedBy>
  <dcterms:modified xsi:type="dcterms:W3CDTF">2026-09-03T02:20:33Z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eyJoZGlkIjoiN2Y3YjBhOTFhMDc5OGEwNzIwZjJmMTdiN2FkYTFiZTciLCJ1c2VySWQiOiIxNzMyNzEwMzQ0In0=</vt:lpwstr>
  </property>
  <property fmtid="{D5CDD505-2E9C-101B-9397-08002B2CF9AE}" pid="4" name="ICV">
    <vt:lpwstr>15893A9E054B4A05AF8082CCEBB18555_12</vt:lpwstr>
  </property>
</Properties>
</file>