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F557B0">
      <w:pPr>
        <w:jc w:val="center"/>
        <w:rPr>
          <w:rFonts w:eastAsia="华文行楷" w:cs="Times New Roman"/>
          <w:sz w:val="72"/>
          <w:szCs w:val="72"/>
        </w:rPr>
      </w:pPr>
      <w:r>
        <w:rPr>
          <w:rFonts w:eastAsia="华文行楷" w:cs="Times New Roman"/>
          <w:sz w:val="72"/>
          <w:szCs w:val="72"/>
        </w:rPr>
        <w:t>杭州电子科技大学</w:t>
      </w:r>
    </w:p>
    <w:p w14:paraId="6731CD48">
      <w:pPr>
        <w:jc w:val="center"/>
        <w:rPr>
          <w:rFonts w:eastAsia="华文行楷" w:cs="Times New Roman"/>
          <w:sz w:val="56"/>
          <w:szCs w:val="72"/>
        </w:rPr>
      </w:pPr>
      <w:r>
        <w:rPr>
          <w:rFonts w:eastAsia="华文行楷" w:cs="Times New Roman"/>
          <w:sz w:val="56"/>
          <w:szCs w:val="72"/>
        </w:rPr>
        <w:t>Hangzhou Dianzi University</w:t>
      </w:r>
    </w:p>
    <w:p w14:paraId="7E86955E">
      <w:pPr>
        <w:jc w:val="center"/>
        <w:rPr>
          <w:rFonts w:eastAsia="华文行楷" w:cs="Times New Roman"/>
          <w:sz w:val="56"/>
          <w:szCs w:val="72"/>
        </w:rPr>
      </w:pPr>
    </w:p>
    <w:p w14:paraId="00A701F5">
      <w:pPr>
        <w:jc w:val="center"/>
        <w:rPr>
          <w:rFonts w:eastAsia="华文行楷" w:cs="Times New Roman"/>
          <w:sz w:val="72"/>
          <w:szCs w:val="72"/>
        </w:rPr>
      </w:pPr>
      <w:r>
        <w:rPr>
          <w:rFonts w:eastAsia="华文行楷" w:cs="Times New Roman"/>
          <w:sz w:val="72"/>
          <w:szCs w:val="72"/>
        </w:rPr>
        <w:t>《软件开发实践1》</w:t>
      </w:r>
    </w:p>
    <w:p w14:paraId="36032B0E">
      <w:pPr>
        <w:jc w:val="center"/>
        <w:rPr>
          <w:rFonts w:eastAsia="华文行楷" w:cs="Times New Roman"/>
          <w:sz w:val="72"/>
          <w:szCs w:val="72"/>
        </w:rPr>
      </w:pPr>
      <w:r>
        <w:rPr>
          <w:rFonts w:eastAsia="华文行楷" w:cs="Times New Roman"/>
          <w:sz w:val="72"/>
          <w:szCs w:val="72"/>
        </w:rPr>
        <w:t>大作业报告</w:t>
      </w:r>
    </w:p>
    <w:p w14:paraId="32978749">
      <w:pPr>
        <w:jc w:val="center"/>
        <w:rPr>
          <w:rFonts w:cs="Times New Roman"/>
          <w:sz w:val="28"/>
        </w:rPr>
      </w:pPr>
    </w:p>
    <w:p w14:paraId="7A2DD521">
      <w:pPr>
        <w:ind w:firstLine="840" w:firstLineChars="300"/>
        <w:jc w:val="left"/>
        <w:rPr>
          <w:rFonts w:cs="Times New Roman"/>
          <w:sz w:val="28"/>
        </w:rPr>
      </w:pPr>
      <w:r>
        <w:rPr>
          <w:rFonts w:cs="Times New Roman"/>
          <w:sz w:val="28"/>
        </w:rPr>
      </w:r>
      <w:r>
        <w:rPr>
          <w:rFonts w:ascii="Times New Roman" w:hAnsi="Times New Roman" w:eastAsia="宋体"/>
          <w:b/>
          <w:sz w:val="24"/>
        </w:rPr>
        <w:t>项目名称：上海地铁数据分析及可视化</w:t>
      </w:r>
    </w:p>
    <w:p w14:paraId="0AB15475">
      <w:pPr>
        <w:ind w:firstLine="840" w:firstLineChars="300"/>
        <w:rPr>
          <w:rFonts w:cs="Times New Roman"/>
          <w:sz w:val="28"/>
        </w:rPr>
      </w:pPr>
      <w:r>
        <w:rPr>
          <w:rFonts w:cs="Times New Roman"/>
          <w:sz w:val="28"/>
        </w:rPr>
        <w:t>团队成员：</w:t>
      </w:r>
      <w:bookmarkStart w:id="0" w:name="OLE_LINK1"/>
      <w:bookmarkStart w:id="1" w:name="OLE_LINK2"/>
      <w:r>
        <w:rPr>
          <w:rFonts w:hint="eastAsia" w:cs="Times New Roman"/>
          <w:sz w:val="28"/>
          <w:lang w:val="en-US" w:eastAsia="zh-CN"/>
        </w:rPr>
        <w:t>25050302</w:t>
      </w:r>
      <w:r>
        <w:rPr>
          <w:rFonts w:cs="Times New Roman"/>
          <w:sz w:val="28"/>
        </w:rPr>
        <w:t xml:space="preserve"> </w:t>
      </w:r>
      <w:bookmarkEnd w:id="0"/>
      <w:bookmarkEnd w:id="1"/>
      <w:r>
        <w:rPr>
          <w:rFonts w:hint="eastAsia" w:cs="Times New Roman"/>
          <w:sz w:val="28"/>
          <w:lang w:val="en-US" w:eastAsia="zh-CN"/>
        </w:rPr>
        <w:t>吕可珊</w:t>
      </w:r>
    </w:p>
    <w:p w14:paraId="0476244E">
      <w:pPr>
        <w:ind w:firstLine="840" w:firstLineChars="300"/>
        <w:rPr>
          <w:rFonts w:cs="Times New Roman"/>
          <w:sz w:val="28"/>
        </w:rPr>
      </w:pPr>
      <w:r>
        <w:rPr>
          <w:rFonts w:cs="Times New Roman"/>
          <w:sz w:val="28"/>
        </w:rPr>
        <w:t xml:space="preserve">          </w:t>
      </w:r>
      <w:r>
        <w:rPr>
          <w:rFonts w:hint="eastAsia" w:cs="Times New Roman"/>
          <w:sz w:val="28"/>
          <w:lang w:val="en-US" w:eastAsia="zh-CN"/>
        </w:rPr>
        <w:t>25050301</w:t>
      </w:r>
      <w:r>
        <w:rPr>
          <w:rFonts w:cs="Times New Roman"/>
          <w:sz w:val="28"/>
        </w:rPr>
        <w:t xml:space="preserve"> </w:t>
      </w:r>
      <w:r>
        <w:rPr>
          <w:rFonts w:hint="eastAsia" w:cs="Times New Roman"/>
          <w:sz w:val="28"/>
          <w:lang w:val="en-US" w:eastAsia="zh-CN"/>
        </w:rPr>
        <w:t>李嫣</w:t>
      </w:r>
    </w:p>
    <w:p w14:paraId="0ACEA6D9">
      <w:pPr>
        <w:ind w:firstLine="2240" w:firstLineChars="800"/>
        <w:rPr>
          <w:rFonts w:hint="eastAsia" w:cs="Times New Roman"/>
          <w:sz w:val="28"/>
          <w:lang w:val="en-US" w:eastAsia="zh-CN"/>
        </w:rPr>
      </w:pPr>
      <w:r>
        <w:rPr>
          <w:rFonts w:hint="eastAsia" w:cs="Times New Roman"/>
          <w:sz w:val="28"/>
          <w:lang w:val="en-US" w:eastAsia="zh-CN"/>
        </w:rPr>
        <w:t>25050306</w:t>
      </w:r>
      <w:r>
        <w:rPr>
          <w:rFonts w:cs="Times New Roman"/>
          <w:sz w:val="28"/>
        </w:rPr>
        <w:t xml:space="preserve"> </w:t>
      </w:r>
      <w:r>
        <w:rPr>
          <w:rFonts w:hint="eastAsia" w:cs="Times New Roman"/>
          <w:sz w:val="28"/>
          <w:lang w:val="en-US" w:eastAsia="zh-CN"/>
        </w:rPr>
        <w:t>袁楚帘</w:t>
      </w:r>
    </w:p>
    <w:p w14:paraId="14C343A6">
      <w:pPr>
        <w:ind w:firstLine="2240" w:firstLineChars="800"/>
        <w:rPr>
          <w:rFonts w:hint="default" w:cs="Times New Roman"/>
          <w:sz w:val="28"/>
          <w:lang w:val="en-US" w:eastAsia="zh-CN"/>
        </w:rPr>
      </w:pPr>
      <w:r>
        <w:rPr>
          <w:rFonts w:hint="eastAsia" w:cs="Times New Roman"/>
          <w:sz w:val="28"/>
          <w:lang w:val="en-US" w:eastAsia="zh-CN"/>
        </w:rPr>
        <w:t>25050401 潘忠琼</w:t>
      </w:r>
    </w:p>
    <w:p w14:paraId="4F2461E1">
      <w:pPr>
        <w:ind w:firstLine="2240" w:firstLineChars="800"/>
        <w:rPr>
          <w:rFonts w:hint="default" w:cs="Times New Roman"/>
          <w:sz w:val="28"/>
          <w:lang w:val="en-US" w:eastAsia="zh-CN"/>
        </w:rPr>
      </w:pPr>
      <w:r>
        <w:rPr>
          <w:rFonts w:hint="eastAsia" w:cs="Times New Roman"/>
          <w:sz w:val="28"/>
          <w:lang w:val="en-US" w:eastAsia="zh-CN"/>
        </w:rPr>
        <w:t>25050402 胡颖</w:t>
      </w:r>
    </w:p>
    <w:p w14:paraId="173A0B21">
      <w:pPr>
        <w:ind w:firstLine="840" w:firstLineChars="300"/>
        <w:rPr>
          <w:rFonts w:cs="Times New Roman"/>
          <w:sz w:val="28"/>
        </w:rPr>
      </w:pPr>
      <w:r>
        <w:rPr>
          <w:rFonts w:cs="Times New Roman"/>
          <w:sz w:val="28"/>
        </w:rPr>
        <w:t>完成时间：2026年9月</w:t>
      </w:r>
    </w:p>
    <w:p w14:paraId="422E38D3">
      <w:pPr>
        <w:ind w:firstLine="2240" w:firstLineChars="800"/>
        <w:rPr>
          <w:rFonts w:cs="Times New Roman"/>
          <w:sz w:val="28"/>
        </w:rPr>
      </w:pPr>
    </w:p>
    <w:p w14:paraId="51929E23">
      <w:pPr>
        <w:jc w:val="center"/>
        <w:rPr>
          <w:rFonts w:cs="Times New Roman"/>
          <w:sz w:val="28"/>
        </w:rPr>
      </w:pPr>
    </w:p>
    <w:p w14:paraId="627699C5">
      <w:pPr>
        <w:jc w:val="center"/>
        <w:rPr>
          <w:rFonts w:cs="Times New Roman"/>
          <w:sz w:val="28"/>
        </w:rPr>
        <w:sectPr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226B0522">
      <w:pPr>
        <w:pStyle w:val="3"/>
        <w:jc w:val="center"/>
        <w:rPr>
          <w:rFonts w:cs="Times New Roman"/>
        </w:rPr>
      </w:pPr>
      <w:r>
        <w:rPr>
          <w:rFonts w:hint="eastAsia" w:ascii="黑体" w:hAnsi="黑体" w:eastAsia="黑体" w:cs="黑体"/>
          <w:sz w:val="32"/>
          <w:szCs w:val="32"/>
        </w:rPr>
        <w:t>上海地铁数据分析及可视化</w:t>
      </w:r>
    </w:p>
    <w:p w14:paraId="3A0336EB">
      <w:pPr>
        <w:spacing w:line="400" w:lineRule="exact"/>
        <w:ind w:left="420"/>
        <w:rPr>
          <w:rFonts w:cs="Times New Roman"/>
          <w:color w:val="5B9BD5"/>
          <w:szCs w:val="21"/>
        </w:rPr>
      </w:pPr>
    </w:p>
    <w:p w14:paraId="66CBEA20">
      <w:pPr>
        <w:pStyle w:val="2"/>
      </w:pPr>
      <w:r>
        <w:rPr>
          <w:rFonts w:hint="eastAsia"/>
        </w:rPr>
        <w:t>1 团队成员</w:t>
      </w:r>
      <w:r>
        <w:t>组成及分工</w:t>
      </w: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6"/>
        <w:gridCol w:w="1418"/>
        <w:gridCol w:w="2551"/>
        <w:gridCol w:w="1701"/>
      </w:tblGrid>
      <w:tr w14:paraId="7B492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336" w:type="dxa"/>
            <w:vAlign w:val="center"/>
          </w:tcPr>
          <w:p w14:paraId="37E1AF2F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学号</w:t>
            </w:r>
          </w:p>
        </w:tc>
        <w:tc>
          <w:tcPr>
            <w:tcW w:w="1418" w:type="dxa"/>
            <w:vAlign w:val="center"/>
          </w:tcPr>
          <w:p w14:paraId="680A6494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cs="Times New Roman"/>
                <w:b/>
                <w:sz w:val="24"/>
                <w:szCs w:val="24"/>
              </w:rPr>
              <w:t>姓名</w:t>
            </w:r>
          </w:p>
        </w:tc>
        <w:tc>
          <w:tcPr>
            <w:tcW w:w="2551" w:type="dxa"/>
            <w:vAlign w:val="center"/>
          </w:tcPr>
          <w:p w14:paraId="71C17F0B">
            <w:pPr>
              <w:pStyle w:val="4"/>
              <w:ind w:firstLine="0" w:firstLineChars="0"/>
              <w:jc w:val="center"/>
              <w:rPr>
                <w:b/>
              </w:rPr>
            </w:pPr>
            <w:r>
              <w:rPr>
                <w:b/>
              </w:rPr>
              <w:t>详细任务分工</w:t>
            </w:r>
          </w:p>
        </w:tc>
        <w:tc>
          <w:tcPr>
            <w:tcW w:w="1701" w:type="dxa"/>
            <w:vAlign w:val="center"/>
          </w:tcPr>
          <w:p w14:paraId="2733BDD0">
            <w:pPr>
              <w:pStyle w:val="4"/>
              <w:ind w:firstLine="0" w:firstLineChars="0"/>
              <w:jc w:val="center"/>
              <w:rPr>
                <w:b/>
              </w:rPr>
            </w:pPr>
            <w:r>
              <w:rPr>
                <w:b/>
              </w:rPr>
              <w:t>工作量占比</w:t>
            </w:r>
          </w:p>
        </w:tc>
      </w:tr>
      <w:tr w14:paraId="41A54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717" w:hRule="atLeast"/>
          <w:jc w:val="center"/>
        </w:trPr>
        <w:tc>
          <w:tcPr>
            <w:tcW w:w="1336" w:type="dxa"/>
            <w:vAlign w:val="center"/>
          </w:tcPr>
          <w:p w14:paraId="415FCCAB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25050401</w:t>
            </w:r>
          </w:p>
        </w:tc>
        <w:tc>
          <w:tcPr>
            <w:tcW w:w="1418" w:type="dxa"/>
            <w:vAlign w:val="center"/>
          </w:tcPr>
          <w:p w14:paraId="133B868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潘忠琼</w:t>
            </w:r>
          </w:p>
        </w:tc>
        <w:tc>
          <w:tcPr>
            <w:tcW w:w="2551" w:type="dxa"/>
            <w:vAlign w:val="center"/>
          </w:tcPr>
          <w:p w14:paraId="6DA4AAAD">
            <w:pPr>
              <w:pStyle w:val="4"/>
              <w:ind w:firstLine="0" w:firstLineChars="0"/>
              <w:jc w:val="both"/>
            </w:pPr>
            <w:r>
              <w:rPr>
                <w:rFonts w:hint="eastAsia" w:ascii="Arial" w:hAnsi="Arial" w:eastAsia="等线" w:cs="Arial"/>
                <w:sz w:val="22"/>
                <w:lang w:val="en-US" w:eastAsia="zh-CN"/>
              </w:rPr>
              <w:t>负</w:t>
            </w:r>
            <w:r>
              <w:rPr>
                <w:rFonts w:ascii="Arial" w:hAnsi="Arial" w:eastAsia="等线" w:cs="Arial"/>
                <w:sz w:val="22"/>
              </w:rPr>
              <w:t>责全量原始数据的清洗、处理，输出标准化的共享分析数据集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6134B38B">
            <w:pPr>
              <w:pStyle w:val="4"/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20%</w:t>
            </w:r>
          </w:p>
        </w:tc>
      </w:tr>
      <w:tr w14:paraId="733A5C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6" w:type="dxa"/>
            <w:vAlign w:val="center"/>
          </w:tcPr>
          <w:p w14:paraId="7CD704E8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25050402</w:t>
            </w:r>
          </w:p>
        </w:tc>
        <w:tc>
          <w:tcPr>
            <w:tcW w:w="1418" w:type="dxa"/>
            <w:vAlign w:val="center"/>
          </w:tcPr>
          <w:p w14:paraId="5FE43DA7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胡颖</w:t>
            </w:r>
          </w:p>
        </w:tc>
        <w:tc>
          <w:tcPr>
            <w:tcW w:w="2551" w:type="dxa"/>
            <w:vAlign w:val="center"/>
          </w:tcPr>
          <w:p w14:paraId="521E15CB">
            <w:pPr>
              <w:pStyle w:val="4"/>
              <w:ind w:firstLine="0" w:firstLineChars="0"/>
              <w:jc w:val="both"/>
            </w:pPr>
            <w:r>
              <w:rPr>
                <w:rFonts w:ascii="Arial" w:hAnsi="Arial" w:eastAsia="等线" w:cs="Arial"/>
                <w:sz w:val="22"/>
              </w:rPr>
              <w:t>基于清洗后的数据集，完成全维度描述性统计，提炼客流时空分布规律。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6736FCB0">
            <w:pPr>
              <w:pStyle w:val="4"/>
              <w:ind w:firstLine="0" w:firstLineChars="0"/>
              <w:jc w:val="center"/>
            </w:pPr>
            <w:r>
              <w:rPr>
                <w:rFonts w:hint="eastAsia"/>
                <w:lang w:val="en-US" w:eastAsia="zh-CN"/>
              </w:rPr>
              <w:t>20%</w:t>
            </w:r>
          </w:p>
        </w:tc>
      </w:tr>
      <w:tr w14:paraId="17F6DE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11" w:hRule="atLeast"/>
          <w:jc w:val="center"/>
        </w:trPr>
        <w:tc>
          <w:tcPr>
            <w:tcW w:w="1336" w:type="dxa"/>
            <w:vAlign w:val="center"/>
          </w:tcPr>
          <w:p w14:paraId="20F75859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25050302</w:t>
            </w:r>
          </w:p>
        </w:tc>
        <w:tc>
          <w:tcPr>
            <w:tcW w:w="1418" w:type="dxa"/>
            <w:vAlign w:val="center"/>
          </w:tcPr>
          <w:p w14:paraId="4C051716">
            <w:pPr>
              <w:jc w:val="center"/>
              <w:rPr>
                <w:rFonts w:cs="Times New Roman"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吕可珊</w:t>
            </w:r>
          </w:p>
        </w:tc>
        <w:tc>
          <w:tcPr>
            <w:tcW w:w="2551" w:type="dxa"/>
            <w:vAlign w:val="center"/>
          </w:tcPr>
          <w:p w14:paraId="7A538F24">
            <w:pPr>
              <w:pStyle w:val="4"/>
              <w:ind w:firstLine="0" w:firstLineChars="0"/>
              <w:jc w:val="both"/>
            </w:pPr>
            <w:r>
              <w:rPr>
                <w:rFonts w:ascii="Arial" w:hAnsi="Arial" w:eastAsia="等线" w:cs="Arial"/>
                <w:sz w:val="22"/>
              </w:rPr>
              <w:t>基于地理信息实现地铁网络的空间可视化，直观呈现客流的地理分布特征。</w:t>
            </w:r>
          </w:p>
        </w:tc>
        <w:tc>
          <w:tcPr>
            <w:tcW w:w="1701" w:type="dxa"/>
            <w:vAlign w:val="center"/>
          </w:tcPr>
          <w:p w14:paraId="72A74459">
            <w:pPr>
              <w:pStyle w:val="4"/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20%</w:t>
            </w:r>
          </w:p>
        </w:tc>
      </w:tr>
      <w:tr w14:paraId="1DBDC0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6" w:type="dxa"/>
            <w:vAlign w:val="center"/>
          </w:tcPr>
          <w:p w14:paraId="74C028D4">
            <w:pPr>
              <w:jc w:val="center"/>
              <w:rPr>
                <w:rFonts w:cs="Times New Roman"/>
                <w:b/>
                <w:sz w:val="24"/>
                <w:szCs w:val="24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25050301</w:t>
            </w:r>
          </w:p>
        </w:tc>
        <w:tc>
          <w:tcPr>
            <w:tcW w:w="1418" w:type="dxa"/>
            <w:vAlign w:val="center"/>
          </w:tcPr>
          <w:p w14:paraId="0AEB4B6C">
            <w:pPr>
              <w:jc w:val="center"/>
              <w:rPr>
                <w:rFonts w:hint="eastAsia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李嫣</w:t>
            </w:r>
          </w:p>
        </w:tc>
        <w:tc>
          <w:tcPr>
            <w:tcW w:w="2551" w:type="dxa"/>
            <w:vAlign w:val="center"/>
          </w:tcPr>
          <w:p w14:paraId="7FB93231">
            <w:pPr>
              <w:pStyle w:val="4"/>
              <w:ind w:firstLine="0" w:firstLineChars="0"/>
              <w:jc w:val="both"/>
            </w:pPr>
            <w:r>
              <w:rPr>
                <w:rFonts w:ascii="Arial" w:hAnsi="Arial" w:eastAsia="等线" w:cs="Arial"/>
                <w:sz w:val="22"/>
              </w:rPr>
              <w:t>将统计分析结果转化为规范图表，具象化乘客出行模式，统一全项目视觉风格。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7EC77855">
            <w:pPr>
              <w:pStyle w:val="4"/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20%</w:t>
            </w:r>
          </w:p>
        </w:tc>
      </w:tr>
      <w:tr w14:paraId="1AF48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36" w:type="dxa"/>
            <w:shd w:val="clear"/>
            <w:vAlign w:val="center"/>
          </w:tcPr>
          <w:p w14:paraId="1391D71E">
            <w:pPr>
              <w:jc w:val="center"/>
              <w:rPr>
                <w:rFonts w:hint="default" w:ascii="Times New Roman" w:hAnsi="Times New Roman" w:eastAsia="宋体" w:cs="Times New Roman"/>
                <w:b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/>
                <w:sz w:val="28"/>
                <w:lang w:val="en-US" w:eastAsia="zh-CN"/>
              </w:rPr>
              <w:t>25050306</w:t>
            </w:r>
          </w:p>
        </w:tc>
        <w:tc>
          <w:tcPr>
            <w:tcW w:w="1418" w:type="dxa"/>
            <w:vAlign w:val="center"/>
          </w:tcPr>
          <w:p w14:paraId="5CF65C35">
            <w:pPr>
              <w:jc w:val="center"/>
              <w:rPr>
                <w:rFonts w:hint="eastAsia" w:eastAsia="宋体" w:cs="Times New Roman"/>
                <w:sz w:val="24"/>
                <w:szCs w:val="24"/>
                <w:lang w:val="en-US" w:eastAsia="zh-CN"/>
              </w:rPr>
            </w:pPr>
            <w:r>
              <w:rPr>
                <w:rFonts w:hint="eastAsia" w:cs="Times New Roman"/>
                <w:sz w:val="24"/>
                <w:szCs w:val="24"/>
                <w:lang w:val="en-US" w:eastAsia="zh-CN"/>
              </w:rPr>
              <w:t>袁楚帘</w:t>
            </w:r>
          </w:p>
        </w:tc>
        <w:tc>
          <w:tcPr>
            <w:tcW w:w="2551" w:type="dxa"/>
            <w:vAlign w:val="center"/>
          </w:tcPr>
          <w:p w14:paraId="723C53F0">
            <w:pPr>
              <w:pStyle w:val="4"/>
              <w:ind w:firstLine="0" w:firstLineChars="0"/>
              <w:jc w:val="both"/>
            </w:pPr>
            <w:r>
              <w:rPr>
                <w:rFonts w:ascii="Arial" w:hAnsi="Arial" w:eastAsia="等线" w:cs="Arial"/>
                <w:sz w:val="22"/>
              </w:rPr>
              <w:t>完成进阶数据挖掘分析，统筹整合所有成员的成果，输出最终完整交付物。</w:t>
            </w:r>
            <w:r>
              <w:rPr>
                <w:rFonts w:ascii="Arial" w:hAnsi="Arial" w:eastAsia="等线" w:cs="Arial"/>
                <w:sz w:val="22"/>
              </w:rPr>
              <w:br w:type="textWrapping"/>
            </w:r>
          </w:p>
        </w:tc>
        <w:tc>
          <w:tcPr>
            <w:tcW w:w="1701" w:type="dxa"/>
            <w:vAlign w:val="center"/>
          </w:tcPr>
          <w:p w14:paraId="0F6D139A">
            <w:pPr>
              <w:pStyle w:val="4"/>
              <w:ind w:firstLine="0" w:firstLineChars="0"/>
              <w:jc w:val="center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20%</w:t>
            </w:r>
          </w:p>
        </w:tc>
      </w:tr>
    </w:tbl>
    <w:p w14:paraId="614B3D8F">
      <w:pPr>
        <w:rPr>
          <w:rFonts w:cs="Times New Roman"/>
        </w:rPr>
      </w:pPr>
    </w:p>
    <w:p w14:paraId="6C431DFB">
      <w:pPr>
        <w:pStyle w:val="2"/>
      </w:pPr>
      <w:r>
        <w:t>2</w:t>
      </w:r>
      <w:r>
        <w:rPr>
          <w:rFonts w:hint="eastAsia"/>
        </w:rPr>
        <w:t xml:space="preserve"> </w:t>
      </w:r>
      <w:r>
        <w:t>项目开发环境</w:t>
      </w:r>
    </w:p>
    <w:p w14:paraId="4E1C034E">
      <w:pPr>
        <w:spacing w:line="400" w:lineRule="exact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本项目的开发及运行环境要求：</w:t>
      </w:r>
    </w:p>
    <w:p w14:paraId="57DCDF70">
      <w:pPr>
        <w:spacing w:line="400" w:lineRule="exact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>开发工具：</w:t>
      </w:r>
      <w:r>
        <w:rPr>
          <w:rFonts w:hint="default" w:ascii="Times New Roman" w:hAnsi="Times New Roman" w:eastAsia="宋体" w:cs="Times New Roman"/>
          <w:sz w:val="24"/>
          <w:szCs w:val="24"/>
        </w:rPr>
        <w:t>Jupyter Notebook</w:t>
      </w:r>
      <w:r>
        <w:rPr>
          <w:rFonts w:ascii="宋体" w:hAnsi="宋体" w:eastAsia="宋体" w:cs="宋体"/>
          <w:sz w:val="24"/>
          <w:szCs w:val="24"/>
        </w:rPr>
        <w:t>、</w:t>
      </w:r>
      <w:r>
        <w:rPr>
          <w:rFonts w:hint="default" w:ascii="Times New Roman" w:hAnsi="Times New Roman" w:eastAsia="宋体" w:cs="Times New Roman"/>
          <w:sz w:val="24"/>
          <w:szCs w:val="24"/>
        </w:rPr>
        <w:t>PyCharm Community Edition</w:t>
      </w:r>
    </w:p>
    <w:p w14:paraId="514DA514">
      <w:pPr>
        <w:spacing w:line="400" w:lineRule="exact"/>
        <w:rPr>
          <w:rFonts w:hint="default" w:eastAsia="宋体" w:cs="Times New Roman"/>
          <w:sz w:val="24"/>
          <w:szCs w:val="24"/>
          <w:lang w:val="en-US" w:eastAsia="zh-CN"/>
        </w:rPr>
      </w:pPr>
      <w:r>
        <w:rPr>
          <w:rFonts w:cs="Times New Roman"/>
          <w:sz w:val="24"/>
          <w:szCs w:val="24"/>
        </w:rPr>
      </w:r>
      <w:r>
        <w:rPr>
          <w:rFonts w:hint="eastAsia" w:cs="Times New Roman"/>
          <w:sz w:val="24"/>
          <w:szCs w:val="24"/>
          <w:lang w:val="en-US" w:eastAsia="zh-CN"/>
        </w:rPr>
      </w:r>
      <w:r>
        <w:rPr>
          <w:rFonts w:ascii="Times New Roman" w:hAnsi="Times New Roman" w:eastAsia="宋体"/>
          <w:b w:val="0"/>
          <w:sz w:val="24"/>
        </w:rPr>
        <w:t>开发语言：Python 3.12</w:t>
      </w:r>
    </w:p>
    <w:p w14:paraId="0BBDC8F2">
      <w:pPr>
        <w:spacing w:line="400" w:lineRule="exact"/>
        <w:rPr>
          <w:rFonts w:hint="default" w:ascii="Times New Roman" w:hAnsi="Times New Roman" w:eastAsia="宋体" w:cs="Times New Roman"/>
          <w:sz w:val="24"/>
          <w:szCs w:val="24"/>
        </w:rPr>
      </w:pPr>
      <w:r>
        <w:rPr>
          <w:rFonts w:cs="Times New Roman"/>
          <w:bCs/>
          <w:sz w:val="24"/>
          <w:szCs w:val="24"/>
        </w:rPr>
        <w:t>主要开发库</w:t>
      </w:r>
      <w:r>
        <w:rPr>
          <w:rFonts w:cs="Times New Roman"/>
          <w:sz w:val="24"/>
          <w:szCs w:val="24"/>
        </w:rPr>
        <w:t>：</w:t>
      </w:r>
      <w:r>
        <w:rPr>
          <w:rFonts w:hint="default" w:ascii="Times New Roman" w:hAnsi="Times New Roman" w:eastAsia="宋体" w:cs="Times New Roman"/>
          <w:sz w:val="24"/>
          <w:szCs w:val="24"/>
        </w:rPr>
        <w:t>pandas、numpy、matplotlib、pyecharts、scikit</w:t>
      </w:r>
      <w:r>
        <w:rPr>
          <w:rFonts w:hint="default" w:ascii="Times New Roman" w:hAnsi="Times New Roman" w:eastAsia="宋体" w:cs="Times New Roman"/>
          <w:sz w:val="24"/>
          <w:szCs w:val="24"/>
        </w:rPr>
        <w:noBreakHyphen/>
      </w:r>
      <w:r>
        <w:rPr>
          <w:rFonts w:hint="default" w:ascii="Times New Roman" w:hAnsi="Times New Roman" w:eastAsia="宋体" w:cs="Times New Roman"/>
          <w:sz w:val="24"/>
          <w:szCs w:val="24"/>
        </w:rPr>
        <w:t>learn、statsmodels、</w:t>
      </w:r>
      <w:r>
        <w:rPr>
          <w:rFonts w:hint="eastAsia" w:cs="Times New Roman"/>
          <w:sz w:val="24"/>
          <w:szCs w:val="24"/>
          <w:lang w:val="en-US" w:eastAsia="zh-CN"/>
        </w:rPr>
        <w:tab/>
        <w:t/>
      </w:r>
      <w:r>
        <w:rPr>
          <w:rFonts w:hint="eastAsia" w:cs="Times New Roman"/>
          <w:sz w:val="24"/>
          <w:szCs w:val="24"/>
          <w:lang w:val="en-US" w:eastAsia="zh-CN"/>
        </w:rPr>
        <w:tab/>
        <w:t/>
      </w:r>
      <w:r>
        <w:rPr>
          <w:rFonts w:hint="eastAsia" w:cs="Times New Roman"/>
          <w:sz w:val="24"/>
          <w:szCs w:val="24"/>
          <w:lang w:val="en-US" w:eastAsia="zh-CN"/>
        </w:rPr>
        <w:tab/>
        <w:t xml:space="preserve">  </w:t>
      </w:r>
      <w:r>
        <w:rPr>
          <w:rFonts w:hint="default" w:ascii="Times New Roman" w:hAnsi="Times New Roman" w:eastAsia="宋体" w:cs="Times New Roman"/>
          <w:sz w:val="24"/>
          <w:szCs w:val="24"/>
        </w:rPr>
        <w:t>geopandas</w:t>
      </w:r>
    </w:p>
    <w:p w14:paraId="3C1D5354">
      <w:pPr>
        <w:spacing w:line="400" w:lineRule="exact"/>
        <w:rPr>
          <w:rFonts w:cs="Times New Roman"/>
          <w:bCs/>
          <w:sz w:val="24"/>
          <w:szCs w:val="24"/>
        </w:rPr>
      </w:pPr>
      <w:r>
        <w:rPr>
          <w:rFonts w:cs="Times New Roman"/>
          <w:bCs/>
          <w:sz w:val="24"/>
          <w:szCs w:val="24"/>
        </w:rPr>
        <w:t>使用的Coding Agent的工具名称</w:t>
      </w:r>
      <w:r>
        <w:rPr>
          <w:rFonts w:hint="eastAsia" w:cs="Times New Roman"/>
          <w:bCs/>
          <w:sz w:val="24"/>
          <w:szCs w:val="24"/>
        </w:rPr>
        <w:t>（若有）：</w:t>
      </w:r>
      <w:r>
        <w:rPr>
          <w:rFonts w:cs="Times New Roman"/>
          <w:bCs/>
          <w:sz w:val="24"/>
          <w:szCs w:val="24"/>
        </w:rPr>
        <w:t>如字节的TRAE、腾讯的CodeBuddy、claude code等</w:t>
      </w:r>
    </w:p>
    <w:p w14:paraId="1B41C2FD">
      <w:pPr>
        <w:rPr>
          <w:rFonts w:cs="Times New Roman"/>
        </w:rPr>
      </w:pPr>
    </w:p>
    <w:p w14:paraId="07AB362D">
      <w:pPr>
        <w:pStyle w:val="2"/>
      </w:pPr>
      <w:r>
        <w:rPr/>
        <w:t>3</w:t>
      </w:r>
      <w:r>
        <w:rPr>
          <w:rFonts w:hint="eastAsia"/>
        </w:rPr>
        <w:t xml:space="preserve"> </w:t>
      </w:r>
      <w:r>
        <w:rPr/>
        <w:t>数据说明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本项目基于上海地铁智能卡刷卡数据分析城市轨道交通客流规律。原始数据来自 Figshare 公开发布的 MetroFlow 数据集（Sun 等，Scientific Data, 2025），时间覆盖 2017 年 5 月 1 日至 2017 年 8 月 31 日共 123 天，涉及上海地铁 302 个车站、超过 7 亿条原始刷卡记录，并附有站点属性、小时级天气与工作日日历等辅助信息。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原始刷卡记录无法直接用于分析，需经过出行行程识别、OD 配对、异常剔除等预处理。分工1 输出的标准化共享数据集共包含 5 个数据表，统一采用 10 分钟时间粒度，每日运营时段为 06:00—23:00，各表文件与规模见表1。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文件名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记录数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std_10min_inout.csv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10分钟粒度站点进出站客流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3,788,892 条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std_10min_od.csv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10分钟粒度OD出行客流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267,318,222 条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station_info.csv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站点信息（编号、名称、经纬度、邻接站）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302 条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weather_hourly.csv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小时级天气（气温、体感温度、降雨、风速）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2,952 条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workday_calendar.csv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日期工作日标记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123 条（含87个工作日）</w:t>
            </w:r>
          </w:p>
        </w:tc>
      </w:tr>
    </w:tbl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其中站点进出站流量表以「日期+10分钟时段+站点」为主键，记录每个站点每 10 分钟的进站客流 inFlow 与出站客流 outFlow，并进一步区分通勤（HB）与非通勤（NHB）出行细分字段；OD 出行表记录起终点站对之间的 10 分钟客流 Flow，可用于出行距离与流向分析；站点信息表提供各站经纬度与邻接站点，支撑地理可视化；天气表与工作日日历表用于客流的影响因素分析。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数据质量方面，分工1 完成了完整清洗与校验：进出站表与 OD 表中不存在负流量记录，OD 表中同站进出（originStation 等于 destinationStation）的无效记录数为 0，时间范围完整覆盖 2017-05-01 至 2017-08-31 的每日运营时段，字段无缺失。后续所有统计、可视化与数据挖掘工作均基于该数据集展开。</w:t>
      </w:r>
    </w:p>
    <w:bookmarkEnd w:id="4"/>
    <w:p w14:paraId="2271325B">
      <w:pPr>
        <w:pStyle w:val="2"/>
      </w:pPr>
      <w:r>
        <w:rPr/>
        <w:t>4</w:t>
      </w:r>
      <w:r>
        <w:rPr>
          <w:rFonts w:hint="eastAsia"/>
        </w:rPr>
        <w:t xml:space="preserve"> </w:t>
      </w:r>
      <w:r>
        <w:rPr/>
        <w:t>需求分析</w:t>
      </w:r>
    </w:p>
    <w:p>
      <w:pPr/>
      <w:r>
        <w:t>4.1 功能需求</w:t>
      </w:r>
    </w:p>
    <w:p>
      <w:pPr/>
      <w:r>
        <w:t>本项目面向「上海地铁客流数据分析与可视化」这一核心目标，将系统划分为五个功能模块：（1）数据工程模块（分工1）：从 Figshare 下载 MetroFlow 原始刷卡数据，完成出行行程识别、OD 配对、异常记录剔除与字段标准化，产出全体成员共用的标准化数据集（10 分钟粒度进出站表、OD 表、站点信息表、工作日日历表）；（2）统计分析模块（分工2）：进行全局描述性统计，并从时间、空间、出行距离三个维度提炼客流规律；（3）空间可视化模块（分工3）：构建站点空间底图，绘制客流热力图、分时段对比图、OD 流向图，并产出可交互网页地图；（4）统计图表模块（分工4）：以统一视觉风格绘制时间序列、高峰对比、TOP20 站点、箱线图、通勤模式、距离分布等八类统计图表；（5）数据挖掘模块（分工5）：基于分时客流特征进行 K-Means 站点聚类，并对典型站点构建 ARIMA/SARIMA 短时客流预测模型。各模块成果统一归档至对应交付目录，由总装负责人并稿为期末报告与汇报 PPT。</w:t>
      </w:r>
    </w:p>
    <w:p>
      <w:pPr/>
      <w:r>
        <w:t>4.2 非功能与技术需求</w:t>
      </w:r>
    </w:p>
    <w:p>
      <w:pPr/>
      <w:r>
        <w:t>数据规模方面，原始刷卡记录超 7 亿条、OD 表约 12GB，所有大数据处理必须采用分块（chunk）流式读取以控制内存占用，保证 8GB 内存电脑可运行。可复现性方面，随机过程固定随机种子（random_state=42），模型定阶采用确定性准则（AIC 网格搜索）；数据文件定位统一通过 common.find_data() 解析，禁止硬编码绝对路径。输出规范方面，统计图统一为 300DPI PNG（图N_名称），结果表统一为 utf-8-sig 编码 CSV（表N_名称，Excel 可直接打开），交互可视化输出独立 HTML 文件。数据口径方面，客运量统计默认采用进站量口径（如使用进出站合计必须显式标注）；统计时间范围为 2017-05-01 至 2017-08-31，运营时段 06:00~22:00；6 个刷卡记录近乎缺失的异常日在时序图中标注、在日均与占比计算中统一剔除。</w:t>
      </w:r>
    </w:p>
    <w:p>
      <w:pPr/>
      <w:r>
        <w:t>4.3 业务流程</w:t>
      </w:r>
    </w:p>
    <w:p>
      <w:pPr/>
      <w:r>
        <w:t>系统的业务流程为：原始刷卡数据下载 → 数据清洗与标准化（分工1）→ 形成共享分析数据集 → 并行开展统计分析（分工2）、空间可视化（分工3）、统计图表（分工4）与数据挖掘（分工5）→ 各模块成果归档至对应交付目录 → 总装并稿（期末报告、汇报 PPT、最终打包）。各环节通过统一的路径规范与提交规范衔接，遵循「运行即交付」原则：重跑任一脚本即更新对应交付物，成果与代码永不漂移。</w:t>
      </w:r>
    </w:p>
    <w:p w14:paraId="090D550E">
      <w:pPr>
        <w:pStyle w:val="2"/>
        <w:rPr>
          <w:color w:val="FF0000"/>
        </w:rPr>
      </w:pPr>
      <w:r>
        <w:rPr/>
        <w:t>5</w:t>
      </w:r>
      <w:r>
        <w:rPr>
          <w:rFonts w:hint="eastAsia"/>
        </w:rPr>
        <w:t xml:space="preserve"> </w:t>
      </w:r>
      <w:r>
        <w:rPr/>
        <w:t>系统设计和实现</w:t>
      </w:r>
      <w:r>
        <w:rPr>
          <w:color w:val="FF0000"/>
        </w:rPr>
        <w:t>（包括数据处理过程、数据挖掘算法介绍等）</w:t>
      </w:r>
    </w:p>
    <w:p>
      <w:pPr>
        <w:spacing w:before="120"/>
      </w:pPr>
      <w:r>
        <w:rPr>
          <w:rFonts w:ascii="Times New Roman" w:hAnsi="Times New Roman" w:eastAsia="宋体"/>
          <w:b/>
          <w:sz w:val="24"/>
        </w:rPr>
        <w:t>5.1 数据处理过程（分工1：潘忠琼）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数据处理遵循「原始数据→清洗→标准化→校验」的管线：首先搭建项目目录结构并从 Figshare 下载 MetroFlow 原始数据集，分类存放；随后参考官方项目处理管线，完成时间字段拼接与10 分钟粒度统一；再执行数据清洗，包括剔除同站进出的无效 OD 记录、过滤负流量异常、保留站点信息表内的有效站点、筛选每日 06:00—23:00 运营时段等；最后输出标准化中间数据集并做质量校验。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由于 OD 表原始体积约 12GB，处理采用 pandas 分块（chunk）方式流式读取，共处理原始 OD 记录约 2.67 亿条、进出站记录约 378.9 万条。清洗完成后使用 data_check.py 校验脚本进行质量核验：进出站表最小 inFlow、outFlow 均为 0，无负流量；OD 表抽样校验同站记录为 0、最小 Flow 为 1，时间范围为 2017-05-01 06:00 至 2017-08-31 22:50，数据完整可用。处理全过程记录于《数据预处理说明文档》与清洗运行日志。</w:t>
      </w:r>
    </w:p>
    <w:p>
      <w:pPr>
        <w:spacing w:before="120"/>
      </w:pPr>
      <w:r>
        <w:rPr>
          <w:rFonts w:ascii="Times New Roman" w:hAnsi="Times New Roman" w:eastAsia="宋体"/>
          <w:b/>
          <w:sz w:val="24"/>
        </w:rPr>
        <w:t>5.2 K-Means 站点客流模式聚类（分工5：袁楚帘）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K-Means 是基于划分的无监督聚类算法：给定簇数 K，算法随机初始化 K 个簇中心，反复执行「样本按最近中心分配→按簇内均值更新中心」两步直至收敛，最终最小化簇内误差平方和 SSE。本任务将客流模式相近的地铁站归为一类，识别通勤、枢纽、休闲等功能类型。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特征工程上，以站点进出站流量表为输入，汇总出每个站点「工作日平均分时进/出站客流（17 小时×2）+ 周末平均分时进/出站客流（34 维）+ 日均总客流」共 69 维特征。考虑到枢纽站与郊区站客流规模相差百倍以上，先对流量做 log(1+x) 压缩再做 Z-score 标准化，使客流的时间模式与流量规模共同参与聚类。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聚类数 K 通过肘部法则（SSE 下降趋缓点）与轮廓系数（越大表示簇内越紧、簇间越分离）联合确定。在 K=3~8 范围内的搜索结果见表2 与图1：SSE 随 K 增大单调下降，K 大于 5 后下降明显趋缓；轮廓系数在 K=3 时最高（0.3734）。综合任务对 5 类站点类型的要求与肘部位置，最终取 K=5，对应轮廓系数 0.3070。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K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SSE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轮廓系数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6615.8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0.3734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4932.7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0.342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4028.1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0.307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3526.9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0.2915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3129.4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0.2915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2778.7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0.2978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2632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_肘部法则与轮廓系数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3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图1 肘部法则与轮廓系数确定最佳聚类数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聚类结果通过 PCA 降至二维可视化（图2），第一主成分解释方差 87%，主要对应客流规模，各簇沿主成分方向层次分明。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320000" cy="30494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2_聚类散点图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304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图2 K-Means聚类结果PCA降维散点图</w:t>
      </w:r>
    </w:p>
    <w:p>
      <w:pPr>
        <w:spacing w:before="120"/>
      </w:pPr>
      <w:r>
        <w:rPr>
          <w:rFonts w:ascii="Times New Roman" w:hAnsi="Times New Roman" w:eastAsia="宋体"/>
          <w:b/>
          <w:sz w:val="24"/>
        </w:rPr>
        <w:t>5.3 ARIMA 短时客流预测（分工5：袁楚帘）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ARIMA(p,d,q) 是经典的时间序列预测模型，其中 d 为差分阶数（通过 ADF 单位根检验确定平稳性），p、q 分别为自回归与移动平均阶数，本文以 AIC 信息准则最小化进行网格定阶。考虑到地铁客流存在显著的日内早晚高峰周期，进一步引入季节项 SARIMA(p,d,q)×(P,D,Q,s)。夜间停运时段客流恒为 0，不参与建模，序列按每天 06:00—22:00 共 17 个运营小时拼接，因此周期长度 s=17。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从聚类结果中选取两类典型站点构建预测任务：综合枢纽站人民广场（People's Square）与通勤居住站莘庄（Xinzhuang）。两站均取小时级进站客流，前 116 天（1972 个观测）为训练集，最后 7 天（119 个观测）为样本外测试集，并以「上周同一时刻」作为朴素基线对比。ADF 检验显示两站原序列 p 值均小于 0.05，序列平稳，d=0；AIC 网格搜索确定的最终模型为 SARIMA(1, 0, 2)x(1, 1, 1, 17) 与 SARIMA(1, 0, 2)x(1, 1, 1, 17)。</w:t>
      </w:r>
    </w:p>
    <w:p w14:paraId="3B8AE378">
      <w:pPr>
        <w:pStyle w:val="2"/>
      </w:pPr>
      <w:r>
        <w:rPr/>
        <w:t>6</w:t>
      </w:r>
      <w:r>
        <w:rPr>
          <w:rFonts w:hint="eastAsia"/>
        </w:rPr>
        <w:t xml:space="preserve"> </w:t>
      </w:r>
      <w:r>
        <w:rPr/>
        <w:t>结果分析</w:t>
      </w:r>
      <w:r>
        <w:rPr>
          <w:rFonts w:hint="eastAsia"/>
          <w:color w:val="FF0000"/>
        </w:rPr>
        <w:t>（需详细介绍）</w:t>
      </w:r>
    </w:p>
    <w:p>
      <w:pPr>
        <w:spacing w:before="120"/>
      </w:pPr>
      <w:r>
        <w:rPr>
          <w:rFonts w:ascii="Times New Roman" w:hAnsi="Times New Roman" w:eastAsia="宋体"/>
          <w:b/>
          <w:sz w:val="24"/>
        </w:rPr>
        <w:t>6.1 聚类结果分析（分工5）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K=5 时 302 个站点被划分为 5 种功能类型，各类站点数量与平均日均客流见表3。综合枢纽站 26 座（日均客流约 250,949 人次），包括人民广场、上海火车站、徐家汇、南京东路等城市级枢纽，其全天进出站客流均处于高位；就业办公站 75 座，工作日早高峰出站、晚高峰进站特征明显，典型如金科路（张江）、浦电路等；通勤居住站 98 座，呈「早进晚出」双峰形态，集中在外环居住组团；休闲商圈站 79 座，周末客流比例相对更高，包含迪士尼、中华艺术宫、源深体育中心等文旅体场馆站点；郊区低频站点 24 座，全天客流平缓且规模最小。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769"/>
        <w:gridCol w:w="2769"/>
        <w:gridCol w:w="2769"/>
      </w:tblGrid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站点类型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站点数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平均日均总客流（人次）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综合枢纽站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26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250949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就业办公站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75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99200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通勤居住站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98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56029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休闲商圈站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79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29398</w:t>
            </w:r>
          </w:p>
        </w:tc>
      </w:tr>
      <w:tr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郊区低频站点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24</w:t>
            </w:r>
          </w:p>
        </w:tc>
        <w:tc>
          <w:tcPr>
            <w:tcW w:type="dxa" w:w="2769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11067</w:t>
            </w:r>
          </w:p>
        </w:tc>
      </w:tr>
    </w:tbl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图3 给出各类型站点的工作日平均分时客流画像：综合枢纽站双峰高耸且午间维持高位；通勤居住站与就业办公站的进出站曲线近似镜像，早晚高峰清晰对映；休闲商圈站下午至晚间客流抬升；郊区低频站全天低平。聚类画像与站点实际城市功能高度吻合，验证了「分时客流特征+K-Means」方案的有效性，可为线路规划、站点周边业态分析与运营排班提供依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195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_各簇分时客流画像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5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图3 各类型站点工作日平均分时客流画像</w:t>
      </w:r>
    </w:p>
    <w:p>
      <w:pPr>
        <w:spacing w:before="120"/>
      </w:pPr>
      <w:r>
        <w:rPr>
          <w:rFonts w:ascii="Times New Roman" w:hAnsi="Times New Roman" w:eastAsia="宋体"/>
          <w:b/>
          <w:sz w:val="24"/>
        </w:rPr>
        <w:t>6.2 短时客流预测效果分析（分工5）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两座典型站点未来 7 天（119 个运营小时）的样本外预测误差见表4。以人民广场为例，季节 SARIMA 的平均绝对误差 MAE 为 1204.11 人次/小时，较不含周期项的普通 ARIMA（MAE 2185.26）下降约 45%；莘庄站结论一致（MAE 由 2027.49 降至 868.17）。这说明周期项对刻画地铁日内客流节律至关重要。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384"/>
        <w:gridCol w:w="1384"/>
        <w:gridCol w:w="1384"/>
        <w:gridCol w:w="1384"/>
        <w:gridCol w:w="1384"/>
        <w:gridCol w:w="1384"/>
      </w:tblGrid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站点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方法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MAE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MSE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RMSE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MAPE(%)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People's Square(人民广场·枢纽)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普通ARIMA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2185.26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8051755.0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2837.56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34.48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People's Square(人民广场·枢纽)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季节SARIMA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1204.11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3254313.4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1803.97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14.86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People's Square(人民广场·枢纽)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上周同时刻基线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661.9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937080.5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968.03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6.86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Xinzhuang(莘庄·通勤)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普通ARIMA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2027.49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10912412.2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3303.39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79.66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Xinzhuang(莘庄·通勤)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季节SARIMA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868.17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2711239.1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1646.58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20.44</w:t>
            </w:r>
          </w:p>
        </w:tc>
      </w:tr>
      <w:tr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Xinzhuang(莘庄·通勤)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上周同时刻基线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232.61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282474.5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531.48</w:t>
            </w:r>
          </w:p>
        </w:tc>
        <w:tc>
          <w:tcPr>
            <w:tcW w:type="dxa" w:w="1384"/>
          </w:tcPr>
          <w:p>
            <w:pPr>
              <w:jc w:val="center"/>
            </w:pPr>
            <w:r>
              <w:rPr>
                <w:rFonts w:ascii="Times New Roman" w:hAnsi="Times New Roman" w:eastAsia="宋体"/>
                <w:b w:val="0"/>
                <w:sz w:val="21"/>
              </w:rPr>
              <w:t>6.38</w:t>
            </w:r>
          </w:p>
        </w:tc>
      </w:tr>
    </w:tbl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图4 为预测对比曲线。普通 ARIMA 缺少周期项，多步预测后迅速收敛到序列均值附近，完全无法跟随早晚高峰；季节 SARIMA 的预测曲线与真实曲线峰形与相位基本同步，验证了 s=17 周期设定与 AIC 定阶的有效性。但 SARIMA 也存在明显不足：一是受线性模型均值回归特性影响，对高峰客流量的估计偏低；二是 s=17 仅刻画日内周期，未区分工作日与周末，导致周末出现虚高的通勤高峰预测。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值得注意的是，「上周同一时刻」朴素基线的误差指标优于两个模型（人民广场 MAE 661.9）。这一方面说明地铁周级客流具有极强的规律性，直接复制上周曲线已相当准确；另一方面，朴素基线只是历史值的原样平移，无法适应节假日、大型活动、天气突变等场景，而参数化模型可通过引入外生变量（SARIMAX）、区分工作日/周末子序列、缩短预测步长做滚动预测等方式持续改进。后续工作将沿上述方向提升模型实用价值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5909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_客流预测对比曲线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590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eastAsia="宋体"/>
          <w:b w:val="0"/>
          <w:sz w:val="21"/>
        </w:rPr>
        <w:t>图4 典型站点未来7天进站客流预测对比</w:t>
      </w:r>
    </w:p>
    <w:p>
      <w:pPr/>
      <w:r>
        <w:t>6.3 客流时空统计分析（分工2：胡颖）</w:t>
      </w:r>
    </w:p>
    <w:p>
      <w:pPr/>
      <w:r>
        <w:t>全局层面，2017-05-01 至 2017-08-31 共 123 天统计期内，全网总进站量 7.289 亿人次，日均进站 592.6 万人次（进站量口径）。时间层面，工作日日均进站 651.1 万人次，较周末的 451.0 万人次高约 44%，印证通勤出行是全网客流主体；日内呈显著双峰形态，早高峰出现在 8:00、晚高峰出现在 17:00，且早高峰强于晚高峰。周内节奏上，周五叠加通勤与晚间休闲双重需求，以日均 681 万人次居全周之首，周日则以 431 万人次为谷底。月度走势先降后升：6 月受梅雨季与学期末出行减少影响形成约 1.70 亿人次的低谷，7 月起暑期旅游、返乡、休闲出行叠加，8 月达 1.94 亿人次峰值。</w:t>
      </w:r>
    </w:p>
    <w:p>
      <w:pPr/>
      <w:r>
        <w:t>空间层面，进站量呈明显的枢纽集聚：People's Square（人民广场）以约 1800 万人次断层领先，约为次席 Xujiahui（徐家汇，1194 万）的 1.5 倍，源于 1/2/8 号线三线换乘、南京东路商圈与旅游核心区位的多重叠加；第三位为 Jing'an Temple（静安寺，1189 万）；进站量最小的 Fuxing Island（复兴岛）与枢纽站相差两个数量级。出行距离方面，按客流量加权的全网平均出行距离为 16.06 km（起终点站经纬度球面直线距离口径，非沿轨道的实际路径距离）。以上结果明细见 分工2_统计分析/表1~表6。</w:t>
      </w:r>
    </w:p>
    <w:p>
      <w:pPr/>
      <w:r>
        <w:t>6.4 空间地图可视化（分工3：吕可珊）</w:t>
      </w:r>
    </w:p>
    <w:p>
      <w:pPr/>
      <w:r>
        <w:t>分工3 将客流数据落到地理空间：基于高德浅色底图绘制 302 个站点的全时段客流热力图（图5），点大小与颜色双编码客流规模并标注 TOP10 核心站点，客流的空间集聚格局一目了然；OD 流向图（图6）以贝塞尔弧线呈现 TOP50 客流对的走向与量级，弧线越粗客流越大，直观勾勒出城市主要通勤走廊。此外还产出早高峰/晚高峰/工作日/周末四宫格对比图、工作日−周末差值图（红色为通勤主导站、蓝色为休闲主导站），以及基于 Folium 的交互网页地图（点击任意站点可查看全天、早晚高峰、工作日/周末日均五项客流指标），站点空间数据同步输出为 GeoJSON，可直接用于 QGIS、Kepler.gl 等 GIS 工具。</w:t>
      </w:r>
    </w:p>
    <w:p>
      <w:r>
        <w:drawing>
          <wp:inline xmlns:a="http://schemas.openxmlformats.org/drawingml/2006/main" xmlns:pic="http://schemas.openxmlformats.org/drawingml/2006/picture">
            <wp:extent cx="4824616" cy="320039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 全时段站点客流热力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24616" cy="32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图5 全时段站点客流热力图（分工3）</w:t>
      </w:r>
    </w:p>
    <w:p>
      <w:r>
        <w:drawing>
          <wp:inline xmlns:a="http://schemas.openxmlformats.org/drawingml/2006/main" xmlns:pic="http://schemas.openxmlformats.org/drawingml/2006/picture">
            <wp:extent cx="4234941" cy="320039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4 全时段OD客流流向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34941" cy="32003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图6 TOP50 OD 客流流向图（分工3）</w:t>
      </w:r>
    </w:p>
    <w:p>
      <w:pPr/>
      <w:r>
        <w:t>6.5 统计图表与出行模式可视化（分工4：李嫣）</w:t>
      </w:r>
    </w:p>
    <w:p>
      <w:pPr/>
      <w:r>
        <w:t>分工4 通过 viz_style.py 建立全项目统一的视觉规范（统一配色、字号与 300DPI 白底输出），并绘制八类统计图表。其结果在时间维度与分工2 相互印证：工作日呈显著双峰结构且早高峰（07:00–09:00）强于晚高峰（17:00–19:00），周末则为午后平缓的单峰；全网日均客流约 1300 万人次（该数字为进出站合计口径，与 6.3 节进站量口径的 592.6 万不可直接比较）。出行模式上，工作日早高峰进站客流中通勤（C）目的占比近半，通勤出行约占进站总量的 36%，周末降至约 16%（图7）；站点客流规模按「综合枢纽 &gt; 就业办公 &gt; 通勤居住 &gt; 休闲商圈 &gt; 郊区低频」排序，与分工5 的聚类类型体系一致，形成交叉验证。原始数据中 6 个刷卡近乎缺失的异常日在时序图中以红圈标注，并在日均与占比计算中统一剔除，保证全项目统计口径一致。</w:t>
      </w:r>
    </w:p>
    <w:p>
      <w:r>
        <w:drawing>
          <wp:inline xmlns:a="http://schemas.openxmlformats.org/drawingml/2006/main" xmlns:pic="http://schemas.openxmlformats.org/drawingml/2006/picture">
            <wp:extent cx="5120640" cy="205709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4-6 通勤非通勤模式对比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057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图7 通勤与非通勤出行模式对比（分工4）</w:t>
      </w:r>
    </w:p>
    <w:p w14:paraId="65E0086D">
      <w:pPr>
        <w:pStyle w:val="2"/>
      </w:pPr>
      <w:r>
        <w:rPr/>
        <w:t xml:space="preserve">7. </w:t>
      </w:r>
      <w:r>
        <w:rPr>
          <w:rFonts w:hint="eastAsia"/>
        </w:rPr>
        <w:t>AI辅助过程</w:t>
      </w:r>
      <w:r>
        <w:rPr/>
        <w:t xml:space="preserve"> 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【待补充】AI 辅助开发过程的提示词示例、生成内容与人工修改说明，由小组统一整理后填入；如内容较多可另附附件文档。</w:t>
      </w:r>
    </w:p>
    <w:p w14:paraId="097C9434">
      <w:pPr>
        <w:pStyle w:val="2"/>
      </w:pPr>
      <w:r>
        <w:rPr>
          <w:rFonts w:hint="eastAsia"/>
        </w:rPr>
        <w:t>8</w:t>
      </w:r>
      <w:r>
        <w:rPr/>
        <w:t xml:space="preserve"> </w:t>
      </w:r>
      <w:r>
        <w:rPr>
          <w:rFonts w:hint="eastAsia"/>
        </w:rPr>
        <w:t>总结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本项目以上海地铁 2017 年 5—8 月超过 7 亿条刷卡记录为对象，完成了「数据治理→统计分析→多维可视化→数据挖掘建模」的全流程实践：分工1 构建了 10 分钟粒度的标准化共享数据集；分工2—4 围绕客流时空规律完成了统计结论与可视化成果；分工5 在此基础上实现了 K-Means 站点聚类与 ARIMA 短时客流预测，并完成全部成果的整合交付。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项目的主要创新点：（1）站点聚类采用「工作日/周末×17 运营小时×进出站」的分时特征并引入 log1p 压缩，兼顾客流模式与规模，聚类出的 5 类站点与真实城市功能高度吻合；（2）针对地铁夜间停运的特点，将序列按每日 17 个运营小时拼接并令季节周期 s=17，使 SARIMA 有效捕捉早晚高峰节律；（3）用业务指标规则自动为抽象簇赋予可解释的中文类型标签，保证聚类结果可读、可核查。</w:t>
      </w:r>
    </w:p>
    <w:p>
      <w:pPr>
        <w:spacing w:line="400" w:lineRule="exact" w:before="0" w:after="0"/>
        <w:ind w:firstLineChars="200"/>
      </w:pPr>
      <w:r>
        <w:rPr>
          <w:rFonts w:ascii="Times New Roman" w:hAnsi="Times New Roman" w:eastAsia="宋体"/>
          <w:b w:val="0"/>
          <w:sz w:val="24"/>
        </w:rPr>
        <w:t>项目仍存在不足：聚类轮廓系数中等（0.31），说明站点客流模式存在连续过渡，硬聚类边界有一定主观性；预测模型为线性时间序列模型，未纳入天气、节假日、大型活动等外生变量，对突发客流适应性有限；OD 表仅用于清洗与统计，尚未开展路径级别的网络分析。后续可尝试 SARIMAX/XGBoost/LSTM 等引入外生变量的模型、结合站点经纬度做时空联合聚类，并利用 OD 数据进行客流分配与网络韧性分析。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华文行楷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7607E72"/>
    <w:multiLevelType w:val="multilevel"/>
    <w:tmpl w:val="77607E72"/>
    <w:lvl w:ilvl="0" w:tentative="0">
      <w:start w:val="1"/>
      <w:numFmt w:val="decimal"/>
      <w:lvlText w:val="%1)"/>
      <w:lvlJc w:val="left"/>
      <w:pPr>
        <w:ind w:left="2100" w:hanging="420"/>
      </w:pPr>
    </w:lvl>
    <w:lvl w:ilvl="1" w:tentative="0">
      <w:start w:val="1"/>
      <w:numFmt w:val="lowerLetter"/>
      <w:lvlText w:val="%2)"/>
      <w:lvlJc w:val="left"/>
      <w:pPr>
        <w:ind w:left="2520" w:hanging="420"/>
      </w:pPr>
    </w:lvl>
    <w:lvl w:ilvl="2" w:tentative="0">
      <w:start w:val="1"/>
      <w:numFmt w:val="lowerRoman"/>
      <w:lvlText w:val="%3."/>
      <w:lvlJc w:val="right"/>
      <w:pPr>
        <w:ind w:left="2940" w:hanging="420"/>
      </w:pPr>
    </w:lvl>
    <w:lvl w:ilvl="3" w:tentative="0">
      <w:start w:val="1"/>
      <w:numFmt w:val="decimal"/>
      <w:lvlText w:val="%4."/>
      <w:lvlJc w:val="left"/>
      <w:pPr>
        <w:ind w:left="3360" w:hanging="420"/>
      </w:pPr>
    </w:lvl>
    <w:lvl w:ilvl="4" w:tentative="0">
      <w:start w:val="1"/>
      <w:numFmt w:val="lowerLetter"/>
      <w:lvlText w:val="%5)"/>
      <w:lvlJc w:val="left"/>
      <w:pPr>
        <w:ind w:left="3780" w:hanging="420"/>
      </w:pPr>
    </w:lvl>
    <w:lvl w:ilvl="5" w:tentative="0">
      <w:start w:val="1"/>
      <w:numFmt w:val="lowerRoman"/>
      <w:lvlText w:val="%6."/>
      <w:lvlJc w:val="right"/>
      <w:pPr>
        <w:ind w:left="4200" w:hanging="420"/>
      </w:pPr>
    </w:lvl>
    <w:lvl w:ilvl="6" w:tentative="0">
      <w:start w:val="1"/>
      <w:numFmt w:val="decimal"/>
      <w:lvlText w:val="%7."/>
      <w:lvlJc w:val="left"/>
      <w:pPr>
        <w:ind w:left="4620" w:hanging="420"/>
      </w:pPr>
    </w:lvl>
    <w:lvl w:ilvl="7" w:tentative="0">
      <w:start w:val="1"/>
      <w:numFmt w:val="lowerLetter"/>
      <w:lvlText w:val="%8)"/>
      <w:lvlJc w:val="left"/>
      <w:pPr>
        <w:ind w:left="5040" w:hanging="420"/>
      </w:pPr>
    </w:lvl>
    <w:lvl w:ilvl="8" w:tentative="0">
      <w:start w:val="1"/>
      <w:numFmt w:val="lowerRoman"/>
      <w:lvlText w:val="%9."/>
      <w:lvlJc w:val="right"/>
      <w:pPr>
        <w:ind w:left="546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6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4F3736EB"/>
    <w:rsid w:val="7A5509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3"/>
    <w:next w:val="1"/>
    <w:qFormat/>
    <w:uiPriority w:val="9"/>
    <w:pPr>
      <w:outlineLvl w:val="0"/>
    </w:pPr>
    <w:rPr>
      <w:rFonts w:eastAsia="黑体" w:cs="Times New Roman"/>
      <w:sz w:val="28"/>
      <w:szCs w:val="28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outlineLvl w:val="1"/>
    </w:pPr>
    <w:rPr>
      <w:rFonts w:cstheme="majorBidi"/>
      <w:b/>
      <w:bCs/>
      <w:sz w:val="24"/>
      <w:szCs w:val="32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Indent"/>
    <w:basedOn w:val="1"/>
    <w:qFormat/>
    <w:uiPriority w:val="0"/>
    <w:pPr>
      <w:spacing w:line="360" w:lineRule="auto"/>
      <w:ind w:firstLine="420" w:firstLineChars="200"/>
    </w:pPr>
    <w:rPr>
      <w:rFonts w:cs="Times New Roman"/>
      <w:sz w:val="24"/>
      <w:szCs w:val="24"/>
    </w:rPr>
  </w:style>
  <w:style w:type="paragraph" w:styleId="5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817</Words>
  <Characters>927</Characters>
  <Lines>0</Lines>
  <Paragraphs>0</Paragraphs>
  <TotalTime>5</TotalTime>
  <ScaleCrop>false</ScaleCrop>
  <LinksUpToDate>false</LinksUpToDate>
  <CharactersWithSpaces>957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2026-09-03T02:00:00Z</dcterms:created>
  <dc:creator>32638</dc:creator>
  <cp:lastModifiedBy>WPS_1756266464</cp:lastModifiedBy>
  <dcterms:modified xsi:type="dcterms:W3CDTF">2026-09-03T02:20:33Z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eyJoZGlkIjoiN2Y3YjBhOTFhMDc5OGEwNzIwZjJmMTdiN2FkYTFiZTciLCJ1c2VySWQiOiIxNzMyNzEwMzQ0In0=</vt:lpwstr>
  </property>
  <property fmtid="{D5CDD505-2E9C-101B-9397-08002B2CF9AE}" pid="4" name="ICV">
    <vt:lpwstr>15893A9E054B4A05AF8082CCEBB18555_12</vt:lpwstr>
  </property>
</Properties>
</file>