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557B0">
      <w:pPr>
        <w:jc w:val="center"/>
        <w:rPr>
          <w:rFonts w:eastAsia="华文行楷" w:cs="Times New Roman"/>
          <w:sz w:val="72"/>
          <w:szCs w:val="72"/>
        </w:rPr>
      </w:pPr>
      <w:r>
        <w:rPr>
          <w:rFonts w:eastAsia="华文行楷" w:cs="Times New Roman"/>
          <w:sz w:val="72"/>
          <w:szCs w:val="72"/>
        </w:rPr>
        <w:t>杭州电子科技大学</w:t>
      </w:r>
    </w:p>
    <w:p w14:paraId="6731CD48">
      <w:pPr>
        <w:jc w:val="center"/>
        <w:rPr>
          <w:rFonts w:eastAsia="华文行楷" w:cs="Times New Roman"/>
          <w:sz w:val="56"/>
          <w:szCs w:val="72"/>
        </w:rPr>
      </w:pPr>
      <w:r>
        <w:rPr>
          <w:rFonts w:eastAsia="华文行楷" w:cs="Times New Roman"/>
          <w:sz w:val="56"/>
          <w:szCs w:val="72"/>
        </w:rPr>
        <w:t>Hangzhou Dianzi University</w:t>
      </w:r>
    </w:p>
    <w:p w14:paraId="7E86955E">
      <w:pPr>
        <w:jc w:val="center"/>
        <w:rPr>
          <w:rFonts w:eastAsia="华文行楷" w:cs="Times New Roman"/>
          <w:sz w:val="56"/>
          <w:szCs w:val="72"/>
        </w:rPr>
      </w:pPr>
    </w:p>
    <w:p w14:paraId="00A701F5">
      <w:pPr>
        <w:jc w:val="center"/>
        <w:rPr>
          <w:rFonts w:eastAsia="华文行楷" w:cs="Times New Roman"/>
          <w:sz w:val="72"/>
          <w:szCs w:val="72"/>
        </w:rPr>
      </w:pPr>
      <w:r>
        <w:rPr>
          <w:rFonts w:eastAsia="华文行楷" w:cs="Times New Roman"/>
          <w:sz w:val="72"/>
          <w:szCs w:val="72"/>
        </w:rPr>
        <w:t>《软件开发实践1》</w:t>
      </w:r>
    </w:p>
    <w:p w14:paraId="36032B0E">
      <w:pPr>
        <w:jc w:val="center"/>
        <w:rPr>
          <w:rFonts w:eastAsia="华文行楷" w:cs="Times New Roman"/>
          <w:sz w:val="72"/>
          <w:szCs w:val="72"/>
        </w:rPr>
      </w:pPr>
      <w:r>
        <w:rPr>
          <w:rFonts w:eastAsia="华文行楷" w:cs="Times New Roman"/>
          <w:sz w:val="72"/>
          <w:szCs w:val="72"/>
        </w:rPr>
        <w:t>大作业报告</w:t>
      </w:r>
    </w:p>
    <w:p w14:paraId="32978749">
      <w:pPr>
        <w:jc w:val="center"/>
        <w:rPr>
          <w:rFonts w:cs="Times New Roman"/>
          <w:sz w:val="28"/>
        </w:rPr>
      </w:pPr>
    </w:p>
    <w:p w14:paraId="7A2DD521">
      <w:pPr>
        <w:ind w:firstLine="840" w:firstLineChars="300"/>
        <w:jc w:val="left"/>
        <w:rPr>
          <w:rFonts w:cs="Times New Roman"/>
          <w:sz w:val="28"/>
        </w:rPr>
      </w:pPr>
      <w:r>
        <w:rPr>
          <w:rFonts w:cs="Times New Roman"/>
          <w:sz w:val="28"/>
        </w:rPr>
      </w:r>
      <w:r>
        <w:rPr>
          <w:rFonts w:ascii="Times New Roman" w:hAnsi="Times New Roman" w:eastAsia="宋体"/>
          <w:b/>
          <w:sz w:val="24"/>
        </w:rPr>
        <w:t>项目名称：上海地铁数据分析及可视化</w:t>
      </w:r>
    </w:p>
    <w:p w14:paraId="0AB15475">
      <w:pPr>
        <w:ind w:firstLine="840" w:firstLineChars="300"/>
        <w:rPr>
          <w:rFonts w:cs="Times New Roman"/>
          <w:sz w:val="28"/>
        </w:rPr>
      </w:pPr>
      <w:r>
        <w:rPr>
          <w:rFonts w:cs="Times New Roman"/>
          <w:sz w:val="28"/>
        </w:rPr>
        <w:t>团队成员：</w:t>
      </w:r>
      <w:bookmarkStart w:id="0" w:name="OLE_LINK1"/>
      <w:bookmarkStart w:id="1" w:name="OLE_LINK2"/>
      <w:r>
        <w:rPr>
          <w:rFonts w:hint="eastAsia" w:cs="Times New Roman"/>
          <w:sz w:val="28"/>
          <w:lang w:val="en-US" w:eastAsia="zh-CN"/>
        </w:rPr>
        <w:t>25050302</w:t>
      </w:r>
      <w:r>
        <w:rPr>
          <w:rFonts w:cs="Times New Roman"/>
          <w:sz w:val="28"/>
        </w:rPr>
        <w:t xml:space="preserve"> </w:t>
      </w:r>
      <w:bookmarkEnd w:id="0"/>
      <w:bookmarkEnd w:id="1"/>
      <w:r>
        <w:rPr>
          <w:rFonts w:hint="eastAsia" w:cs="Times New Roman"/>
          <w:sz w:val="28"/>
          <w:lang w:val="en-US" w:eastAsia="zh-CN"/>
        </w:rPr>
        <w:t>吕可珊</w:t>
      </w:r>
    </w:p>
    <w:p w14:paraId="0476244E">
      <w:pPr>
        <w:ind w:firstLine="840" w:firstLineChars="300"/>
        <w:rPr>
          <w:rFonts w:cs="Times New Roman"/>
          <w:sz w:val="28"/>
        </w:rPr>
      </w:pPr>
      <w:r>
        <w:rPr>
          <w:rFonts w:cs="Times New Roman"/>
          <w:sz w:val="28"/>
        </w:rPr>
        <w:t xml:space="preserve">          </w:t>
      </w:r>
      <w:r>
        <w:rPr>
          <w:rFonts w:hint="eastAsia" w:cs="Times New Roman"/>
          <w:sz w:val="28"/>
          <w:lang w:val="en-US" w:eastAsia="zh-CN"/>
        </w:rPr>
        <w:t>25050301</w:t>
      </w:r>
      <w:r>
        <w:rPr>
          <w:rFonts w:cs="Times New Roman"/>
          <w:sz w:val="28"/>
        </w:rPr>
        <w:t xml:space="preserve"> </w:t>
      </w:r>
      <w:r>
        <w:rPr>
          <w:rFonts w:hint="eastAsia" w:cs="Times New Roman"/>
          <w:sz w:val="28"/>
          <w:lang w:val="en-US" w:eastAsia="zh-CN"/>
        </w:rPr>
        <w:t>李嫣</w:t>
      </w:r>
    </w:p>
    <w:p w14:paraId="0ACEA6D9">
      <w:pPr>
        <w:ind w:firstLine="2240" w:firstLineChars="800"/>
        <w:rPr>
          <w:rFonts w:hint="eastAsia" w:cs="Times New Roman"/>
          <w:sz w:val="28"/>
          <w:lang w:val="en-US" w:eastAsia="zh-CN"/>
        </w:rPr>
      </w:pPr>
      <w:r>
        <w:rPr>
          <w:rFonts w:hint="eastAsia" w:cs="Times New Roman"/>
          <w:sz w:val="28"/>
          <w:lang w:val="en-US" w:eastAsia="zh-CN"/>
        </w:rPr>
        <w:t>25050306</w:t>
      </w:r>
      <w:r>
        <w:rPr>
          <w:rFonts w:cs="Times New Roman"/>
          <w:sz w:val="28"/>
        </w:rPr>
        <w:t xml:space="preserve"> </w:t>
      </w:r>
      <w:r>
        <w:rPr>
          <w:rFonts w:hint="eastAsia" w:cs="Times New Roman"/>
          <w:sz w:val="28"/>
          <w:lang w:val="en-US" w:eastAsia="zh-CN"/>
        </w:rPr>
        <w:t>袁楚帘</w:t>
      </w:r>
    </w:p>
    <w:p w14:paraId="14C343A6">
      <w:pPr>
        <w:ind w:firstLine="2240" w:firstLineChars="800"/>
        <w:rPr>
          <w:rFonts w:hint="default" w:cs="Times New Roman"/>
          <w:sz w:val="28"/>
          <w:lang w:val="en-US" w:eastAsia="zh-CN"/>
        </w:rPr>
      </w:pPr>
      <w:r>
        <w:rPr>
          <w:rFonts w:hint="eastAsia" w:cs="Times New Roman"/>
          <w:sz w:val="28"/>
          <w:lang w:val="en-US" w:eastAsia="zh-CN"/>
        </w:rPr>
        <w:t>25050401 潘忠琼</w:t>
      </w:r>
    </w:p>
    <w:p w14:paraId="4F2461E1">
      <w:pPr>
        <w:ind w:firstLine="2240" w:firstLineChars="800"/>
        <w:rPr>
          <w:rFonts w:hint="default" w:cs="Times New Roman"/>
          <w:sz w:val="28"/>
          <w:lang w:val="en-US" w:eastAsia="zh-CN"/>
        </w:rPr>
      </w:pPr>
      <w:r>
        <w:rPr>
          <w:rFonts w:hint="eastAsia" w:cs="Times New Roman"/>
          <w:sz w:val="28"/>
          <w:lang w:val="en-US" w:eastAsia="zh-CN"/>
        </w:rPr>
        <w:t>25050402 胡颖</w:t>
      </w:r>
    </w:p>
    <w:p w14:paraId="173A0B21">
      <w:pPr>
        <w:ind w:firstLine="840" w:firstLineChars="300"/>
        <w:rPr>
          <w:rFonts w:cs="Times New Roman"/>
          <w:sz w:val="28"/>
        </w:rPr>
      </w:pPr>
      <w:r>
        <w:rPr>
          <w:rFonts w:cs="Times New Roman"/>
          <w:sz w:val="28"/>
        </w:rPr>
        <w:t>完成时间：2026年9月</w:t>
      </w:r>
    </w:p>
    <w:p w14:paraId="422E38D3">
      <w:pPr>
        <w:ind w:firstLine="2240" w:firstLineChars="800"/>
        <w:rPr>
          <w:rFonts w:cs="Times New Roman"/>
          <w:sz w:val="28"/>
        </w:rPr>
      </w:pPr>
    </w:p>
    <w:p w14:paraId="51929E23">
      <w:pPr>
        <w:jc w:val="center"/>
        <w:rPr>
          <w:rFonts w:cs="Times New Roman"/>
          <w:sz w:val="28"/>
        </w:rPr>
      </w:pPr>
    </w:p>
    <w:p w14:paraId="627699C5">
      <w:pPr>
        <w:jc w:val="center"/>
        <w:rPr>
          <w:rFonts w:cs="Times New Roman"/>
          <w:sz w:val="2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26B0522">
      <w:pPr>
        <w:pStyle w:val="3"/>
        <w:jc w:val="center"/>
        <w:rPr>
          <w:rFonts w:cs="Times New Roman"/>
        </w:rPr>
      </w:pPr>
      <w:r>
        <w:rPr>
          <w:rFonts w:hint="eastAsia" w:ascii="黑体" w:hAnsi="黑体" w:eastAsia="黑体" w:cs="黑体"/>
          <w:sz w:val="32"/>
          <w:szCs w:val="32"/>
        </w:rPr>
        <w:t>上海地铁数据分析及可视化</w:t>
      </w:r>
    </w:p>
    <w:p w14:paraId="3A0336EB">
      <w:pPr>
        <w:spacing w:line="400" w:lineRule="exact"/>
        <w:ind w:left="420"/>
        <w:rPr>
          <w:rFonts w:cs="Times New Roman"/>
          <w:color w:val="5B9BD5"/>
          <w:szCs w:val="21"/>
        </w:rPr>
      </w:pPr>
    </w:p>
    <w:p w14:paraId="66CBEA20">
      <w:pPr>
        <w:pStyle w:val="2"/>
      </w:pPr>
      <w:r>
        <w:rPr>
          <w:rFonts w:hint="eastAsia"/>
        </w:rPr>
        <w:t>1 团队成员</w:t>
      </w:r>
      <w:r>
        <w:t>组成及分工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418"/>
        <w:gridCol w:w="2551"/>
        <w:gridCol w:w="1701"/>
      </w:tblGrid>
      <w:tr w14:paraId="7B492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36" w:type="dxa"/>
            <w:vAlign w:val="center"/>
          </w:tcPr>
          <w:p w14:paraId="37E1AF2F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学号</w:t>
            </w:r>
          </w:p>
        </w:tc>
        <w:tc>
          <w:tcPr>
            <w:tcW w:w="1418" w:type="dxa"/>
            <w:vAlign w:val="center"/>
          </w:tcPr>
          <w:p w14:paraId="680A6494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姓名</w:t>
            </w:r>
          </w:p>
        </w:tc>
        <w:tc>
          <w:tcPr>
            <w:tcW w:w="2551" w:type="dxa"/>
            <w:vAlign w:val="center"/>
          </w:tcPr>
          <w:p w14:paraId="71C17F0B">
            <w:pPr>
              <w:pStyle w:val="4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详细任务分工</w:t>
            </w:r>
          </w:p>
        </w:tc>
        <w:tc>
          <w:tcPr>
            <w:tcW w:w="1701" w:type="dxa"/>
            <w:vAlign w:val="center"/>
          </w:tcPr>
          <w:p w14:paraId="2733BDD0">
            <w:pPr>
              <w:pStyle w:val="4"/>
              <w:ind w:firstLine="0" w:firstLineChars="0"/>
              <w:jc w:val="center"/>
              <w:rPr>
                <w:b/>
              </w:rPr>
            </w:pPr>
            <w:r>
              <w:rPr>
                <w:b/>
              </w:rPr>
              <w:t>工作量占比</w:t>
            </w:r>
          </w:p>
        </w:tc>
      </w:tr>
      <w:tr w14:paraId="41A54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" w:hRule="atLeast"/>
          <w:jc w:val="center"/>
        </w:trPr>
        <w:tc>
          <w:tcPr>
            <w:tcW w:w="1336" w:type="dxa"/>
            <w:vAlign w:val="center"/>
          </w:tcPr>
          <w:p w14:paraId="415FCCAB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hint="eastAsia" w:cs="Times New Roman"/>
                <w:sz w:val="28"/>
                <w:lang w:val="en-US" w:eastAsia="zh-CN"/>
              </w:rPr>
              <w:t>25050401</w:t>
            </w:r>
          </w:p>
        </w:tc>
        <w:tc>
          <w:tcPr>
            <w:tcW w:w="1418" w:type="dxa"/>
            <w:vAlign w:val="center"/>
          </w:tcPr>
          <w:p w14:paraId="133B868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8"/>
                <w:lang w:val="en-US" w:eastAsia="zh-CN"/>
              </w:rPr>
              <w:t>潘忠琼</w:t>
            </w:r>
          </w:p>
        </w:tc>
        <w:tc>
          <w:tcPr>
            <w:tcW w:w="2551" w:type="dxa"/>
            <w:vAlign w:val="center"/>
          </w:tcPr>
          <w:p w14:paraId="6DA4AAAD">
            <w:pPr>
              <w:pStyle w:val="4"/>
              <w:ind w:firstLine="0" w:firstLineChars="0"/>
              <w:jc w:val="both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负</w:t>
            </w:r>
            <w:r>
              <w:rPr>
                <w:rFonts w:ascii="Arial" w:hAnsi="Arial" w:eastAsia="等线" w:cs="Arial"/>
                <w:sz w:val="22"/>
              </w:rPr>
              <w:t>责全量原始数据的清洗、处理，输出标准化的共享分析数据集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</w:p>
        </w:tc>
        <w:tc>
          <w:tcPr>
            <w:tcW w:w="1701" w:type="dxa"/>
            <w:vAlign w:val="center"/>
          </w:tcPr>
          <w:p w14:paraId="6134B38B">
            <w:pPr>
              <w:pStyle w:val="4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</w:tr>
      <w:tr w14:paraId="733A5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6" w:type="dxa"/>
            <w:vAlign w:val="center"/>
          </w:tcPr>
          <w:p w14:paraId="7CD704E8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hint="eastAsia" w:cs="Times New Roman"/>
                <w:sz w:val="28"/>
                <w:lang w:val="en-US" w:eastAsia="zh-CN"/>
              </w:rPr>
              <w:t>25050402</w:t>
            </w:r>
          </w:p>
        </w:tc>
        <w:tc>
          <w:tcPr>
            <w:tcW w:w="1418" w:type="dxa"/>
            <w:vAlign w:val="center"/>
          </w:tcPr>
          <w:p w14:paraId="5FE43DA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8"/>
                <w:lang w:val="en-US" w:eastAsia="zh-CN"/>
              </w:rPr>
              <w:t>胡颖</w:t>
            </w:r>
          </w:p>
        </w:tc>
        <w:tc>
          <w:tcPr>
            <w:tcW w:w="2551" w:type="dxa"/>
            <w:vAlign w:val="center"/>
          </w:tcPr>
          <w:p w14:paraId="521E15CB">
            <w:pPr>
              <w:pStyle w:val="4"/>
              <w:ind w:firstLine="0" w:firstLineChars="0"/>
              <w:jc w:val="both"/>
            </w:pPr>
            <w:r>
              <w:rPr>
                <w:rFonts w:ascii="Arial" w:hAnsi="Arial" w:eastAsia="等线" w:cs="Arial"/>
                <w:sz w:val="22"/>
              </w:rPr>
              <w:t>基于清洗后的数据集，完成全维度描述性统计，提炼客流时空分布规律。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</w:p>
        </w:tc>
        <w:tc>
          <w:tcPr>
            <w:tcW w:w="1701" w:type="dxa"/>
            <w:vAlign w:val="center"/>
          </w:tcPr>
          <w:p w14:paraId="6736FCB0">
            <w:pPr>
              <w:pStyle w:val="4"/>
              <w:ind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20%</w:t>
            </w:r>
          </w:p>
        </w:tc>
      </w:tr>
      <w:tr w14:paraId="17F6D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36" w:type="dxa"/>
            <w:vAlign w:val="center"/>
          </w:tcPr>
          <w:p w14:paraId="20F75859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hint="eastAsia" w:cs="Times New Roman"/>
                <w:sz w:val="28"/>
                <w:lang w:val="en-US" w:eastAsia="zh-CN"/>
              </w:rPr>
              <w:t>25050302</w:t>
            </w:r>
          </w:p>
        </w:tc>
        <w:tc>
          <w:tcPr>
            <w:tcW w:w="1418" w:type="dxa"/>
            <w:vAlign w:val="center"/>
          </w:tcPr>
          <w:p w14:paraId="4C05171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8"/>
                <w:lang w:val="en-US" w:eastAsia="zh-CN"/>
              </w:rPr>
              <w:t>吕可珊</w:t>
            </w:r>
          </w:p>
        </w:tc>
        <w:tc>
          <w:tcPr>
            <w:tcW w:w="2551" w:type="dxa"/>
            <w:vAlign w:val="center"/>
          </w:tcPr>
          <w:p w14:paraId="7A538F24">
            <w:pPr>
              <w:pStyle w:val="4"/>
              <w:ind w:firstLine="0" w:firstLineChars="0"/>
              <w:jc w:val="both"/>
            </w:pPr>
            <w:r>
              <w:rPr>
                <w:rFonts w:ascii="Arial" w:hAnsi="Arial" w:eastAsia="等线" w:cs="Arial"/>
                <w:sz w:val="22"/>
              </w:rPr>
              <w:t>基于地理信息实现地铁网络的空间可视化，直观呈现客流的地理分布特征。</w:t>
            </w:r>
          </w:p>
        </w:tc>
        <w:tc>
          <w:tcPr>
            <w:tcW w:w="1701" w:type="dxa"/>
            <w:vAlign w:val="center"/>
          </w:tcPr>
          <w:p w14:paraId="72A74459">
            <w:pPr>
              <w:pStyle w:val="4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</w:tr>
      <w:tr w14:paraId="1DBD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6" w:type="dxa"/>
            <w:vAlign w:val="center"/>
          </w:tcPr>
          <w:p w14:paraId="74C028D4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hint="eastAsia" w:cs="Times New Roman"/>
                <w:sz w:val="28"/>
                <w:lang w:val="en-US" w:eastAsia="zh-CN"/>
              </w:rPr>
              <w:t>25050301</w:t>
            </w:r>
          </w:p>
        </w:tc>
        <w:tc>
          <w:tcPr>
            <w:tcW w:w="1418" w:type="dxa"/>
            <w:vAlign w:val="center"/>
          </w:tcPr>
          <w:p w14:paraId="0AEB4B6C">
            <w:pPr>
              <w:jc w:val="center"/>
              <w:rPr>
                <w:rFonts w:hint="eastAsia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李嫣</w:t>
            </w:r>
          </w:p>
        </w:tc>
        <w:tc>
          <w:tcPr>
            <w:tcW w:w="2551" w:type="dxa"/>
            <w:vAlign w:val="center"/>
          </w:tcPr>
          <w:p w14:paraId="7FB93231">
            <w:pPr>
              <w:pStyle w:val="4"/>
              <w:ind w:firstLine="0" w:firstLineChars="0"/>
              <w:jc w:val="both"/>
            </w:pPr>
            <w:r>
              <w:rPr>
                <w:rFonts w:ascii="Arial" w:hAnsi="Arial" w:eastAsia="等线" w:cs="Arial"/>
                <w:sz w:val="22"/>
              </w:rPr>
              <w:t>将统计分析结果转化为规范图表，具象化乘客出行模式，统一全项目视觉风格。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</w:p>
        </w:tc>
        <w:tc>
          <w:tcPr>
            <w:tcW w:w="1701" w:type="dxa"/>
            <w:vAlign w:val="center"/>
          </w:tcPr>
          <w:p w14:paraId="7EC77855">
            <w:pPr>
              <w:pStyle w:val="4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</w:tr>
      <w:tr w14:paraId="1AF48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6" w:type="dxa"/>
            <w:shd w:val="clear"/>
            <w:vAlign w:val="center"/>
          </w:tcPr>
          <w:p w14:paraId="1391D71E">
            <w:pPr>
              <w:jc w:val="center"/>
              <w:rPr>
                <w:rFonts w:hint="default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sz w:val="28"/>
                <w:lang w:val="en-US" w:eastAsia="zh-CN"/>
              </w:rPr>
              <w:t>25050306</w:t>
            </w:r>
          </w:p>
        </w:tc>
        <w:tc>
          <w:tcPr>
            <w:tcW w:w="1418" w:type="dxa"/>
            <w:vAlign w:val="center"/>
          </w:tcPr>
          <w:p w14:paraId="5CF65C35">
            <w:pPr>
              <w:jc w:val="center"/>
              <w:rPr>
                <w:rFonts w:hint="eastAsia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袁楚帘</w:t>
            </w:r>
          </w:p>
        </w:tc>
        <w:tc>
          <w:tcPr>
            <w:tcW w:w="2551" w:type="dxa"/>
            <w:vAlign w:val="center"/>
          </w:tcPr>
          <w:p w14:paraId="723C53F0">
            <w:pPr>
              <w:pStyle w:val="4"/>
              <w:ind w:firstLine="0" w:firstLineChars="0"/>
              <w:jc w:val="both"/>
            </w:pPr>
            <w:r>
              <w:rPr>
                <w:rFonts w:ascii="Arial" w:hAnsi="Arial" w:eastAsia="等线" w:cs="Arial"/>
                <w:sz w:val="22"/>
              </w:rPr>
              <w:t>完成进阶数据挖掘分析，统筹整合所有成员的成果，输出最终完整交付物。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</w:p>
        </w:tc>
        <w:tc>
          <w:tcPr>
            <w:tcW w:w="1701" w:type="dxa"/>
            <w:vAlign w:val="center"/>
          </w:tcPr>
          <w:p w14:paraId="0F6D139A">
            <w:pPr>
              <w:pStyle w:val="4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</w:tr>
    </w:tbl>
    <w:p w14:paraId="614B3D8F">
      <w:pPr>
        <w:rPr>
          <w:rFonts w:cs="Times New Roman"/>
        </w:rPr>
      </w:pPr>
    </w:p>
    <w:p w14:paraId="6C431DFB">
      <w:pPr>
        <w:pStyle w:val="2"/>
      </w:pPr>
      <w:r>
        <w:t>2</w:t>
      </w:r>
      <w:r>
        <w:rPr>
          <w:rFonts w:hint="eastAsia"/>
        </w:rPr>
        <w:t xml:space="preserve"> </w:t>
      </w:r>
      <w:r>
        <w:t>项目开发环境</w:t>
      </w:r>
    </w:p>
    <w:p w14:paraId="4E1C034E">
      <w:pPr>
        <w:spacing w:line="400" w:lineRule="exac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本项目的开发及运行环境要求：</w:t>
      </w:r>
    </w:p>
    <w:p w14:paraId="57DCDF70">
      <w:pPr>
        <w:spacing w:line="400" w:lineRule="exac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开发工具：</w:t>
      </w:r>
      <w:r>
        <w:rPr>
          <w:rFonts w:hint="default" w:ascii="Times New Roman" w:hAnsi="Times New Roman" w:eastAsia="宋体" w:cs="Times New Roman"/>
          <w:sz w:val="24"/>
          <w:szCs w:val="24"/>
        </w:rPr>
        <w:t>Jupyter Notebook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</w:rPr>
        <w:t>PyCharm Community Edition</w:t>
      </w:r>
    </w:p>
    <w:p w14:paraId="514DA514">
      <w:pPr>
        <w:spacing w:line="400" w:lineRule="exact"/>
        <w:rPr>
          <w:rFonts w:hint="default" w:eastAsia="宋体" w:cs="Times New Roman"/>
          <w:sz w:val="24"/>
          <w:szCs w:val="24"/>
          <w:lang w:val="en-US" w:eastAsia="zh-CN"/>
        </w:rPr>
      </w:pPr>
      <w:r>
        <w:rPr>
          <w:rFonts w:cs="Times New Roman"/>
          <w:sz w:val="24"/>
          <w:szCs w:val="24"/>
        </w:rPr>
      </w:r>
      <w:r>
        <w:rPr>
          <w:rFonts w:hint="eastAsia" w:cs="Times New Roman"/>
          <w:sz w:val="24"/>
          <w:szCs w:val="24"/>
          <w:lang w:val="en-US" w:eastAsia="zh-CN"/>
        </w:rPr>
      </w:r>
      <w:r>
        <w:rPr>
          <w:rFonts w:ascii="Times New Roman" w:hAnsi="Times New Roman" w:eastAsia="宋体"/>
          <w:b w:val="0"/>
          <w:sz w:val="24"/>
        </w:rPr>
        <w:t>开发语言：Python 3.12</w:t>
      </w:r>
    </w:p>
    <w:p w14:paraId="0BBDC8F2">
      <w:pPr>
        <w:spacing w:line="400" w:lineRule="exac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cs="Times New Roman"/>
          <w:bCs/>
          <w:sz w:val="24"/>
          <w:szCs w:val="24"/>
        </w:rPr>
        <w:t>主要开发库</w:t>
      </w:r>
      <w:r>
        <w:rPr>
          <w:rFonts w:cs="Times New Roman"/>
          <w:sz w:val="24"/>
          <w:szCs w:val="24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>pandas、numpy、matplotlib、pyecharts、scikit</w:t>
      </w:r>
      <w:r>
        <w:rPr>
          <w:rFonts w:hint="default" w:ascii="Times New Roman" w:hAnsi="Times New Roman" w:eastAsia="宋体" w:cs="Times New Roman"/>
          <w:sz w:val="24"/>
          <w:szCs w:val="24"/>
        </w:rPr>
        <w:noBreakHyphen/>
      </w:r>
      <w:r>
        <w:rPr>
          <w:rFonts w:hint="default" w:ascii="Times New Roman" w:hAnsi="Times New Roman" w:eastAsia="宋体" w:cs="Times New Roman"/>
          <w:sz w:val="24"/>
          <w:szCs w:val="24"/>
        </w:rPr>
        <w:t>learn、statsmodels、</w:t>
      </w:r>
      <w:r>
        <w:rPr>
          <w:rFonts w:hint="eastAsia" w:cs="Times New Roman"/>
          <w:sz w:val="24"/>
          <w:szCs w:val="24"/>
          <w:lang w:val="en-US" w:eastAsia="zh-CN"/>
        </w:rPr>
        <w:tab/>
        <w:t/>
      </w:r>
      <w:r>
        <w:rPr>
          <w:rFonts w:hint="eastAsia" w:cs="Times New Roman"/>
          <w:sz w:val="24"/>
          <w:szCs w:val="24"/>
          <w:lang w:val="en-US" w:eastAsia="zh-CN"/>
        </w:rPr>
        <w:tab/>
        <w:t/>
      </w:r>
      <w:r>
        <w:rPr>
          <w:rFonts w:hint="eastAsia" w:cs="Times New Roman"/>
          <w:sz w:val="24"/>
          <w:szCs w:val="24"/>
          <w:lang w:val="en-US" w:eastAsia="zh-CN"/>
        </w:rPr>
        <w:tab/>
        <w:t xml:space="preserve">  </w:t>
      </w:r>
      <w:r>
        <w:rPr>
          <w:rFonts w:hint="default" w:ascii="Times New Roman" w:hAnsi="Times New Roman" w:eastAsia="宋体" w:cs="Times New Roman"/>
          <w:sz w:val="24"/>
          <w:szCs w:val="24"/>
        </w:rPr>
        <w:t>geopandas</w:t>
      </w:r>
    </w:p>
    <w:p w14:paraId="3C1D5354">
      <w:pPr>
        <w:spacing w:line="400" w:lineRule="exact"/>
        <w:rPr>
          <w:rFonts w:cs="Times New Roman"/>
          <w:bCs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</w:rPr>
        <w:t xml:space="preserve">使用的Coding Agent的工具名称：Claude Code、Qoder（分工5 使用，详见第7节）；其余分工由各成员补充。</w:t>
      </w:r>
    </w:p>
    <w:p w14:paraId="1B41C2FD">
      <w:pPr>
        <w:rPr>
          <w:rFonts w:cs="Times New Roman"/>
        </w:rPr>
      </w:pPr>
    </w:p>
    <w:p w14:paraId="07AB362D">
      <w:pPr>
        <w:pStyle w:val="2"/>
      </w:pPr>
      <w:r>
        <w:rPr/>
        <w:t>3</w:t>
      </w:r>
      <w:r>
        <w:rPr>
          <w:rFonts w:hint="eastAsia"/>
        </w:rPr>
        <w:t xml:space="preserve"> </w:t>
      </w:r>
      <w:r>
        <w:rPr/>
        <w:t>数据说明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>本项目基于上海地铁智能卡刷卡数据分析城市轨道交通客流规律。原始数据来自 Figshare 公开发布的 MetroFlow 数据集</w:t>
      </w:r>
      <w:r>
        <w:rPr>
          <w:rFonts w:ascii="Times New Roman" w:hAnsi="Times New Roman" w:eastAsia="宋体"/>
          <w:b w:val="0"/>
          <w:sz w:val="24"/>
        </w:rPr>
        <w:vertAlign w:val="superscript"/>
        <w:t xml:space="preserve">[1]</w:t>
      </w:r>
      <w:r>
        <w:rPr>
          <w:rFonts w:ascii="Times New Roman" w:hAnsi="Times New Roman" w:eastAsia="宋体"/>
          <w:b w:val="0"/>
          <w:sz w:val="24"/>
        </w:rPr>
        <w:t xml:space="preserve">（Sun 等，Scientific Data, 2025），时间覆盖 2017 年 5 月 1 日至 2017 年 8 月 31 日共 123 天，涉及上海地铁 302 个车站、超过 7 亿条原始刷卡记录，并附有站点属性、小时级天气与工作日日历等辅助信息。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>原始刷卡记录无法直接用于分析，需经过出行行程识别、OD 配对、异常剔除等预处理。分工1 输出的标准化共享数据集共包含 5 个数据表，统一采用 10 分钟时间粒度，每日运营时段为 06:00—23:00，各表文件与规模见表1。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文件名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记录数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std_10min_inout.csv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10分钟粒度站点进出站客流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3,788,892 条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std_10min_od.csv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10分钟粒度OD出行客流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267,318,222 条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station_info.csv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站点信息（编号、名称、经纬度、邻接站）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302 条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weather_hourly.csv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小时级天气（气温、体感温度、降雨、风速）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2,952 条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workday_calendar.csv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日期工作日标记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123 条（含87个工作日）</w:t>
            </w:r>
          </w:p>
        </w:tc>
      </w:tr>
    </w:tbl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>其中站点进出站流量表以「日期+10分钟时段+站点」为主键，记录每个站点每 10 分钟的进站客流 inFlow 与出站客流 outFlow，并进一步区分通勤（HB）与非通勤（NHB）出行细分字段；OD 出行表记录起终点站对之间的 10 分钟客流 Flow，可用于出行距离与流向分析；站点信息表提供各站经纬度与邻接站点，支撑地理可视化；天气表与工作日日历表用于客流的影响因素分析。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>数据质量方面，分工1 完成了完整清洗与校验：进出站表与 OD 表中不存在负流量记录，OD 表中同站进出（originStation 等于 destinationStation）的无效记录数为 0，时间范围完整覆盖 2017-05-01 至 2017-08-31 的每日运营时段，字段无缺失。后续所有统计、可视化与数据挖掘工作均基于该数据集展开。</w:t>
      </w:r>
    </w:p>
    <w:bookmarkEnd w:id="4"/>
    <w:p w14:paraId="2271325B">
      <w:pPr>
        <w:pStyle w:val="2"/>
      </w:pPr>
      <w:r>
        <w:rPr/>
        <w:t>4</w:t>
      </w:r>
      <w:r>
        <w:rPr>
          <w:rFonts w:hint="eastAsia"/>
        </w:rPr>
        <w:t xml:space="preserve"> </w:t>
      </w:r>
      <w:r>
        <w:rPr/>
        <w:t>需求分析</w:t>
      </w:r>
    </w:p>
    <w:p>
      <w:pPr/>
      <w:r>
        <w:t>4.1 功能需求</w:t>
      </w:r>
    </w:p>
    <w:p>
      <w:pPr/>
      <w:r>
        <w:t>本项目面向「上海地铁客流数据分析与可视化」这一核心目标，将系统划分为五个功能模块：（1）数据工程模块（分工1）：从 Figshare 下载 MetroFlow 原始刷卡数据，完成出行行程识别、OD 配对、异常记录剔除与字段标准化，产出全体成员共用的标准化数据集（10 分钟粒度进出站表、OD 表、站点信息表、工作日日历表）；（2）统计分析模块（分工2）：进行全局描述性统计，并从时间、空间、出行距离三个维度提炼客流规律；（3）空间可视化模块（分工3）：构建站点空间底图，绘制客流热力图、分时段对比图、OD 流向图，并产出可交互网页地图；（4）统计图表模块（分工4）：以统一视觉风格绘制时间序列、高峰对比、TOP20 站点、箱线图、通勤模式、距离分布等八类统计图表；（5）数据挖掘模块（分工5）：基于分时客流特征进行 K-Means 站点聚类，并对典型站点构建 ARIMA/SARIMA 短时客流预测模型。各模块成果统一归档至对应交付目录，由总装负责人并稿为期末报告与汇报 PPT。</w:t>
      </w:r>
    </w:p>
    <w:p>
      <w:pPr/>
      <w:r>
        <w:t>4.2 非功能与技术需求</w:t>
      </w:r>
    </w:p>
    <w:p>
      <w:pPr/>
      <w:r>
        <w:t>数据规模方面，原始刷卡记录超 7 亿条、OD 表约 12GB，所有大数据处理必须采用分块（chunk）流式读取以控制内存占用，保证 8GB 内存电脑可运行。可复现性方面，随机过程固定随机种子（random_state=42），模型定阶采用确定性准则（AIC 网格搜索）；数据文件定位统一通过 common.find_data() 解析，禁止硬编码绝对路径。输出规范方面，统计图统一为 300DPI PNG（图N_名称），结果表统一为 utf-8-sig 编码 CSV（表N_名称，Excel 可直接打开），交互可视化输出独立 HTML 文件。数据口径方面，客运量统计默认采用进站量口径（如使用进出站合计必须显式标注）；统计时间范围为 2017-05-01 至 2017-08-31，运营时段 06:00~22:00；6 个刷卡记录近乎缺失的异常日在时序图中标注、在日均与占比计算中统一剔除。</w:t>
      </w:r>
    </w:p>
    <w:p>
      <w:pPr/>
      <w:r>
        <w:t>4.3 业务流程</w:t>
      </w:r>
    </w:p>
    <w:p>
      <w:pPr/>
      <w:r>
        <w:t>系统的业务流程为：原始刷卡数据下载 → 数据清洗与标准化（分工1）→ 形成共享分析数据集 → 并行开展统计分析（分工2）、空间可视化（分工3）、统计图表（分工4）与数据挖掘（分工5）→ 各模块成果归档至对应交付目录 → 总装并稿（期末报告、汇报 PPT、最终打包）。各环节通过统一的路径规范与提交规范衔接，遵循「运行即交付」原则：重跑任一脚本即更新对应交付物，成果与代码永不漂移。</w:t>
      </w:r>
    </w:p>
    <w:p w14:paraId="090D550E">
      <w:pPr>
        <w:pStyle w:val="2"/>
        <w:rPr>
          <w:color w:val="FF0000"/>
        </w:rPr>
      </w:pPr>
      <w:r>
        <w:rPr/>
        <w:t>5</w:t>
      </w:r>
      <w:r>
        <w:rPr>
          <w:rFonts w:hint="eastAsia"/>
        </w:rPr>
        <w:t xml:space="preserve"> </w:t>
      </w:r>
      <w:r>
        <w:rPr/>
        <w:t>系统设计和实现</w:t>
      </w:r>
      <w:r>
        <w:rPr>
          <w:color w:val="FF0000"/>
        </w:rPr>
        <w:t>（包括数据处理过程、数据挖掘算法介绍等）</w:t>
      </w:r>
    </w:p>
    <w:p>
      <w:pPr>
        <w:spacing w:before="120"/>
      </w:pPr>
      <w:r>
        <w:rPr>
          <w:rFonts w:ascii="Times New Roman" w:hAnsi="Times New Roman" w:eastAsia="宋体"/>
          <w:b/>
          <w:sz w:val="24"/>
        </w:rPr>
        <w:t>5.1 数据处理过程（分工1：潘忠琼）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>数据处理遵循「原始数据→清洗→标准化→校验」的管线：首先搭建项目目录结构并从 Figshare 下载 MetroFlow 原始数据集，分类存放；随后参考官方项目处理管线，完成时间字段拼接与10 分钟粒度统一；再执行数据清洗，包括剔除同站进出的无效 OD 记录、过滤负流量异常、保留站点信息表内的有效站点、筛选每日 06:00—23:00 运营时段等；最后输出标准化中间数据集并做质量校验。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>由于 OD 表原始体积约 12GB，处理采用 pandas 分块（chunk）方式流式读取，共处理原始 OD 记录约 2.67 亿条、进出站记录约 378.9 万条。清洗完成后使用 data_check.py 校验脚本进行质量核验：进出站表最小 inFlow、outFlow 均为 0，无负流量；OD 表抽样校验同站记录为 0、最小 Flow 为 1，时间范围为 2017-05-01 06:00 至 2017-08-31 22:50，数据完整可用。处理全过程记录于《数据预处理说明文档》与清洗运行日志。</w:t>
      </w:r>
    </w:p>
    <w:p>
      <w:pPr>
        <w:spacing w:before="120"/>
      </w:pPr>
      <w:r>
        <w:rPr>
          <w:rFonts w:ascii="Times New Roman" w:hAnsi="Times New Roman" w:eastAsia="宋体"/>
          <w:b/>
          <w:sz w:val="24"/>
        </w:rPr>
        <w:t>5.2 K-Means 站点客流模式聚类（分工5：袁楚帘）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>K-Means 是基于划分的无监督聚类算法：给定簇数 K，算法随机初始化 K 个簇中心，反复执行「样本按最近中心分配→按簇内均值更新中心」两步直至收敛，最终最小化簇内误差平方和 SSE。本任务将客流模式相近的地铁站归为一类，识别通勤、枢纽、休闲等功能类型</w:t>
      </w:r>
      <w:r>
        <w:rPr>
          <w:rFonts w:ascii="Times New Roman" w:hAnsi="Times New Roman" w:eastAsia="宋体"/>
          <w:b w:val="0"/>
          <w:sz w:val="24"/>
        </w:rPr>
        <w:vertAlign w:val="superscript"/>
        <w:t xml:space="preserve">[2-3]</w:t>
      </w:r>
      <w:r>
        <w:rPr>
          <w:rFonts w:ascii="Times New Roman" w:hAnsi="Times New Roman" w:eastAsia="宋体"/>
          <w:b w:val="0"/>
          <w:sz w:val="24"/>
        </w:rPr>
        <w:t xml:space="preserve">。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>特征工程上，以站点进出站流量表为输入，汇总出每个站点「工作日平均分时进/出站客流（17 小时×2）+ 周末平均分时进/出站客流（34 维）+ 日均总客流」共 69 维特征。考虑到枢纽站与郊区站客流规模相差百倍以上，先对流量做 log(1+x) 压缩再做 Z-score 标准化，使客流的时间模式与流量规模共同参与聚类。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>聚类数 K 通过肘部法则（SSE 下降趋缓点）与轮廓系数（越大表示簇内越紧、簇间越分离）联合确定。在 K=3~8 范围内的搜索结果见表2 与图1：SSE 随 K 增大单调下降，K 大于 5 后下降明显趋缓；轮廓系数在 K=3 时最高（0.3734）。综合任务对 5 类站点类型的要求与肘部位置，最终取 K=5，对应轮廓系数 0.3070</w:t>
      </w:r>
      <w:r>
        <w:rPr>
          <w:rFonts w:ascii="Times New Roman" w:hAnsi="Times New Roman" w:eastAsia="宋体"/>
          <w:b w:val="0"/>
          <w:sz w:val="24"/>
        </w:rPr>
        <w:vertAlign w:val="superscript"/>
        <w:t xml:space="preserve">[4-5]</w:t>
      </w:r>
      <w:r>
        <w:rPr>
          <w:rFonts w:ascii="Times New Roman" w:hAnsi="Times New Roman" w:eastAsia="宋体"/>
          <w:b w:val="0"/>
          <w:sz w:val="24"/>
        </w:rPr>
        <w:t xml:space="preserve">。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>为验证算法选型的稳健性，本项目另在相同的 69 维特征矩阵上，对比了高斯混合模型（GMM）</w:t>
      </w:r>
      <w:r>
        <w:rPr>
          <w:rFonts w:ascii="Times New Roman" w:hAnsi="Times New Roman" w:eastAsia="宋体"/>
          <w:b w:val="0"/>
          <w:sz w:val="24"/>
        </w:rPr>
        <w:vertAlign w:val="superscript"/>
        <w:t xml:space="preserve">[6]</w:t>
      </w:r>
      <w:r>
        <w:rPr>
          <w:rFonts w:ascii="Times New Roman" w:hAnsi="Times New Roman" w:eastAsia="宋体"/>
          <w:b w:val="0"/>
          <w:sz w:val="24"/>
        </w:rPr>
        <w:t>与 Ward 层次聚类</w:t>
      </w:r>
      <w:r>
        <w:rPr>
          <w:rFonts w:ascii="Times New Roman" w:hAnsi="Times New Roman" w:eastAsia="宋体"/>
          <w:b w:val="0"/>
          <w:sz w:val="24"/>
        </w:rPr>
        <w:vertAlign w:val="superscript"/>
        <w:t xml:space="preserve">[7]</w:t>
      </w:r>
      <w:r>
        <w:rPr>
          <w:rFonts w:ascii="Times New Roman" w:hAnsi="Times New Roman" w:eastAsia="宋体"/>
          <w:b w:val="0"/>
          <w:sz w:val="24"/>
        </w:rPr>
        <w:t xml:space="preserve">在 K=3~8 的轮廓系数表现：三种方法的统计最优 K 均为 3，说明站点客流数据并不存在唯一的天然簇数；在业务口径要求的 K=5 处，K-Means（0.307）与允许椭圆簇的 GMM（0.312）基本持平，且明显高于 Ward（0.268），表明 K-Means 的球形簇假设并未限制聚类质量，「K=5 + K-Means」是业务约束下的稳健组合（完整对比见 分工5_数据挖掘/聚类/聚类方法对比结论.md）。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K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SSE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轮廓系数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6615.8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0.3734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4932.7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0.342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4028.1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0.307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3526.9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0.2915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3129.4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0.2915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2778.7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0.2978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3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肘部法则与轮廓系数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图1 肘部法则与轮廓系数确定最佳聚类数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>聚类结果通过 PCA 降至二维可视化（图2），第一主成分解释方差 87%，主要对应客流规模，各簇沿主成分方向层次分明。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049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聚类散点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4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图2 K-Means聚类结果PCA降维散点图</w:t>
      </w:r>
    </w:p>
    <w:p>
      <w:pPr>
        <w:spacing w:before="120"/>
      </w:pPr>
      <w:r>
        <w:rPr>
          <w:rFonts w:ascii="Times New Roman" w:hAnsi="Times New Roman" w:eastAsia="宋体"/>
          <w:b/>
          <w:sz w:val="24"/>
        </w:rPr>
        <w:t>5.3 ARIMA 短时客流预测（分工5：袁楚帘）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>ARIMA(p,d,q) 是经典的时间序列预测模型，其中 d 为差分阶数（通过 ADF 单位根检验确定平稳性），p、q 分别为自回归与移动平均阶数，本文以 AIC 信息准则最小化进行网格定阶。考虑到地铁客流存在显著的日内早晚高峰周期，进一步引入季节项 SARIMA(p,d,q)×(P,D,Q,s)。夜间停运时段客流恒为 0，不参与建模，序列按每天 06:00—22:00 共 17 个运营小时拼接，因此周期长度 s=17</w:t>
      </w:r>
      <w:r>
        <w:rPr>
          <w:rFonts w:ascii="Times New Roman" w:hAnsi="Times New Roman" w:eastAsia="宋体"/>
          <w:b w:val="0"/>
          <w:sz w:val="24"/>
        </w:rPr>
        <w:vertAlign w:val="superscript"/>
        <w:t xml:space="preserve">[8]</w:t>
      </w:r>
      <w:r>
        <w:rPr>
          <w:rFonts w:ascii="Times New Roman" w:hAnsi="Times New Roman" w:eastAsia="宋体"/>
          <w:b w:val="0"/>
          <w:sz w:val="24"/>
        </w:rPr>
        <w:t xml:space="preserve">。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>从聚类结果中选取两类典型站点构建预测任务：综合枢纽站人民广场（People's Square）与通勤居住站莘庄（Xinzhuang）。两站均取小时级进站客流，前 116 天（1972 个观测）为训练集，最后 7 天（119 个观测）为样本外测试集，并以「上周同一时刻」作为朴素基线对比。ADF 检验显示两站原序列 p 值均小于 0.05，序列平稳，d=0；AIC 网格搜索确定的最终模型为 SARIMA(1, 0, 2)x(1, 1, 1, 17) 与 SARIMA(1, 0, 2)x(1, 1, 1, 17)。</w:t>
      </w:r>
    </w:p>
    <w:p w14:paraId="3B8AE378">
      <w:pPr>
        <w:pStyle w:val="2"/>
      </w:pPr>
      <w:r>
        <w:rPr/>
        <w:t>6</w:t>
      </w:r>
      <w:r>
        <w:rPr>
          <w:rFonts w:hint="eastAsia"/>
        </w:rPr>
        <w:t xml:space="preserve"> </w:t>
      </w:r>
      <w:r>
        <w:rPr/>
        <w:t>结果分析</w:t>
      </w:r>
      <w:r>
        <w:rPr>
          <w:rFonts w:hint="eastAsia"/>
          <w:color w:val="FF0000"/>
        </w:rPr>
        <w:t>（需详细介绍）</w:t>
      </w:r>
    </w:p>
    <w:p>
      <w:pPr>
        <w:spacing w:before="120"/>
      </w:pPr>
      <w:r>
        <w:rPr>
          <w:rFonts w:ascii="Times New Roman" w:hAnsi="Times New Roman" w:eastAsia="宋体"/>
          <w:b/>
          <w:sz w:val="24"/>
        </w:rPr>
        <w:t>6.1 聚类结果分析（分工5）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>K=5 时 302 个站点被划分为 5 种功能类型，各类站点数量与平均日均客流见表3。综合枢纽站 26 座（日均客流约 250,949 人次），包括人民广场、上海火车站、徐家汇、南京东路等城市级枢纽，其全天进出站客流均处于高位；就业办公站 75 座，工作日早高峰出站、晚高峰进站特征明显，典型如金科路（张江）、浦电路等；通勤居住站 98 座，呈「早进晚出」双峰形态，集中在外环居住组团；休闲商圈站 79 座，周末客流比例相对更高，包含迪士尼、中华艺术宫、源深体育中心等文旅体场馆站点；郊区低频站点 24 座，全天客流平缓且规模最小。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站点类型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站点数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平均日均总客流（人次）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综合枢纽站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26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250949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就业办公站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75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99200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通勤居住站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98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56029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休闲商圈站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79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29398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郊区低频站点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</w:t>
            </w:r>
          </w:p>
        </w:tc>
        <w:tc>
          <w:tcPr>
            <w:tcW w:type="dxa" w:w="2769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11067</w:t>
            </w:r>
          </w:p>
        </w:tc>
      </w:tr>
    </w:tbl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>图3 给出各类型站点的工作日平均分时客流画像：综合枢纽站双峰高耸且午间维持高位；通勤居住站与就业办公站的进出站曲线近似镜像，早晚高峰清晰对映；休闲商圈站下午至晚间客流抬升；郊区低频站全天低平。聚类画像与站点实际城市功能高度吻合，验证了「分时客流特征+K-Means」方案的有效性，可为线路规划、站点周边业态分析与运营排班提供依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9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各簇分时客流画像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图3 各类型站点工作日平均分时客流画像</w:t>
      </w:r>
    </w:p>
    <w:p>
      <w:pPr>
        <w:spacing w:before="120"/>
      </w:pPr>
      <w:r>
        <w:rPr>
          <w:rFonts w:ascii="Times New Roman" w:hAnsi="Times New Roman" w:eastAsia="宋体"/>
          <w:b/>
          <w:sz w:val="24"/>
        </w:rPr>
        <w:t>6.2 短时客流预测效果分析（分工5）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>两座典型站点未来 7 天（119 个运营小时）的样本外预测误差见表4。以人民广场为例，季节 SARIMA 的平均绝对误差 MAE 为 1204.11 人次/小时，较不含周期项的普通 ARIMA（MAE 2185.26）下降约 45%；莘庄站结论一致（MAE 由 2027.49 降至 868.17）。这说明周期项对刻画地铁日内客流节律至关重要。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站点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方法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MAE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MSE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RMSE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MAPE(%)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People's Square(人民广场·枢纽)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普通ARIMA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2185.26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8051755.0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2837.56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34.48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People's Square(人民广场·枢纽)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季节SARIMA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1204.11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3254313.4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1803.97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14.86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People's Square(人民广场·枢纽)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上周同时刻基线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661.9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937080.5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968.03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6.86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Xinzhuang(莘庄·通勤)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普通ARIMA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2027.49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10912412.2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3303.39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79.66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Xinzhuang(莘庄·通勤)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季节SARIMA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868.17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2711239.1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1646.58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20.44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Xinzhuang(莘庄·通勤)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上周同时刻基线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232.61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282474.5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531.48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6.38</w:t>
            </w:r>
          </w:p>
        </w:tc>
      </w:tr>
    </w:tbl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>图4 为预测对比曲线。普通 ARIMA 缺少周期项，多步预测后迅速收敛到序列均值附近，完全无法跟随早晚高峰；季节 SARIMA 的预测曲线与真实曲线峰形与相位基本同步，验证了 s=17 周期设定与 AIC 定阶的有效性。但 SARIMA 也存在明显不足：一是受线性模型均值回归特性影响，对高峰客流量的估计偏低；二是 s=17 仅刻画日内周期，未区分工作日与周末，导致周末出现虚高的通勤高峰预测。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>值得注意的是，「上周同一时刻」朴素基线的误差指标优于两个模型（人民广场 MAE 661.9）。这一方面说明地铁周级客流具有极强的规律性，直接复制上周曲线已相当准确；另一方面，朴素基线只是历史值的原样平移，无法适应节假日、大型活动、天气突变等场景，而参数化模型可通过引入外生变量（SARIMAX）、区分工作日/周末子序列、缩短预测步长做滚动预测等方式持续改进。后续工作将沿上述方向提升模型实用价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59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客流预测对比曲线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5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图4 典型站点未来7天进站客流预测对比</w:t>
      </w:r>
    </w:p>
    <w:p>
      <w:pPr/>
      <w:r>
        <w:t>6.3 客流时空统计分析（分工2：胡颖）</w:t>
      </w:r>
    </w:p>
    <w:p>
      <w:pPr/>
      <w:r>
        <w:t>全局层面，2017-05-01 至 2017-08-31 共 123 天统计期内，全网总进站量 7.289 亿人次，日均进站 592.6 万人次（进站量口径）。时间层面，工作日日均进站 651.1 万人次，较周末的 451.0 万人次高约 44%，印证通勤出行是全网客流主体；日内呈显著双峰形态，早高峰出现在 8:00、晚高峰出现在 17:00，且早高峰强于晚高峰。周内节奏上，周五叠加通勤与晚间休闲双重需求，以日均 681 万人次居全周之首，周日则以 431 万人次为谷底。月度走势先降后升：6 月受梅雨季与学期末出行减少影响形成约 1.70 亿人次的低谷，7 月起暑期旅游、返乡、休闲出行叠加，8 月达 1.94 亿人次峰值。</w:t>
      </w:r>
    </w:p>
    <w:p>
      <w:pPr/>
      <w:r>
        <w:t>空间层面，进站量呈明显的枢纽集聚：People's Square（人民广场）以约 1800 万人次断层领先，约为次席 Xujiahui（徐家汇，1194 万）的 1.5 倍，源于 1/2/8 号线三线换乘、南京东路商圈与旅游核心区位的多重叠加；第三位为 Jing'an Temple（静安寺，1189 万）；进站量最小的 Fuxing Island（复兴岛）与枢纽站相差两个数量级。出行距离方面，按客流量加权的全网平均出行距离为 16.06 km（起终点站经纬度球面直线距离口径，非沿轨道的实际路径距离）。在分工1 补充数据的支撑下，本部分新增三项时空指标：全网最繁忙线路为 Line 2（沿线单站日均进站 27,411 人次，表7）；以距人民广场 15 km 为界划分，核心城区站点的客流强度显著高于郊区站点（表8/表8b）；按 OD 流量加权的平均出行时长约 44.73 分钟、平均换乘 2.05 次（出行时长为分工1 基于站点邻接图最短路径的模型估算值，非实测，见表9）。以上结果明细见 分工2_统计分析/表1~表9。</w:t>
      </w:r>
    </w:p>
    <w:p>
      <w:pPr/>
      <w:r>
        <w:t>6.4 空间地图可视化（分工3：吕可珊）</w:t>
      </w:r>
    </w:p>
    <w:p>
      <w:pPr/>
      <w:r>
        <w:t>分工3 将客流数据落到地理空间：基于高德浅色底图绘制 302 个站点的全时段客流热力图（图5），点大小与颜色双编码客流规模并标注 TOP10 核心站点，客流的空间集聚格局一目了然；OD 流向图（图6）以贝塞尔弧线呈现 TOP50 客流对的走向与量级，弧线越粗客流越大，直观勾勒出城市主要通勤走廊。此外还产出早高峰/晚高峰/工作日/周末四宫格对比图、工作日−周末差值图（红色为通勤主导站、蓝色为休闲主导站），以及基于 Folium 的交互网页地图（点击任意站点可查看全天、早晚高峰、工作日/周末日均五项客流指标），站点空间数据同步输出为 GeoJSON，可直接用于 QGIS、Kepler.gl 等 GIS 工具。</w:t>
      </w:r>
    </w:p>
    <w:p>
      <w:r>
        <w:drawing>
          <wp:inline xmlns:a="http://schemas.openxmlformats.org/drawingml/2006/main" xmlns:pic="http://schemas.openxmlformats.org/drawingml/2006/picture">
            <wp:extent cx="4824616" cy="32003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 全时段站点客流热力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4616" cy="3200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图5 全时段站点客流热力图（分工3）</w:t>
      </w:r>
    </w:p>
    <w:p>
      <w:r>
        <w:drawing>
          <wp:inline xmlns:a="http://schemas.openxmlformats.org/drawingml/2006/main" xmlns:pic="http://schemas.openxmlformats.org/drawingml/2006/picture">
            <wp:extent cx="4234941" cy="32003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4 全时段OD客流流向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4941" cy="3200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图6 TOP50 OD 客流流向图（分工3）</w:t>
      </w:r>
    </w:p>
    <w:p>
      <w:pPr/>
      <w:r>
        <w:t>6.5 统计图表与出行模式可视化（分工4：李嫣）</w:t>
      </w:r>
    </w:p>
    <w:p>
      <w:pPr/>
      <w:r>
        <w:t>分工4 通过 viz_style.py 建立全项目统一的视觉规范（统一配色、字号与 300DPI 白底输出），并绘制八类统计图表。其结果在时间维度与分工2 相互印证：工作日呈显著双峰结构且早高峰（07:00–09:00）强于晚高峰（17:00–19:00），周末则为午后平缓的单峰；全网日均客流约 1300 万人次（该数字为进出站合计口径，与 6.3 节进站量口径的 592.6 万不可直接比较）。出行模式上，工作日早高峰进站客流中通勤（C）目的占比近半，通勤出行约占进站总量的 36%，周末降至约 16%（图7）；站点客流规模按「综合枢纽 &gt; 就业办公 &gt; 通勤居住 &gt; 休闲商圈 &gt; 郊区低频」排序，与分工5 的聚类类型体系一致，形成交叉验证。原始数据中 6 个刷卡近乎缺失的异常日在时序图中以红圈标注，并在日均与占比计算中统一剔除，保证全项目统计口径一致。</w:t>
      </w:r>
    </w:p>
    <w:p>
      <w:r>
        <w:drawing>
          <wp:inline xmlns:a="http://schemas.openxmlformats.org/drawingml/2006/main" xmlns:pic="http://schemas.openxmlformats.org/drawingml/2006/picture">
            <wp:extent cx="5120640" cy="20570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6 通勤非通勤模式对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57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图7 通勤与非通勤出行模式对比（分工4）</w:t>
      </w:r>
    </w:p>
    <w:p w14:paraId="65E0086D">
      <w:pPr>
        <w:pStyle w:val="2"/>
      </w:pPr>
      <w:r>
        <w:rPr/>
        <w:t xml:space="preserve">7. </w:t>
      </w:r>
      <w:r>
        <w:rPr>
          <w:rFonts w:hint="eastAsia"/>
        </w:rPr>
        <w:t>AI辅助过程</w:t>
      </w:r>
      <w:r>
        <w:rPr/>
        <w:t xml:space="preserve"> 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 xml:space="preserve">7.1 分工5（袁楚帘）：AI 辅助数据恢复、算法实验与总装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 xml:space="preserve">分工5 在数据恢复、算法实验与总装交付三个环节使用了 AI 编程助手（Claude Code / Qoder）辅助完成：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 xml:space="preserve">（1）数据恢复：分析所需的工作日日历一度缺失，在 AI 协助下按 2017 年法定节假日规则（五一与端午各 3 天休假、5 月 27 日调休上班）重建 workday_calendar.csv，并以「重跑聚类后轮廓系数与原结果完全一致（K=3 为 0.3734、K=5 为 0.3070）」验证了重建数据与原版等效；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 xml:space="preserve">（2）方法对比实验：由 AI 起草 cluster_method_comparison.py 并经人工调试，在同一特征矩阵上完成 K-Means / GMM / Ward 三方法 × K=3~8 共 18 组对比实验，自动输出对比表、折线图与结论文档；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 xml:space="preserve">（3）总装交付：使用 python-docx / python-pptx 辅助完成报告图表嵌入、结果分析与 13 页汇报 PPT 初稿的批量生成。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 xml:space="preserve">人工把关：特征设计口径、K 值的业务决策（对应 5 类站点类型）、结果解读与全部交付物的检查均由本人完成；AI 生成的脚本一律经本地运行验证、结果与既有结论交叉核对后才提交入库。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 xml:space="preserve">提示词示例：「请在同一份站点分时客流特征矩阵上，用 K-Means / GMM / Ward 三种方法对比 K=3~8 的轮廓系数与 BIC，输出对比表与图，并据此回答『为什么选 K=5』『K-Means 是否合适』两个质疑。」</w:t>
      </w:r>
    </w:p>
    <w:p>
      <w:pPr>
        <w:spacing w:line="400" w:lineRule="exact" w:before="0" w:after="0"/>
        <w:ind w:firstLineChars="200"/>
      </w:pPr>
      <w:r>
        <w:t xml:space="preserve">7.2 其他分工：【待各成员补充各自的 AI 使用素材后填入】</w:t>
      </w:r>
    </w:p>
    <w:p w14:paraId="097C9434">
      <w:pPr>
        <w:pStyle w:val="2"/>
      </w:pPr>
      <w:r>
        <w:rPr>
          <w:rFonts w:hint="eastAsia"/>
        </w:rPr>
        <w:t>8</w:t>
      </w:r>
      <w:r>
        <w:rPr/>
        <w:t xml:space="preserve"> </w:t>
      </w:r>
      <w:r>
        <w:rPr>
          <w:rFonts w:hint="eastAsia"/>
        </w:rPr>
        <w:t>总结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>本项目以上海地铁 2017 年 5—8 月超过 7 亿条刷卡记录为对象，完成了「数据治理→统计分析→多维可视化→数据挖掘建模」的全流程实践：分工1 构建了 10 分钟粒度的标准化共享数据集；分工2—4 围绕客流时空规律完成了统计结论与可视化成果；分工5 在此基础上实现了 K-Means 站点聚类与 ARIMA 短时客流预测，并完成全部成果的整合交付。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>项目的主要创新点：（1）站点聚类采用「工作日/周末×17 运营小时×进出站」的分时特征并引入 log1p 压缩，兼顾客流模式与规模，聚类出的 5 类站点与真实城市功能高度吻合；（2）针对地铁夜间停运的特点，将序列按每日 17 个运营小时拼接并令季节周期 s=17，使 SARIMA 有效捕捉早晚高峰节律；（3）用业务指标规则自动为抽象簇赋予可解释的中文类型标签，保证聚类结果可读、可核查。</w:t>
      </w:r>
    </w:p>
    <w:p>
      <w:pPr>
        <w:spacing w:line="400" w:lineRule="exact" w:before="0" w:after="0"/>
        <w:ind w:firstLineChars="200"/>
      </w:pPr>
      <w:r>
        <w:rPr>
          <w:rFonts w:ascii="Times New Roman" w:hAnsi="Times New Roman" w:eastAsia="宋体"/>
          <w:b w:val="0"/>
          <w:sz w:val="24"/>
        </w:rPr>
        <w:t>项目仍存在不足：聚类轮廓系数中等（0.31），说明站点客流模式存在连续过渡，硬聚类边界有一定主观性；预测模型为线性时间序列模型，未纳入天气、节假日、大型活动等外生变量，对突发客流适应性有限；OD 表仅用于清洗与统计，尚未开展路径级别的网络分析。后续可尝试 SARIMAX/XGBoost/LSTM 等引入外生变量的模型、结合站点经纬度做时空联合聚类，并利用 OD 数据进行客流分配与网络韧性分析。</w:t>
      </w:r>
    </w:p>
    <w:p>
      <w:pPr>
        <w:pStyle w:val="2"/>
      </w:pPr>
      <w:r>
        <w:t>参考文献</w:t>
      </w:r>
    </w:p>
    <w:p>
      <w:r>
        <w:rPr>
          <w:rFonts w:ascii="Times New Roman" w:hAnsi="Times New Roman" w:eastAsia="宋体"/>
          <w:b w:val="0"/>
          <w:sz w:val="24"/>
        </w:rPr>
        <w:t>[1] SUN P, YANG J, HUANG Z, et al. Human mobility datasets in the complex metro system of Shanghai[J]. Scientific Data, 2025, 12: 1061.</w:t>
      </w:r>
    </w:p>
    <w:p>
      <w:r>
        <w:rPr>
          <w:rFonts w:ascii="Times New Roman" w:hAnsi="Times New Roman" w:eastAsia="宋体"/>
          <w:b w:val="0"/>
          <w:sz w:val="24"/>
        </w:rPr>
        <w:t>[2] 孙吉贵, 刘杰, 赵连宇. 聚类算法研究[J]. 软件学报, 2008, 19(1): 48-61.</w:t>
      </w:r>
    </w:p>
    <w:p>
      <w:r>
        <w:rPr>
          <w:rFonts w:ascii="Times New Roman" w:hAnsi="Times New Roman" w:eastAsia="宋体"/>
          <w:b w:val="0"/>
          <w:sz w:val="24"/>
        </w:rPr>
        <w:t>[3] MACQUEEN J. Some methods for classification and analysis of multivariate observations[C]//Proceedings of the Fifth Berkeley Symposium on Mathematical Statistics and Probability. Berkeley: University of California Press, 1967: 281-297.</w:t>
      </w:r>
    </w:p>
    <w:p>
      <w:r>
        <w:rPr>
          <w:rFonts w:ascii="Times New Roman" w:hAnsi="Times New Roman" w:eastAsia="宋体"/>
          <w:b w:val="0"/>
          <w:sz w:val="24"/>
        </w:rPr>
        <w:t>[4] SYAKUR M A, KHOTIMAH B K, ROCHMAN E M S, et al. Integration of K-means clustering method for elbow and hierarchical clustering in IC50 application[C]//IOP Conference Series: Materials Science and Engineering. Bristol: IOP Publishing, 2018, 335(1): 012061.</w:t>
      </w:r>
    </w:p>
    <w:p>
      <w:r>
        <w:rPr>
          <w:rFonts w:ascii="Times New Roman" w:hAnsi="Times New Roman" w:eastAsia="宋体"/>
          <w:b w:val="0"/>
          <w:sz w:val="24"/>
        </w:rPr>
        <w:t>[5] ROUSSEEUW P J. Silhouettes: a graphical aid to the interpretation and validation of cluster analysis[J]. Journal of Computational and Applied Mathematics, 1987, 20: 53-65.</w:t>
      </w:r>
    </w:p>
    <w:p>
      <w:r>
        <w:rPr>
          <w:rFonts w:ascii="Times New Roman" w:hAnsi="Times New Roman" w:eastAsia="宋体"/>
          <w:b w:val="0"/>
          <w:sz w:val="24"/>
        </w:rPr>
        <w:t>[6] DEMPSTER A P, LAIRD N M, RUBIN D B. Maximum likelihood from incomplete data via the EM algorithm[J]. Journal of the Royal Statistical Society: Series B (Methodological), 1977, 39(1): 1-38.</w:t>
      </w:r>
    </w:p>
    <w:p>
      <w:r>
        <w:rPr>
          <w:rFonts w:ascii="Times New Roman" w:hAnsi="Times New Roman" w:eastAsia="宋体"/>
          <w:b w:val="0"/>
          <w:sz w:val="24"/>
        </w:rPr>
        <w:t>[7] WARD J H. Hierarchical grouping to optimize an objective function[J]. Journal of the American Statistical Association, 1963, 58(301): 236-244.</w:t>
      </w:r>
    </w:p>
    <w:p>
      <w:r>
        <w:rPr>
          <w:rFonts w:ascii="Times New Roman" w:hAnsi="Times New Roman" w:eastAsia="宋体"/>
          <w:b w:val="0"/>
          <w:sz w:val="24"/>
        </w:rPr>
        <w:t>[8] BOX G E P, JENKINS G M. Time Series Analysis: Forecasting and Control[M]. San Francisco: Holden-Day, 1970.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607E72"/>
    <w:multiLevelType w:val="multilevel"/>
    <w:tmpl w:val="77607E72"/>
    <w:lvl w:ilvl="0" w:tentative="0">
      <w:start w:val="1"/>
      <w:numFmt w:val="decimal"/>
      <w:lvlText w:val="%1)"/>
      <w:lvlJc w:val="left"/>
      <w:pPr>
        <w:ind w:left="2100" w:hanging="420"/>
      </w:pPr>
    </w:lvl>
    <w:lvl w:ilvl="1" w:tentative="0">
      <w:start w:val="1"/>
      <w:numFmt w:val="lowerLetter"/>
      <w:lvlText w:val="%2)"/>
      <w:lvlJc w:val="left"/>
      <w:pPr>
        <w:ind w:left="2520" w:hanging="420"/>
      </w:pPr>
    </w:lvl>
    <w:lvl w:ilvl="2" w:tentative="0">
      <w:start w:val="1"/>
      <w:numFmt w:val="lowerRoman"/>
      <w:lvlText w:val="%3."/>
      <w:lvlJc w:val="right"/>
      <w:pPr>
        <w:ind w:left="2940" w:hanging="420"/>
      </w:pPr>
    </w:lvl>
    <w:lvl w:ilvl="3" w:tentative="0">
      <w:start w:val="1"/>
      <w:numFmt w:val="decimal"/>
      <w:lvlText w:val="%4."/>
      <w:lvlJc w:val="left"/>
      <w:pPr>
        <w:ind w:left="3360" w:hanging="420"/>
      </w:pPr>
    </w:lvl>
    <w:lvl w:ilvl="4" w:tentative="0">
      <w:start w:val="1"/>
      <w:numFmt w:val="lowerLetter"/>
      <w:lvlText w:val="%5)"/>
      <w:lvlJc w:val="left"/>
      <w:pPr>
        <w:ind w:left="3780" w:hanging="420"/>
      </w:pPr>
    </w:lvl>
    <w:lvl w:ilvl="5" w:tentative="0">
      <w:start w:val="1"/>
      <w:numFmt w:val="lowerRoman"/>
      <w:lvlText w:val="%6."/>
      <w:lvlJc w:val="right"/>
      <w:pPr>
        <w:ind w:left="4200" w:hanging="420"/>
      </w:pPr>
    </w:lvl>
    <w:lvl w:ilvl="6" w:tentative="0">
      <w:start w:val="1"/>
      <w:numFmt w:val="decimal"/>
      <w:lvlText w:val="%7."/>
      <w:lvlJc w:val="left"/>
      <w:pPr>
        <w:ind w:left="4620" w:hanging="420"/>
      </w:pPr>
    </w:lvl>
    <w:lvl w:ilvl="7" w:tentative="0">
      <w:start w:val="1"/>
      <w:numFmt w:val="lowerLetter"/>
      <w:lvlText w:val="%8)"/>
      <w:lvlJc w:val="left"/>
      <w:pPr>
        <w:ind w:left="5040" w:hanging="420"/>
      </w:pPr>
    </w:lvl>
    <w:lvl w:ilvl="8" w:tentative="0">
      <w:start w:val="1"/>
      <w:numFmt w:val="lowerRoman"/>
      <w:lvlText w:val="%9."/>
      <w:lvlJc w:val="right"/>
      <w:pPr>
        <w:ind w:left="54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3736EB"/>
    <w:rsid w:val="7A55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3"/>
    <w:next w:val="1"/>
    <w:qFormat/>
    <w:uiPriority w:val="9"/>
    <w:pPr>
      <w:outlineLvl w:val="0"/>
    </w:pPr>
    <w:rPr>
      <w:rFonts w:eastAsia="黑体" w:cs="Times New Roman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outlineLvl w:val="1"/>
    </w:pPr>
    <w:rPr>
      <w:rFonts w:cstheme="majorBidi"/>
      <w:b/>
      <w:bCs/>
      <w:sz w:val="24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spacing w:line="360" w:lineRule="auto"/>
      <w:ind w:firstLine="420" w:firstLineChars="200"/>
    </w:pPr>
    <w:rPr>
      <w:rFonts w:cs="Times New Roman"/>
      <w:sz w:val="24"/>
      <w:szCs w:val="24"/>
    </w:r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817</Words>
  <Characters>927</Characters>
  <Lines>0</Lines>
  <Paragraphs>0</Paragraphs>
  <TotalTime>5</TotalTime>
  <ScaleCrop>false</ScaleCrop>
  <LinksUpToDate>false</LinksUpToDate>
  <CharactersWithSpaces>957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2026-09-03T02:00:00Z</dcterms:created>
  <dc:creator>32638</dc:creator>
  <cp:lastModifiedBy>WPS_1756266464</cp:lastModifiedBy>
  <dcterms:modified xsi:type="dcterms:W3CDTF">2026-09-03T02:20:33Z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eyJoZGlkIjoiN2Y3YjBhOTFhMDc5OGEwNzIwZjJmMTdiN2FkYTFiZTciLCJ1c2VySWQiOiIxNzMyNzEwMzQ0In0=</vt:lpwstr>
  </property>
  <property fmtid="{D5CDD505-2E9C-101B-9397-08002B2CF9AE}" pid="4" name="ICV">
    <vt:lpwstr>15893A9E054B4A05AF8082CCEBB18555_12</vt:lpwstr>
  </property>
</Properties>
</file>