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5DA630F3"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Another issue to be addressed is the intercorrelation between potential predictors</w:t>
      </w:r>
      <w:r w:rsidR="001B239C">
        <w:rPr>
          <w:rFonts w:ascii="Arial" w:eastAsiaTheme="minorEastAsia" w:hAnsi="Arial" w:cs="Arial"/>
          <w:kern w:val="2"/>
          <w:sz w:val="21"/>
          <w:szCs w:val="22"/>
        </w:rPr>
        <w:t xml:space="preserve"> (Table 2)</w:t>
      </w:r>
      <w:r w:rsidRPr="003F4D66">
        <w:rPr>
          <w:rFonts w:ascii="Arial" w:eastAsiaTheme="minorEastAsia" w:hAnsi="Arial" w:cs="Arial"/>
          <w:kern w:val="2"/>
          <w:sz w:val="21"/>
          <w:szCs w:val="22"/>
        </w:rPr>
        <w:t xml:space="preserve">.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perc_population_with_high_school_degree,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(4.41), is not redundant (P_value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perc_non_citizen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(P_value = 0.772).</w:t>
      </w:r>
    </w:p>
    <w:p w14:paraId="5737D12F" w14:textId="36A12058" w:rsidR="003060AB" w:rsidRPr="003F4D66" w:rsidRDefault="001D5C25" w:rsidP="00F44A4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6238C5">
        <w:rPr>
          <w:rFonts w:ascii="Arial" w:eastAsiaTheme="minorEastAsia" w:hAnsi="Arial" w:cs="Arial"/>
          <w:kern w:val="2"/>
          <w:sz w:val="21"/>
          <w:szCs w:val="22"/>
        </w:rPr>
        <w:t>:</w:t>
      </w:r>
      <w:r w:rsidR="003060AB" w:rsidRPr="003F4D66">
        <w:rPr>
          <w:rFonts w:ascii="Arial" w:eastAsiaTheme="minorEastAsia" w:hAnsi="Arial" w:cs="Arial"/>
          <w:kern w:val="2"/>
          <w:sz w:val="21"/>
          <w:szCs w:val="22"/>
        </w:rPr>
        <w:t xml:space="preserve"> </w:t>
      </w:r>
      <w:r w:rsidR="00F44A45">
        <w:rPr>
          <w:rFonts w:ascii="Arial" w:eastAsiaTheme="minorEastAsia" w:hAnsi="Arial" w:cs="Arial"/>
          <w:kern w:val="2"/>
          <w:sz w:val="21"/>
          <w:szCs w:val="22"/>
        </w:rPr>
        <w:t xml:space="preserve">gini index and </w:t>
      </w:r>
      <w:r w:rsidR="00F44A45" w:rsidRPr="003F4D66">
        <w:rPr>
          <w:rFonts w:ascii="Arial" w:eastAsiaTheme="minorEastAsia" w:hAnsi="Arial" w:cs="Arial"/>
          <w:kern w:val="2"/>
          <w:sz w:val="21"/>
          <w:szCs w:val="22"/>
        </w:rPr>
        <w:t>perc_population_with_high_school_degree</w:t>
      </w:r>
      <w:r w:rsidR="00F44A45">
        <w:rPr>
          <w:rFonts w:ascii="Arial" w:eastAsiaTheme="minorEastAsia" w:hAnsi="Arial" w:cs="Arial" w:hint="eastAsia"/>
          <w:kern w:val="2"/>
          <w:sz w:val="21"/>
          <w:szCs w:val="22"/>
        </w:rPr>
        <w:t xml:space="preserve"> </w:t>
      </w:r>
      <w:r w:rsidR="003060AB"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w:t>
      </w:r>
      <w:r w:rsidR="001B239C">
        <w:rPr>
          <w:rFonts w:ascii="Arial" w:eastAsiaTheme="minorEastAsia" w:hAnsi="Arial" w:cs="Arial"/>
          <w:kern w:val="2"/>
          <w:sz w:val="21"/>
          <w:szCs w:val="22"/>
        </w:rPr>
        <w:t>3</w:t>
      </w:r>
      <w:r w:rsidR="00D7560B" w:rsidRPr="003F4D66">
        <w:rPr>
          <w:rFonts w:ascii="Arial" w:eastAsiaTheme="minorEastAsia" w:hAnsi="Arial" w:cs="Arial"/>
          <w:kern w:val="2"/>
          <w:sz w:val="21"/>
          <w:szCs w:val="22"/>
        </w:rPr>
        <w:t>)</w:t>
      </w:r>
      <w:r w:rsidR="003060AB"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lastRenderedPageBreak/>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1FEBAC6" w14:textId="50EE209B" w:rsidR="005925F4" w:rsidRPr="006467D5" w:rsidRDefault="00ED38CD" w:rsidP="00E02F69">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m:t>
        </m:r>
        <m:sSub>
          <m:sSubPr>
            <m:ctrlPr>
              <w:rPr>
                <w:rFonts w:ascii="Cambria Math" w:eastAsiaTheme="minorEastAsia" w:hAnsi="Cambria Math" w:cs="Arial"/>
                <w:kern w:val="2"/>
                <w:sz w:val="21"/>
                <w:szCs w:val="21"/>
              </w:rPr>
            </m:ctrlPr>
          </m:sSubPr>
          <m:e>
            <m:r>
              <w:rPr>
                <w:rFonts w:ascii="Cambria Math" w:eastAsiaTheme="minorEastAsia" w:hAnsi="Cambria Math" w:cs="Arial"/>
                <w:kern w:val="2"/>
                <w:sz w:val="21"/>
                <w:szCs w:val="21"/>
              </w:rPr>
              <m:t>i</m:t>
            </m:r>
            <m:ctrlPr>
              <w:rPr>
                <w:rFonts w:ascii="Cambria Math" w:eastAsiaTheme="minorEastAsia" w:hAnsi="Cambria Math" w:cs="Arial"/>
                <w:i/>
                <w:kern w:val="2"/>
                <w:sz w:val="21"/>
                <w:szCs w:val="21"/>
              </w:rPr>
            </m:ctrlPr>
          </m:e>
          <m:sub>
            <m:r>
              <w:rPr>
                <w:rFonts w:ascii="Cambria Math" w:eastAsiaTheme="minorEastAsia" w:hAnsi="Cambria Math" w:cs="Arial"/>
                <w:kern w:val="2"/>
                <w:sz w:val="21"/>
                <w:szCs w:val="21"/>
              </w:rPr>
              <m:t>index</m:t>
            </m:r>
          </m:sub>
        </m:sSub>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 xml:space="preserve">unemployment, </m:t>
        </m:r>
      </m:oMath>
      <w:r w:rsidR="00885CFE">
        <w:rPr>
          <w:rFonts w:ascii="Arial" w:eastAsiaTheme="minorEastAsia" w:hAnsi="Arial" w:cs="Arial"/>
          <w:kern w:val="2"/>
          <w:sz w:val="21"/>
          <w:szCs w:val="21"/>
        </w:rPr>
        <w:t>w</w:t>
      </w:r>
      <w:r w:rsidR="005925F4" w:rsidRPr="006467D5">
        <w:rPr>
          <w:rFonts w:ascii="Arial" w:eastAsiaTheme="minorEastAsia" w:hAnsi="Arial" w:cs="Arial"/>
          <w:kern w:val="2"/>
          <w:sz w:val="21"/>
          <w:szCs w:val="21"/>
        </w:rPr>
        <w:t>hich contains three predictors, with p-value = 0.02515, and adjusted R-squared value of 0.1654.</w:t>
      </w:r>
      <w:r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6E7326">
        <w:rPr>
          <w:rFonts w:ascii="Arial" w:eastAsiaTheme="minorEastAsia" w:hAnsi="Arial" w:cs="Arial"/>
          <w:kern w:val="2"/>
          <w:sz w:val="21"/>
          <w:szCs w:val="21"/>
        </w:rPr>
        <w:t>4</w:t>
      </w:r>
      <w:r w:rsidR="00DB469C" w:rsidRPr="006467D5">
        <w:rPr>
          <w:rFonts w:ascii="Arial" w:eastAsiaTheme="minorEastAsia" w:hAnsi="Arial" w:cs="Arial"/>
          <w:kern w:val="2"/>
          <w:sz w:val="21"/>
          <w:szCs w:val="21"/>
        </w:rPr>
        <w:t xml:space="preserve">) </w:t>
      </w:r>
      <w:r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edictors and figured out that Per_non_citizen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hate_crimes_per_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r w:rsidRPr="00342F32">
              <w:rPr>
                <w:rFonts w:ascii="Arial" w:hAnsi="Arial" w:cs="Arial"/>
                <w:color w:val="333333"/>
                <w:sz w:val="24"/>
                <w:szCs w:val="24"/>
                <w:shd w:val="clear" w:color="auto" w:fill="FFFFFF"/>
              </w:rPr>
              <w:t>median_household_income</w:t>
            </w:r>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perc_population_</w:t>
            </w:r>
            <w:r>
              <w:rPr>
                <w:rFonts w:ascii="Arial" w:hAnsi="Arial" w:cs="Arial"/>
                <w:sz w:val="24"/>
                <w:szCs w:val="24"/>
              </w:rPr>
              <w:t xml:space="preserve"> </w:t>
            </w:r>
            <w:r w:rsidRPr="00342F32">
              <w:rPr>
                <w:rFonts w:ascii="Arial" w:hAnsi="Arial" w:cs="Arial"/>
                <w:sz w:val="24"/>
                <w:szCs w:val="24"/>
              </w:rPr>
              <w:t>with_high_school_degree</w:t>
            </w:r>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perc_non_citizen</w:t>
            </w:r>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perc_non_white</w:t>
            </w:r>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gini_index</w:t>
            </w:r>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1F6A1B49" w:rsidR="003F181C"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620C7ADD" w14:textId="1C609E44" w:rsidR="001B239C" w:rsidRDefault="001B239C" w:rsidP="001B23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AA1780">
        <w:rPr>
          <w:rFonts w:ascii="Times New Roman" w:hAnsi="Times New Roman" w:cs="Times New Roman"/>
          <w:b/>
          <w:bCs/>
          <w:szCs w:val="21"/>
        </w:rPr>
        <w:t>2</w:t>
      </w:r>
      <w:r>
        <w:rPr>
          <w:rFonts w:ascii="Times New Roman" w:hAnsi="Times New Roman" w:cs="Times New Roman"/>
          <w:b/>
          <w:bCs/>
          <w:szCs w:val="21"/>
        </w:rPr>
        <w:t xml:space="preserve">: </w:t>
      </w:r>
      <w:r>
        <w:rPr>
          <w:rFonts w:ascii="Times New Roman" w:hAnsi="Times New Roman" w:cs="Times New Roman"/>
          <w:b/>
          <w:bCs/>
          <w:szCs w:val="21"/>
        </w:rPr>
        <w:t>Correlation Matrix</w:t>
      </w:r>
      <w:r w:rsidR="00D42764">
        <w:rPr>
          <w:rFonts w:ascii="Times New Roman" w:hAnsi="Times New Roman" w:cs="Times New Roman"/>
          <w:b/>
          <w:bCs/>
          <w:szCs w:val="21"/>
        </w:rPr>
        <w:t xml:space="preserve"> </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984"/>
        <w:gridCol w:w="3260"/>
        <w:gridCol w:w="1734"/>
      </w:tblGrid>
      <w:tr w:rsidR="00D42764" w:rsidRPr="00D42764" w14:paraId="390247F0" w14:textId="77777777" w:rsidTr="00D42764">
        <w:trPr>
          <w:trHeight w:val="284"/>
          <w:tblHeader/>
          <w:jc w:val="center"/>
        </w:trPr>
        <w:tc>
          <w:tcPr>
            <w:tcW w:w="2127" w:type="dxa"/>
            <w:tcBorders>
              <w:top w:val="single" w:sz="12" w:space="0" w:color="auto"/>
              <w:left w:val="nil"/>
              <w:bottom w:val="nil"/>
              <w:right w:val="nil"/>
            </w:tcBorders>
            <w:shd w:val="clear" w:color="auto" w:fill="FFFFFF"/>
            <w:tcMar>
              <w:top w:w="75" w:type="dxa"/>
              <w:left w:w="75" w:type="dxa"/>
              <w:bottom w:w="75" w:type="dxa"/>
              <w:right w:w="75" w:type="dxa"/>
            </w:tcMar>
            <w:vAlign w:val="bottom"/>
            <w:hideMark/>
          </w:tcPr>
          <w:p w14:paraId="13D24F13" w14:textId="2A4BD873" w:rsidR="00D42764" w:rsidRPr="008D50DF" w:rsidRDefault="00D42764" w:rsidP="000E7AFE">
            <w:pPr>
              <w:spacing w:beforeLines="100" w:before="312"/>
              <w:jc w:val="center"/>
              <w:rPr>
                <w:rFonts w:ascii="Arial" w:hAnsi="Arial" w:cs="Arial"/>
                <w:b/>
                <w:bCs/>
                <w:sz w:val="24"/>
                <w:szCs w:val="24"/>
              </w:rPr>
            </w:pPr>
          </w:p>
        </w:tc>
        <w:tc>
          <w:tcPr>
            <w:tcW w:w="198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02B1ACC9" w14:textId="77DF4959"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perc_non_citizen</w:t>
            </w:r>
          </w:p>
        </w:tc>
        <w:tc>
          <w:tcPr>
            <w:tcW w:w="3260"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53E5B9B" w14:textId="0CF941A6"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median_household_income</w:t>
            </w:r>
          </w:p>
        </w:tc>
        <w:tc>
          <w:tcPr>
            <w:tcW w:w="173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44D392D" w14:textId="1D4DE470"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gini_index</w:t>
            </w:r>
          </w:p>
        </w:tc>
      </w:tr>
      <w:tr w:rsidR="00D42764" w:rsidRPr="00D42764" w14:paraId="021DF3A3" w14:textId="77777777" w:rsidTr="00D42764">
        <w:trPr>
          <w:trHeight w:val="560"/>
          <w:tblHeader/>
          <w:jc w:val="center"/>
        </w:trPr>
        <w:tc>
          <w:tcPr>
            <w:tcW w:w="2127" w:type="dxa"/>
            <w:tcBorders>
              <w:top w:val="nil"/>
              <w:left w:val="nil"/>
              <w:bottom w:val="nil"/>
              <w:right w:val="nil"/>
            </w:tcBorders>
            <w:shd w:val="clear" w:color="auto" w:fill="FFFFFF"/>
            <w:tcMar>
              <w:top w:w="75" w:type="dxa"/>
              <w:left w:w="75" w:type="dxa"/>
              <w:bottom w:w="75" w:type="dxa"/>
              <w:right w:w="75" w:type="dxa"/>
            </w:tcMar>
            <w:vAlign w:val="bottom"/>
          </w:tcPr>
          <w:p w14:paraId="17BFACD7" w14:textId="150865B9"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perc_non_white</w:t>
            </w:r>
          </w:p>
        </w:tc>
        <w:tc>
          <w:tcPr>
            <w:tcW w:w="1984" w:type="dxa"/>
            <w:tcBorders>
              <w:top w:val="nil"/>
              <w:left w:val="nil"/>
              <w:bottom w:val="nil"/>
              <w:right w:val="nil"/>
            </w:tcBorders>
            <w:shd w:val="clear" w:color="auto" w:fill="FFFFFF"/>
            <w:tcMar>
              <w:top w:w="75" w:type="dxa"/>
              <w:left w:w="75" w:type="dxa"/>
              <w:bottom w:w="75" w:type="dxa"/>
              <w:right w:w="75" w:type="dxa"/>
            </w:tcMar>
            <w:vAlign w:val="bottom"/>
          </w:tcPr>
          <w:p w14:paraId="2473E6E7" w14:textId="3D637458" w:rsidR="00D42764" w:rsidRPr="00D42764" w:rsidRDefault="00D42764" w:rsidP="000E7AFE">
            <w:pPr>
              <w:spacing w:beforeLines="100" w:before="312"/>
              <w:jc w:val="center"/>
              <w:rPr>
                <w:rFonts w:ascii="Arial" w:hAnsi="Arial" w:cs="Arial"/>
                <w:sz w:val="24"/>
                <w:szCs w:val="24"/>
              </w:rPr>
            </w:pPr>
            <w:r>
              <w:rPr>
                <w:rFonts w:ascii="Arial" w:hAnsi="Arial" w:cs="Arial"/>
                <w:sz w:val="24"/>
                <w:szCs w:val="24"/>
              </w:rPr>
              <w:t>.73</w:t>
            </w:r>
          </w:p>
        </w:tc>
        <w:tc>
          <w:tcPr>
            <w:tcW w:w="3260" w:type="dxa"/>
            <w:tcBorders>
              <w:top w:val="nil"/>
              <w:left w:val="nil"/>
              <w:bottom w:val="nil"/>
              <w:right w:val="nil"/>
            </w:tcBorders>
            <w:shd w:val="clear" w:color="auto" w:fill="FFFFFF"/>
            <w:tcMar>
              <w:top w:w="75" w:type="dxa"/>
              <w:left w:w="75" w:type="dxa"/>
              <w:bottom w:w="75" w:type="dxa"/>
              <w:right w:w="75" w:type="dxa"/>
            </w:tcMar>
            <w:vAlign w:val="bottom"/>
          </w:tcPr>
          <w:p w14:paraId="0D6DE671" w14:textId="3E21297B"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bottom"/>
          </w:tcPr>
          <w:p w14:paraId="4C2E2B35" w14:textId="19412CC7"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r>
      <w:tr w:rsidR="00D42764" w:rsidRPr="00D42764" w14:paraId="3E71D483" w14:textId="77777777" w:rsidTr="00D42764">
        <w:trPr>
          <w:trHeight w:val="560"/>
          <w:jc w:val="center"/>
        </w:trPr>
        <w:tc>
          <w:tcPr>
            <w:tcW w:w="2127" w:type="dxa"/>
            <w:tcBorders>
              <w:top w:val="nil"/>
              <w:left w:val="nil"/>
              <w:bottom w:val="nil"/>
              <w:right w:val="nil"/>
            </w:tcBorders>
            <w:shd w:val="clear" w:color="auto" w:fill="FFFFFF"/>
            <w:tcMar>
              <w:top w:w="75" w:type="dxa"/>
              <w:left w:w="75" w:type="dxa"/>
              <w:bottom w:w="75" w:type="dxa"/>
              <w:right w:w="75" w:type="dxa"/>
            </w:tcMar>
            <w:vAlign w:val="center"/>
            <w:hideMark/>
          </w:tcPr>
          <w:p w14:paraId="4BAECEB4" w14:textId="6B5762C2"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urbanization</w:t>
            </w:r>
          </w:p>
        </w:tc>
        <w:tc>
          <w:tcPr>
            <w:tcW w:w="1984" w:type="dxa"/>
            <w:tcBorders>
              <w:top w:val="nil"/>
              <w:left w:val="nil"/>
              <w:bottom w:val="nil"/>
              <w:right w:val="nil"/>
            </w:tcBorders>
            <w:shd w:val="clear" w:color="auto" w:fill="FFFFFF"/>
            <w:tcMar>
              <w:top w:w="75" w:type="dxa"/>
              <w:left w:w="75" w:type="dxa"/>
              <w:bottom w:w="75" w:type="dxa"/>
              <w:right w:w="75" w:type="dxa"/>
            </w:tcMar>
            <w:vAlign w:val="center"/>
            <w:hideMark/>
          </w:tcPr>
          <w:p w14:paraId="0F51A14E" w14:textId="0CB76FC6"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.67</w:t>
            </w:r>
          </w:p>
        </w:tc>
        <w:tc>
          <w:tcPr>
            <w:tcW w:w="3260" w:type="dxa"/>
            <w:tcBorders>
              <w:top w:val="nil"/>
              <w:left w:val="nil"/>
              <w:bottom w:val="nil"/>
              <w:right w:val="nil"/>
            </w:tcBorders>
            <w:shd w:val="clear" w:color="auto" w:fill="FFFFFF"/>
            <w:tcMar>
              <w:top w:w="75" w:type="dxa"/>
              <w:left w:w="75" w:type="dxa"/>
              <w:bottom w:w="75" w:type="dxa"/>
              <w:right w:w="75" w:type="dxa"/>
            </w:tcMar>
            <w:vAlign w:val="center"/>
            <w:hideMark/>
          </w:tcPr>
          <w:p w14:paraId="49A5EE60" w14:textId="6C7AAD43"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center"/>
            <w:hideMark/>
          </w:tcPr>
          <w:p w14:paraId="7DB6A5D3" w14:textId="2D7D4F09"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r>
      <w:tr w:rsidR="00D42764" w:rsidRPr="00C1571D" w14:paraId="7E7FC406" w14:textId="77777777" w:rsidTr="00D42764">
        <w:trPr>
          <w:trHeight w:val="560"/>
          <w:jc w:val="center"/>
        </w:trPr>
        <w:tc>
          <w:tcPr>
            <w:tcW w:w="2127"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5E6A5BE2" w14:textId="25412B34" w:rsidR="00D42764" w:rsidRPr="00C1571D" w:rsidRDefault="00D42764" w:rsidP="00D42764">
            <w:pPr>
              <w:spacing w:beforeLines="100" w:before="312"/>
              <w:jc w:val="center"/>
              <w:rPr>
                <w:rFonts w:ascii="Helvetica" w:eastAsia="宋体" w:hAnsi="Helvetica" w:cs="Helvetica"/>
                <w:color w:val="333333"/>
                <w:kern w:val="0"/>
                <w:szCs w:val="21"/>
              </w:rPr>
            </w:pPr>
            <w:r w:rsidRPr="00D42764">
              <w:rPr>
                <w:rFonts w:ascii="Arial" w:hAnsi="Arial" w:cs="Arial"/>
                <w:sz w:val="24"/>
                <w:szCs w:val="24"/>
              </w:rPr>
              <w:t>perc_population_with_high_school_degree</w:t>
            </w:r>
          </w:p>
        </w:tc>
        <w:tc>
          <w:tcPr>
            <w:tcW w:w="198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A53AB8F" w14:textId="0C9B3563"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p>
        </w:tc>
        <w:tc>
          <w:tcPr>
            <w:tcW w:w="3260"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E9831C" w14:textId="7913E34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.66</w:t>
            </w:r>
          </w:p>
        </w:tc>
        <w:tc>
          <w:tcPr>
            <w:tcW w:w="173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757B43E" w14:textId="5F8CF85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r>
              <w:rPr>
                <w:rFonts w:ascii="Arial" w:hAnsi="Arial" w:cs="Arial"/>
                <w:sz w:val="24"/>
                <w:szCs w:val="24"/>
              </w:rPr>
              <w:t>.66</w:t>
            </w:r>
          </w:p>
        </w:tc>
      </w:tr>
    </w:tbl>
    <w:p w14:paraId="44A57757" w14:textId="192038C6" w:rsidR="001B239C" w:rsidRPr="00451DF2" w:rsidRDefault="00451DF2" w:rsidP="00451DF2">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xml:space="preserve">* </w:t>
      </w:r>
      <w:r w:rsidRPr="00451DF2">
        <w:rPr>
          <w:rFonts w:ascii="Times New Roman" w:hAnsi="Times New Roman" w:cs="Times New Roman"/>
          <w:i/>
          <w:iCs/>
          <w:szCs w:val="21"/>
        </w:rPr>
        <w:t xml:space="preserve">Only contains variables between which </w:t>
      </w:r>
      <w:r w:rsidRPr="00451DF2">
        <w:rPr>
          <w:rFonts w:ascii="Times New Roman" w:hAnsi="Times New Roman" w:cs="Times New Roman"/>
          <w:i/>
          <w:iCs/>
          <w:szCs w:val="21"/>
        </w:rPr>
        <w:t>ρ</w:t>
      </w:r>
      <w:r w:rsidRPr="00451DF2">
        <w:rPr>
          <w:rFonts w:ascii="Times New Roman" w:hAnsi="Times New Roman" w:cs="Times New Roman"/>
          <w:szCs w:val="21"/>
        </w:rPr>
        <w:t xml:space="preserve"> </w:t>
      </w:r>
      <w:r w:rsidRPr="00451DF2">
        <w:rPr>
          <w:rFonts w:ascii="Times New Roman" w:hAnsi="Times New Roman" w:cs="Times New Roman"/>
          <w:szCs w:val="21"/>
        </w:rPr>
        <w:t>&gt; 0.6</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lastRenderedPageBreak/>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67455"/>
                    </a:xfrm>
                    <a:prstGeom prst="rect">
                      <a:avLst/>
                    </a:prstGeom>
                  </pic:spPr>
                </pic:pic>
              </a:graphicData>
            </a:graphic>
          </wp:inline>
        </w:drawing>
      </w:r>
    </w:p>
    <w:p w14:paraId="25D90FA5" w14:textId="5FBCF100" w:rsidR="00B66B1A"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6E766530" w14:textId="77777777" w:rsidR="00B66B1A" w:rsidRDefault="00B66B1A">
      <w:pPr>
        <w:widowControl/>
        <w:jc w:val="left"/>
        <w:rPr>
          <w:rFonts w:ascii="Times New Roman" w:hAnsi="Times New Roman" w:cs="Times New Roman"/>
          <w:b/>
          <w:bCs/>
          <w:szCs w:val="21"/>
        </w:rPr>
      </w:pPr>
      <w:r>
        <w:rPr>
          <w:rFonts w:ascii="Times New Roman" w:hAnsi="Times New Roman" w:cs="Times New Roman"/>
          <w:b/>
          <w:bCs/>
          <w:szCs w:val="21"/>
        </w:rPr>
        <w:br w:type="page"/>
      </w:r>
    </w:p>
    <w:p w14:paraId="4A8CCAFB" w14:textId="466B5A0A"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3</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r w:rsidRPr="00F7109E">
              <w:rPr>
                <w:rFonts w:ascii="Arial" w:hAnsi="Arial" w:cs="Arial"/>
                <w:color w:val="333333"/>
                <w:sz w:val="24"/>
                <w:szCs w:val="24"/>
                <w:shd w:val="clear" w:color="auto" w:fill="FFFFFF"/>
              </w:rPr>
              <w:t>perc_population_with_high_school_degree</w:t>
            </w:r>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r w:rsidRPr="00F7109E">
              <w:rPr>
                <w:rFonts w:ascii="Arial" w:hAnsi="Arial" w:cs="Arial"/>
                <w:sz w:val="24"/>
                <w:szCs w:val="24"/>
              </w:rPr>
              <w:t>g</w:t>
            </w:r>
            <w:r w:rsidR="00D7560B" w:rsidRPr="00F7109E">
              <w:rPr>
                <w:rFonts w:ascii="Arial" w:hAnsi="Arial" w:cs="Arial"/>
                <w:sz w:val="24"/>
                <w:szCs w:val="24"/>
              </w:rPr>
              <w:t>ini_index</w:t>
            </w:r>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bookmarkEnd w:id="1"/>
    </w:tbl>
    <w:p w14:paraId="0C4BC8D4" w14:textId="77777777" w:rsidR="00B66B1A" w:rsidRDefault="00B66B1A" w:rsidP="00D7560B">
      <w:pPr>
        <w:spacing w:beforeLines="100" w:before="312"/>
        <w:rPr>
          <w:rFonts w:ascii="Times New Roman" w:hAnsi="Times New Roman" w:cs="Times New Roman" w:hint="eastAsia"/>
          <w:b/>
          <w:bCs/>
          <w:noProof/>
          <w:szCs w:val="21"/>
        </w:rPr>
      </w:pPr>
    </w:p>
    <w:p w14:paraId="64560355" w14:textId="6122BA23" w:rsidR="00EE0018" w:rsidRDefault="00EE0018"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205F124B" w:rsidR="00B66B1A"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7A4D8FB3" w14:textId="77777777" w:rsidR="00B66B1A" w:rsidRDefault="00B66B1A">
      <w:pPr>
        <w:widowControl/>
        <w:jc w:val="left"/>
        <w:rPr>
          <w:rFonts w:ascii="Times New Roman" w:hAnsi="Times New Roman" w:cs="Times New Roman"/>
          <w:b/>
          <w:bCs/>
          <w:szCs w:val="21"/>
        </w:rPr>
      </w:pPr>
      <w:r>
        <w:rPr>
          <w:rFonts w:ascii="Times New Roman" w:hAnsi="Times New Roman" w:cs="Times New Roman"/>
          <w:b/>
          <w:bCs/>
          <w:szCs w:val="21"/>
        </w:rPr>
        <w:br w:type="page"/>
      </w:r>
    </w:p>
    <w:p w14:paraId="0435C61B" w14:textId="7BDD3B93" w:rsidR="00DB469C" w:rsidRDefault="00DB469C" w:rsidP="008D50DF">
      <w:pPr>
        <w:spacing w:beforeLines="100" w:before="312" w:afterLines="50" w:after="156"/>
        <w:jc w:val="center"/>
        <w:rPr>
          <w:rFonts w:ascii="Times New Roman" w:hAnsi="Times New Roman" w:cs="Times New Roman"/>
          <w:b/>
          <w:bCs/>
          <w:szCs w:val="21"/>
        </w:rPr>
      </w:pPr>
      <w:bookmarkStart w:id="2" w:name="_Hlk59216483"/>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4</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td.error</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r w:rsidRPr="008D50DF">
              <w:rPr>
                <w:rFonts w:ascii="Arial" w:hAnsi="Arial" w:cs="Arial"/>
                <w:b/>
                <w:bCs/>
                <w:sz w:val="24"/>
                <w:szCs w:val="24"/>
              </w:rPr>
              <w:t>p.value</w:t>
            </w:r>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perc_population_with_high_school_degree</w:t>
            </w:r>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w:t>
            </w:r>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unemploymenthigh</w:t>
            </w:r>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gini_index:unemploymenthigh</w:t>
            </w:r>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bookmarkEnd w:id="2"/>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81DA7" w14:textId="77777777" w:rsidR="0018646A" w:rsidRDefault="0018646A" w:rsidP="009D1C84">
      <w:r>
        <w:separator/>
      </w:r>
    </w:p>
  </w:endnote>
  <w:endnote w:type="continuationSeparator" w:id="0">
    <w:p w14:paraId="5CD5F5A2" w14:textId="77777777" w:rsidR="0018646A" w:rsidRDefault="0018646A"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A2B2B" w14:textId="77777777" w:rsidR="0018646A" w:rsidRDefault="0018646A" w:rsidP="009D1C84">
      <w:r>
        <w:separator/>
      </w:r>
    </w:p>
  </w:footnote>
  <w:footnote w:type="continuationSeparator" w:id="0">
    <w:p w14:paraId="02C5F0A5" w14:textId="77777777" w:rsidR="0018646A" w:rsidRDefault="0018646A"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F0FC2"/>
    <w:multiLevelType w:val="hybridMultilevel"/>
    <w:tmpl w:val="574095D0"/>
    <w:lvl w:ilvl="0" w:tplc="3000ECC8">
      <w:start w:val="4"/>
      <w:numFmt w:val="bullet"/>
      <w:lvlText w:val=""/>
      <w:lvlJc w:val="left"/>
      <w:pPr>
        <w:ind w:left="360" w:hanging="360"/>
      </w:pPr>
      <w:rPr>
        <w:rFonts w:ascii="Wingdings" w:eastAsiaTheme="minorEastAsia"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8646A"/>
    <w:rsid w:val="00194792"/>
    <w:rsid w:val="001B239C"/>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51DF2"/>
    <w:rsid w:val="004701DA"/>
    <w:rsid w:val="005925F4"/>
    <w:rsid w:val="00616969"/>
    <w:rsid w:val="006238C5"/>
    <w:rsid w:val="006467D5"/>
    <w:rsid w:val="006A2557"/>
    <w:rsid w:val="006A60CE"/>
    <w:rsid w:val="006E7326"/>
    <w:rsid w:val="00754C6F"/>
    <w:rsid w:val="007C05B1"/>
    <w:rsid w:val="00800A09"/>
    <w:rsid w:val="00847336"/>
    <w:rsid w:val="00877B89"/>
    <w:rsid w:val="00885CFE"/>
    <w:rsid w:val="008D50DF"/>
    <w:rsid w:val="00925A10"/>
    <w:rsid w:val="009474C6"/>
    <w:rsid w:val="009D1C84"/>
    <w:rsid w:val="00A25490"/>
    <w:rsid w:val="00A26AFB"/>
    <w:rsid w:val="00A4787D"/>
    <w:rsid w:val="00A71BDE"/>
    <w:rsid w:val="00AA1780"/>
    <w:rsid w:val="00AB317B"/>
    <w:rsid w:val="00AE7BC0"/>
    <w:rsid w:val="00B46451"/>
    <w:rsid w:val="00B66B1A"/>
    <w:rsid w:val="00B80860"/>
    <w:rsid w:val="00B94426"/>
    <w:rsid w:val="00BC71CE"/>
    <w:rsid w:val="00BD2043"/>
    <w:rsid w:val="00BE7A02"/>
    <w:rsid w:val="00C0408F"/>
    <w:rsid w:val="00C1571D"/>
    <w:rsid w:val="00C30F37"/>
    <w:rsid w:val="00C43AA1"/>
    <w:rsid w:val="00CA70DA"/>
    <w:rsid w:val="00D35A8B"/>
    <w:rsid w:val="00D42764"/>
    <w:rsid w:val="00D7560B"/>
    <w:rsid w:val="00D92CFB"/>
    <w:rsid w:val="00D94EF3"/>
    <w:rsid w:val="00DA3D02"/>
    <w:rsid w:val="00DA558C"/>
    <w:rsid w:val="00DB0F14"/>
    <w:rsid w:val="00DB4524"/>
    <w:rsid w:val="00DB469C"/>
    <w:rsid w:val="00E02F69"/>
    <w:rsid w:val="00E52B62"/>
    <w:rsid w:val="00ED38CD"/>
    <w:rsid w:val="00ED5803"/>
    <w:rsid w:val="00EE0018"/>
    <w:rsid w:val="00EE1834"/>
    <w:rsid w:val="00F12D6C"/>
    <w:rsid w:val="00F44A45"/>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 w:type="paragraph" w:styleId="aa">
    <w:name w:val="List Paragraph"/>
    <w:basedOn w:val="a"/>
    <w:uiPriority w:val="34"/>
    <w:qFormat/>
    <w:rsid w:val="00451D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39</cp:revision>
  <dcterms:created xsi:type="dcterms:W3CDTF">2020-12-15T08:44:00Z</dcterms:created>
  <dcterms:modified xsi:type="dcterms:W3CDTF">2020-12-18T13:10:00Z</dcterms:modified>
</cp:coreProperties>
</file>