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5F8" w:rsidRDefault="00A46FA5">
      <w:pPr>
        <w:pStyle w:val="a5"/>
      </w:pPr>
      <w:r>
        <w:t>Does ETFs Increase Stock Price Efficiency? Evidence from China a Share Market</w:t>
      </w:r>
    </w:p>
    <w:p w:rsidR="007815F8" w:rsidRDefault="00A46FA5">
      <w:pPr>
        <w:pBdr>
          <w:top w:val="none" w:sz="0" w:space="0" w:color="000000"/>
          <w:left w:val="none" w:sz="0" w:space="0" w:color="000000"/>
          <w:bottom w:val="none" w:sz="0" w:space="0" w:color="000000"/>
          <w:right w:val="none" w:sz="0" w:space="0" w:color="000000"/>
        </w:pBdr>
        <w:spacing w:before="460" w:after="0"/>
      </w:pPr>
      <w:r>
        <w:rPr>
          <w:rFonts w:eastAsia="Times New Roman" w:cs="Times New Roman"/>
          <w:b/>
          <w:color w:val="000000"/>
          <w:sz w:val="28"/>
          <w:szCs w:val="28"/>
        </w:rPr>
        <w:t>Yingjie Xue</w:t>
      </w:r>
      <w:r>
        <w:rPr>
          <w:rFonts w:eastAsia="Times New Roman" w:cs="Times New Roman"/>
          <w:b/>
          <w:color w:val="000000"/>
          <w:sz w:val="28"/>
          <w:szCs w:val="28"/>
          <w:vertAlign w:val="superscript"/>
        </w:rPr>
        <w:t>a*</w:t>
      </w:r>
      <w:r>
        <w:t>,</w:t>
      </w:r>
      <w:r>
        <w:rPr>
          <w:rFonts w:eastAsia="Times New Roman" w:cs="Times New Roman"/>
          <w:b/>
          <w:color w:val="000000"/>
          <w:sz w:val="28"/>
          <w:szCs w:val="28"/>
        </w:rPr>
        <w:t>Changyang Liu</w:t>
      </w:r>
      <w:r>
        <w:rPr>
          <w:rFonts w:eastAsia="Times New Roman" w:cs="Times New Roman"/>
          <w:b/>
          <w:color w:val="000000"/>
          <w:sz w:val="28"/>
          <w:szCs w:val="28"/>
          <w:vertAlign w:val="superscript"/>
        </w:rPr>
        <w:t>b</w:t>
      </w:r>
      <w:r>
        <w:t>,</w:t>
      </w:r>
      <w:r>
        <w:rPr>
          <w:rFonts w:eastAsia="Times New Roman" w:cs="Times New Roman"/>
          <w:b/>
          <w:color w:val="000000"/>
          <w:sz w:val="28"/>
          <w:szCs w:val="28"/>
        </w:rPr>
        <w:t>Yong Wang</w:t>
      </w:r>
      <w:r>
        <w:rPr>
          <w:rFonts w:eastAsia="Times New Roman" w:cs="Times New Roman"/>
          <w:b/>
          <w:color w:val="000000"/>
          <w:sz w:val="28"/>
          <w:szCs w:val="28"/>
          <w:vertAlign w:val="superscript"/>
        </w:rPr>
        <w:t>c</w:t>
      </w:r>
    </w:p>
    <w:p w:rsidR="007815F8" w:rsidRDefault="00A46FA5">
      <w:pPr>
        <w:pBdr>
          <w:top w:val="none" w:sz="0" w:space="0" w:color="000000"/>
          <w:left w:val="none" w:sz="0" w:space="0" w:color="000000"/>
          <w:bottom w:val="none" w:sz="0" w:space="0" w:color="000000"/>
          <w:right w:val="none" w:sz="0" w:space="0" w:color="000000"/>
        </w:pBdr>
        <w:spacing w:before="400" w:after="0"/>
      </w:pPr>
      <w:r>
        <w:rPr>
          <w:rFonts w:eastAsia="Times New Roman" w:cs="Times New Roman"/>
          <w:i/>
          <w:color w:val="000000"/>
          <w:sz w:val="22"/>
          <w:szCs w:val="22"/>
          <w:vertAlign w:val="superscript"/>
        </w:rPr>
        <w:t>a</w:t>
      </w:r>
      <w:r>
        <w:rPr>
          <w:rFonts w:eastAsia="Times New Roman" w:cs="Times New Roman"/>
          <w:i/>
          <w:color w:val="000000"/>
          <w:sz w:val="22"/>
          <w:szCs w:val="22"/>
        </w:rPr>
        <w:t>School of Banking and Finance, University of International Business and Economics, Beijing, 100029, P.R. China.</w:t>
      </w:r>
    </w:p>
    <w:p w:rsidR="007815F8" w:rsidRDefault="00A46FA5">
      <w:pPr>
        <w:pBdr>
          <w:top w:val="none" w:sz="0" w:space="0" w:color="000000"/>
          <w:left w:val="none" w:sz="0" w:space="0" w:color="000000"/>
          <w:bottom w:val="none" w:sz="0" w:space="0" w:color="000000"/>
          <w:right w:val="none" w:sz="0" w:space="0" w:color="000000"/>
        </w:pBdr>
        <w:spacing w:after="0"/>
      </w:pPr>
      <w:r>
        <w:rPr>
          <w:rFonts w:eastAsia="Times New Roman" w:cs="Times New Roman"/>
          <w:i/>
          <w:color w:val="000000"/>
          <w:sz w:val="22"/>
          <w:szCs w:val="22"/>
          <w:vertAlign w:val="superscript"/>
        </w:rPr>
        <w:t>b</w:t>
      </w:r>
      <w:r>
        <w:rPr>
          <w:rFonts w:eastAsia="Times New Roman" w:cs="Times New Roman"/>
          <w:i/>
          <w:color w:val="000000"/>
          <w:sz w:val="22"/>
          <w:szCs w:val="22"/>
        </w:rPr>
        <w:t>Economics and Management School, Chongqing Jiaotong University, Chongqing, 400074, P.R. China.</w:t>
      </w:r>
    </w:p>
    <w:p w:rsidR="007815F8" w:rsidRDefault="00A46FA5">
      <w:pPr>
        <w:pBdr>
          <w:top w:val="none" w:sz="0" w:space="0" w:color="000000"/>
          <w:left w:val="none" w:sz="0" w:space="0" w:color="000000"/>
          <w:bottom w:val="none" w:sz="0" w:space="0" w:color="000000"/>
          <w:right w:val="none" w:sz="0" w:space="0" w:color="000000"/>
        </w:pBdr>
        <w:spacing w:after="0"/>
      </w:pPr>
      <w:r>
        <w:rPr>
          <w:rFonts w:eastAsia="Times New Roman" w:cs="Times New Roman"/>
          <w:i/>
          <w:color w:val="000000"/>
          <w:sz w:val="22"/>
          <w:szCs w:val="22"/>
          <w:vertAlign w:val="superscript"/>
        </w:rPr>
        <w:t>c</w:t>
      </w:r>
      <w:r>
        <w:rPr>
          <w:rFonts w:eastAsia="Times New Roman" w:cs="Times New Roman"/>
          <w:i/>
          <w:color w:val="000000"/>
          <w:sz w:val="22"/>
          <w:szCs w:val="22"/>
        </w:rPr>
        <w:t>School of Securities and Futures, Southwestern University of Finance and Economics, Chengdu, 611130, P.R. China.</w:t>
      </w:r>
    </w:p>
    <w:p w:rsidR="007815F8" w:rsidRDefault="00A46FA5">
      <w:pPr>
        <w:pBdr>
          <w:top w:val="none" w:sz="0" w:space="0" w:color="000000"/>
          <w:left w:val="none" w:sz="0" w:space="0" w:color="000000"/>
          <w:bottom w:val="none" w:sz="0" w:space="0" w:color="000000"/>
          <w:right w:val="none" w:sz="0" w:space="0" w:color="000000"/>
        </w:pBdr>
        <w:spacing w:before="400" w:after="0"/>
      </w:pPr>
      <w:r>
        <w:rPr>
          <w:rFonts w:eastAsia="Times New Roman" w:cs="Times New Roman"/>
          <w:b/>
          <w:color w:val="000000"/>
          <w:sz w:val="22"/>
          <w:szCs w:val="22"/>
        </w:rPr>
        <w:t>*Corresponding author:</w:t>
      </w:r>
      <w:r>
        <w:rPr>
          <w:rFonts w:eastAsia="Times New Roman" w:cs="Times New Roman"/>
          <w:color w:val="000000"/>
          <w:sz w:val="22"/>
          <w:szCs w:val="22"/>
        </w:rPr>
        <w:t>Yingjie Xue, E-mail: ying</w:t>
      </w:r>
      <w:r>
        <w:rPr>
          <w:rFonts w:eastAsia="Times New Roman" w:cs="Times New Roman"/>
          <w:color w:val="000000"/>
          <w:sz w:val="22"/>
          <w:szCs w:val="22"/>
        </w:rPr>
        <w:t>jiexuesuwfe@163.com, Postal address: No.10, Huixin Dongjie, Chaoyang District, Beijing,100029, China, Telephone: 13730829546.</w:t>
      </w:r>
    </w:p>
    <w:p w:rsidR="007815F8" w:rsidRDefault="00A46FA5">
      <w:pPr>
        <w:pBdr>
          <w:top w:val="none" w:sz="0" w:space="0" w:color="000000"/>
          <w:left w:val="none" w:sz="0" w:space="0" w:color="000000"/>
          <w:bottom w:val="none" w:sz="0" w:space="0" w:color="000000"/>
          <w:right w:val="none" w:sz="0" w:space="0" w:color="000000"/>
        </w:pBdr>
        <w:spacing w:before="400" w:after="0"/>
      </w:pPr>
      <w:r>
        <w:rPr>
          <w:rFonts w:eastAsia="Times New Roman" w:cs="Times New Roman"/>
          <w:b/>
          <w:color w:val="000000"/>
          <w:sz w:val="22"/>
          <w:szCs w:val="22"/>
        </w:rPr>
        <w:t xml:space="preserve">E-mail addresses of Co-authors: </w:t>
      </w:r>
      <w:r>
        <w:rPr>
          <w:rFonts w:eastAsia="Times New Roman" w:cs="Times New Roman"/>
          <w:color w:val="000000"/>
          <w:sz w:val="22"/>
          <w:szCs w:val="22"/>
        </w:rPr>
        <w:t>liuchyang@foxmail.com (Changyang Liu), yong.wang.yong@gmail.com (Yong Wang)</w:t>
      </w:r>
    </w:p>
    <w:p w:rsidR="007815F8" w:rsidRDefault="00A46FA5">
      <w:pPr>
        <w:pBdr>
          <w:top w:val="none" w:sz="0" w:space="0" w:color="000000"/>
          <w:left w:val="none" w:sz="0" w:space="0" w:color="000000"/>
          <w:bottom w:val="none" w:sz="0" w:space="0" w:color="000000"/>
          <w:right w:val="none" w:sz="0" w:space="0" w:color="000000"/>
        </w:pBdr>
        <w:spacing w:before="400" w:after="0"/>
      </w:pPr>
      <w:r>
        <w:rPr>
          <w:rFonts w:eastAsia="Times New Roman" w:cs="Times New Roman"/>
          <w:b/>
          <w:color w:val="000000"/>
          <w:sz w:val="22"/>
          <w:szCs w:val="22"/>
        </w:rPr>
        <w:t xml:space="preserve">Funding information: </w:t>
      </w:r>
      <w:r>
        <w:rPr>
          <w:rFonts w:eastAsia="Times New Roman" w:cs="Times New Roman"/>
          <w:color w:val="000000"/>
          <w:sz w:val="22"/>
          <w:szCs w:val="22"/>
        </w:rPr>
        <w:t>T</w:t>
      </w:r>
      <w:r>
        <w:rPr>
          <w:rFonts w:eastAsia="Times New Roman" w:cs="Times New Roman"/>
          <w:color w:val="000000"/>
          <w:sz w:val="22"/>
          <w:szCs w:val="22"/>
        </w:rPr>
        <w:t>his work was financially supported by National Natural Science Foundation of China [grant number 71874145; 71903154]</w:t>
      </w:r>
    </w:p>
    <w:p w:rsidR="007815F8" w:rsidRDefault="00A46FA5">
      <w:r>
        <w:br w:type="page"/>
      </w:r>
    </w:p>
    <w:p w:rsidR="007815F8" w:rsidRDefault="007815F8">
      <w:pPr>
        <w:sectPr w:rsidR="007815F8">
          <w:footerReference w:type="even" r:id="rId7"/>
          <w:footerReference w:type="default" r:id="rId8"/>
          <w:pgSz w:w="11952" w:h="16848"/>
          <w:pgMar w:top="1440" w:right="1800" w:bottom="1440" w:left="1800" w:header="720" w:footer="720" w:gutter="0"/>
          <w:cols w:space="720"/>
        </w:sectPr>
      </w:pPr>
    </w:p>
    <w:p w:rsidR="007815F8" w:rsidRDefault="00A46FA5">
      <w:pPr>
        <w:pBdr>
          <w:top w:val="none" w:sz="0" w:space="0" w:color="000000"/>
          <w:left w:val="none" w:sz="0" w:space="0" w:color="000000"/>
          <w:bottom w:val="none" w:sz="0" w:space="0" w:color="000000"/>
          <w:right w:val="none" w:sz="0" w:space="0" w:color="000000"/>
        </w:pBdr>
        <w:spacing w:before="600" w:after="1000"/>
        <w:jc w:val="center"/>
      </w:pPr>
      <w:r>
        <w:rPr>
          <w:rFonts w:eastAsia="Times New Roman" w:cs="Times New Roman"/>
          <w:b/>
          <w:color w:val="000000"/>
          <w:sz w:val="36"/>
          <w:szCs w:val="36"/>
        </w:rPr>
        <w:lastRenderedPageBreak/>
        <w:t>Does ETFs Increase Stock Price Efficiency? Evidence from China a Share Market</w:t>
      </w:r>
    </w:p>
    <w:p w:rsidR="007815F8" w:rsidRDefault="00A46FA5">
      <w:pPr>
        <w:pStyle w:val="a8"/>
        <w:ind w:firstLine="422"/>
      </w:pPr>
      <w:r>
        <w:rPr>
          <w:b/>
        </w:rPr>
        <w:t>Abstract:</w:t>
      </w:r>
      <w:r>
        <w:t xml:space="preserve"> This article uses the degree of noise trading and delay of stock prices as a proxy for pricing efficiency, and studies the impact of ETF ownership on stock pricing effi</w:t>
      </w:r>
      <w:r>
        <w:t>ciency and explores its mechanism. We have three main findings. First, the ETF ownership has a significant impact on pricing efficiency of stock, the stock with high ETF ownership has higher pricing efficiency. Second, ETF ownership mainly affects the pric</w:t>
      </w:r>
      <w:r>
        <w:t>ing efficiency of stock through three channels including transaction costs, short selling restrictions and information mining. ETF ownership not only reduces transaction costs and short-sale constraints, but also attracts more analysts to dig out informati</w:t>
      </w:r>
      <w:r>
        <w:t xml:space="preserve">on, thereby increasing the speed and accuracy which information is incorporated into price. Third, we further decompose the ETF ownership into the parts related to purchase and redemption and revision of ETF component stock, and find that ETF purchase and </w:t>
      </w:r>
      <w:r>
        <w:t>redemption is a main force to improve pricing efficiency of stock.</w:t>
      </w:r>
    </w:p>
    <w:p w:rsidR="007815F8" w:rsidRDefault="00A46FA5">
      <w:pPr>
        <w:pStyle w:val="a8"/>
        <w:ind w:firstLine="422"/>
      </w:pPr>
      <w:r>
        <w:rPr>
          <w:b/>
        </w:rPr>
        <w:t>Keywords:</w:t>
      </w:r>
      <w:r>
        <w:t xml:space="preserve"> ETF ownership, pricing efficiency, transaction costs, short-sale restrictions, information mining</w:t>
      </w:r>
    </w:p>
    <w:p w:rsidR="007815F8" w:rsidRDefault="00A46FA5">
      <w:pPr>
        <w:pStyle w:val="1"/>
      </w:pPr>
      <w:bookmarkStart w:id="0" w:name="introduction"/>
      <w:r>
        <w:t>Introduction</w:t>
      </w:r>
    </w:p>
    <w:p w:rsidR="007815F8" w:rsidRDefault="00A46FA5">
      <w:pPr>
        <w:pStyle w:val="FirstParagraph"/>
        <w:ind w:firstLine="420"/>
      </w:pPr>
      <w:r>
        <w:t>Exchange-Traded Fund (ETF) is a financial innovation product. Like a</w:t>
      </w:r>
      <w:r>
        <w:t xml:space="preserve"> closed-end fund, it can be bought and sold throughout the day on stock exchanges, and like an open-end fund, it allows investors to purchase and redeem. ETFs are favored by investors due to low expense ratios, high level of diversification, and transparen</w:t>
      </w:r>
      <w:r>
        <w:t>cy of portfolio. Since the launch of the SSE 50 ETF in the Chinese stock market in 2004, the number and assets size of stock ETFs have been growing rapidly. From 2010 to 2019, the number of stock ETFs has increased from 18 to 243, and the size of assets ha</w:t>
      </w:r>
      <w:r>
        <w:t>s increased from 74.658 billion to 851.169 billion RMB (Figure 1)</w:t>
      </w:r>
    </w:p>
    <w:p w:rsidR="007815F8" w:rsidRDefault="00A46FA5">
      <w:pPr>
        <w:pStyle w:val="a1"/>
        <w:ind w:firstLine="420"/>
      </w:pPr>
      <w:r>
        <w:t>There is growing literature beginning to explore the potential impact of ETF trading on the securities underlying their portfolios due to the increasing asset under management. several early</w:t>
      </w:r>
      <w:r>
        <w:t xml:space="preserve"> studies suggest that ETF trading improves price discovery for the underlying assets(Chen and Strother 2008; Fang and Sanger 2011; Ivanov et al. 2013), while more recent literature shows that the superior liquidity of ETFs attracts noise traders and create</w:t>
      </w:r>
      <w:r>
        <w:t xml:space="preserve"> arbitrage opportunities, the arbitrage activity executed by authorized participants(AP) and other sophisticated traders transmit noise to underlying assets price(Israeli et al. 2017; Ben-David et al. 2018; Broman and Shum 2018). However, many of those stu</w:t>
      </w:r>
      <w:r>
        <w:t xml:space="preserve">dies often discuss the relationship between ETF ownership and market quality </w:t>
      </w:r>
      <w:r>
        <w:lastRenderedPageBreak/>
        <w:t>under the assumption that transmission of noise through arbitrage mechanism, and , they don’t study whether arbitrage opportunities are created by the ETF noise traders or the und</w:t>
      </w:r>
      <w:r>
        <w:t>erlying assets noise traders. In this paper, we answer the question by comparing mispricing condition probability of ETFs and their underlying assets,and examine whether ETF trading affects the price of underlying assets across a sample of 599 passively ma</w:t>
      </w:r>
      <w:r>
        <w:t>naged equity ETFs from 2014 to 2021 in China A-share market.</w:t>
      </w:r>
    </w:p>
    <w:p w:rsidR="007815F8" w:rsidRDefault="00A46FA5">
      <w:pPr>
        <w:pStyle w:val="1"/>
      </w:pPr>
      <w:bookmarkStart w:id="1" w:name="X5e1854f78de6ce449c0ea692efeaba50f4b63d9"/>
      <w:bookmarkEnd w:id="0"/>
      <w:r>
        <w:t>Literature Review and Research Hypotheses</w:t>
      </w:r>
    </w:p>
    <w:p w:rsidR="007815F8" w:rsidRDefault="00A46FA5">
      <w:pPr>
        <w:pStyle w:val="FirstParagraph"/>
        <w:ind w:firstLine="420"/>
      </w:pPr>
      <w:r>
        <w:t>This paper studies whether ETF improves pricing efficiency of underlying assets and explores its mechanism. We define pricing efficiency as the degree to</w:t>
      </w:r>
      <w:r>
        <w:t xml:space="preserve"> which prices reflect all available information in terms of speed and accuracy.</w:t>
      </w:r>
    </w:p>
    <w:p w:rsidR="007815F8" w:rsidRDefault="00A46FA5">
      <w:pPr>
        <w:pStyle w:val="2"/>
        <w:spacing w:after="240"/>
      </w:pPr>
      <w:bookmarkStart w:id="2" w:name="literature-of-pricing-efficiency"/>
      <w:r>
        <w:t>Literature of Pricing Efficiency</w:t>
      </w:r>
    </w:p>
    <w:p w:rsidR="007815F8" w:rsidRDefault="00A46FA5">
      <w:pPr>
        <w:pStyle w:val="FirstParagraph"/>
        <w:ind w:firstLine="420"/>
      </w:pPr>
      <w:r>
        <w:t>The relationship between securities market information and pricing efficiency has been fully studied in theory, (Mitchell and Pulvino 2012)such</w:t>
      </w:r>
      <w:r>
        <w:t xml:space="preserve"> as effective market theory, financial market noise theory and transaction friction theory. Under the efficient market hypothesis, investors are completely rational, and there is not any restriction on trading, the cost of obtaining information is zero, se</w:t>
      </w:r>
      <w:r>
        <w:t>curities prices can reflect all information in a timely and accurate manner (Conrad et al. 1994; Barberis 2018), and the pricing efficiency of securities and resource allocation are the best.Discussions about the impact of ETF ownership on pricing efficien</w:t>
      </w:r>
      <w:r>
        <w:t>cy are mainly concentrated (Cochrane 2017)，noise traders who traded in individual stock will migrate to ETFs, the departure of noise traders frustrated the enthusiasm of informed traders to gather information about individual stock due to increasing illiqu</w:t>
      </w:r>
      <w:r>
        <w:t>idity and trading costs. (Atmaz and Basak 2018)。</w:t>
      </w:r>
    </w:p>
    <w:p w:rsidR="007815F8" w:rsidRDefault="00A46FA5">
      <w:pPr>
        <w:pStyle w:val="2"/>
        <w:spacing w:after="240"/>
      </w:pPr>
      <w:bookmarkStart w:id="3" w:name="hypotheses-development"/>
      <w:bookmarkEnd w:id="2"/>
      <w:r>
        <w:t>Hypotheses Development</w:t>
      </w:r>
    </w:p>
    <w:p w:rsidR="007815F8" w:rsidRDefault="00A46FA5">
      <w:pPr>
        <w:pStyle w:val="FirstParagraph"/>
        <w:ind w:firstLine="420"/>
      </w:pPr>
      <w:r>
        <w:t>Compared with the mature capital market, the Chinese market is special, where the participants are mainly retail investors, and their professionalism and experience are not enough for dealing with challenge in market. In addition, there are prominent probl</w:t>
      </w:r>
      <w:r>
        <w:t>ems such as imperfect system construction, excessive speculation, insider trading, and stock price manipulation. So the information asymmetry and trading noise in the market are very serious, which means a low pricing efficiency. After the creation of an E</w:t>
      </w:r>
      <w:r>
        <w:t>TF, fund companies and other institutions must hold a certain position of ETFs to provide liquidity services for ETFs and maintain the equilibrium between ETF prices and net worth. As a result, institutional investors and retail investors trade ETFs togeth</w:t>
      </w:r>
      <w:r>
        <w:t>er, bear investment risks. Due to richer professionalism and experience, liquidity services provided by institutional investors is conducive to reducing transaction costs and trading frictions, increasing the speed of stock price incorporating information,</w:t>
      </w:r>
      <w:r>
        <w:t xml:space="preserve"> and deteriorating the living environment of noise traders. Therefore, the ETF ownership can drive noise traders out of market, and make stock price incorporate information rapidly. Based on the above analysis, we put forward the first hypotheses.</w:t>
      </w:r>
    </w:p>
    <w:p w:rsidR="007815F8" w:rsidRDefault="00A46FA5">
      <w:pPr>
        <w:pStyle w:val="a1"/>
        <w:ind w:firstLine="422"/>
      </w:pPr>
      <w:r>
        <w:rPr>
          <w:b/>
          <w:bCs/>
        </w:rPr>
        <w:lastRenderedPageBreak/>
        <w:t>Hypothes</w:t>
      </w:r>
      <w:r>
        <w:rPr>
          <w:b/>
          <w:bCs/>
        </w:rPr>
        <w:t>es 1:</w:t>
      </w:r>
      <w:r>
        <w:t xml:space="preserve"> Increasing in ETF ownership drive noise traders out of market, and make stock price incorporate information more fast, which means a higher pricing efficiency.</w:t>
      </w:r>
    </w:p>
    <w:p w:rsidR="007815F8" w:rsidRDefault="00A46FA5">
      <w:pPr>
        <w:pStyle w:val="1"/>
      </w:pPr>
      <w:bookmarkStart w:id="4" w:name="data-and-empirical-method"/>
      <w:bookmarkEnd w:id="1"/>
      <w:bookmarkEnd w:id="3"/>
      <w:r>
        <w:t>Data and Empirical Method</w:t>
      </w:r>
    </w:p>
    <w:p w:rsidR="007815F8" w:rsidRDefault="00A46FA5">
      <w:pPr>
        <w:pStyle w:val="2"/>
        <w:spacing w:after="240"/>
      </w:pPr>
      <w:bookmarkStart w:id="5" w:name="data-description"/>
      <w:r>
        <w:t>Data Description</w:t>
      </w:r>
    </w:p>
    <w:p w:rsidR="007815F8" w:rsidRDefault="00A46FA5">
      <w:pPr>
        <w:pStyle w:val="FirstParagraph"/>
        <w:ind w:firstLine="420"/>
      </w:pPr>
      <w:r>
        <w:t>In order to study the impact of ETF ownership o</w:t>
      </w:r>
      <w:r>
        <w:t xml:space="preserve">n the efficiency of stock price and explore its mechanism, this paper selects the ETF constituent stocks traded in the Chinese market from January 2011 to December 2019 as the research sample. After excluding bond ETFs, currency ETFs and cross-border ETFs </w:t>
      </w:r>
      <w:r>
        <w:t>in the study, there are 188 ETFs and 2,369 stocks in our sample. Research data mainly includes stock trading data, listed company characteristics data, listed company financial report data, ETF constituent stocks weight data, and ETF purchase and redemptio</w:t>
      </w:r>
      <w:r>
        <w:t>n data. Among them, the ETF constituent stocks weight data comes from the Tushare financial database, and the rest of the data comes from the CSMAR database. The financial report data of listed companies is quarterly frequency, and the remaining data frequ</w:t>
      </w:r>
      <w:r>
        <w:t>ency is monthly frequency.</w:t>
      </w:r>
    </w:p>
    <w:p w:rsidR="007815F8" w:rsidRDefault="00A46FA5" w:rsidP="00363B13">
      <w:pPr>
        <w:numPr>
          <w:ilvl w:val="0"/>
          <w:numId w:val="34"/>
        </w:numPr>
        <w:ind w:hanging="294"/>
      </w:pPr>
      <w:proofErr w:type="gramStart"/>
      <w:r>
        <w:t>when</w:t>
      </w:r>
      <w:proofErr w:type="gramEnd"/>
      <w:r>
        <w:t xml:space="preserve"> premium keep </w:t>
      </w:r>
      <w:proofErr w:type="spellStart"/>
      <w:r>
        <w:t>costant</w:t>
      </w:r>
      <w:proofErr w:type="spellEnd"/>
      <w:r>
        <w:t>.</w:t>
      </w:r>
    </w:p>
    <w:p w:rsidR="007815F8" w:rsidRDefault="00A46FA5" w:rsidP="00363B13">
      <w:pPr>
        <w:numPr>
          <w:ilvl w:val="0"/>
          <w:numId w:val="34"/>
        </w:numPr>
        <w:ind w:hanging="294"/>
      </w:pPr>
      <w:proofErr w:type="gramStart"/>
      <w:r>
        <w:t>when</w:t>
      </w:r>
      <w:proofErr w:type="gramEnd"/>
      <w:r>
        <w:t xml:space="preserve"> the intensity of price to arbitrage activity.</w:t>
      </w:r>
      <w:bookmarkStart w:id="6" w:name="_GoBack"/>
      <w:bookmarkEnd w:id="6"/>
    </w:p>
    <w:p w:rsidR="007815F8" w:rsidRDefault="00A46FA5">
      <w:pPr>
        <w:pBdr>
          <w:top w:val="none" w:sz="0" w:space="0" w:color="000000"/>
          <w:left w:val="none" w:sz="0" w:space="0" w:color="000000"/>
          <w:bottom w:val="none" w:sz="0" w:space="0" w:color="000000"/>
          <w:right w:val="none" w:sz="0" w:space="0" w:color="000000"/>
        </w:pBdr>
        <w:spacing w:before="400" w:after="400"/>
        <w:jc w:val="center"/>
      </w:pPr>
      <w:r>
        <w:rPr>
          <w:rFonts w:eastAsia="Times New Roman" w:cs="Times New Roman"/>
          <w:color w:val="000000"/>
          <w:sz w:val="22"/>
          <w:szCs w:val="22"/>
        </w:rPr>
        <w:t>Insert Table 1</w:t>
      </w:r>
    </w:p>
    <w:p w:rsidR="007815F8" w:rsidRDefault="00A46FA5">
      <w:pPr>
        <w:pStyle w:val="2"/>
        <w:spacing w:after="240"/>
      </w:pPr>
      <w:bookmarkStart w:id="7" w:name="measurement-of-variables"/>
      <w:bookmarkEnd w:id="5"/>
      <w:r>
        <w:t>Measurement of Variables</w:t>
      </w:r>
    </w:p>
    <w:p w:rsidR="007815F8" w:rsidRDefault="00A46FA5">
      <w:pPr>
        <w:pStyle w:val="3"/>
        <w:spacing w:before="240"/>
        <w:ind w:left="-105"/>
      </w:pPr>
      <w:bookmarkStart w:id="8" w:name="etf-ownership"/>
      <w:r>
        <w:t>ETF Ownership</w:t>
      </w:r>
    </w:p>
    <w:p w:rsidR="007815F8" w:rsidRDefault="00A46FA5">
      <w:pPr>
        <w:pStyle w:val="FirstParagraph"/>
        <w:ind w:firstLine="420"/>
      </w:pPr>
      <w:r>
        <w:t>ETF ownership of stock i in month t is defined as the sum of the value of holdings by all ETF investing in the stock, divided by the stock’s capitalization at the end of the month. It measures the impact of ETF trading activities on the stocks in the ETF b</w:t>
      </w:r>
      <w:r>
        <w:t>asket.</w:t>
      </w:r>
    </w:p>
    <w:p w:rsidR="007815F8" w:rsidRDefault="00A46FA5">
      <w:pPr>
        <w:pStyle w:val="a1"/>
        <w:ind w:firstLine="420"/>
      </w:pPr>
      <w:bookmarkStart w:id="9" w:name="eq:eqn1"/>
      <m:oMathPara>
        <m:oMathParaPr>
          <m:jc m:val="center"/>
        </m:oMathParaPr>
        <m:oMath>
          <m:r>
            <w:rPr>
              <w:rFonts w:ascii="Cambria Math" w:hAnsi="Cambria Math"/>
            </w:rPr>
            <m:t>ETFoners</m:t>
          </m:r>
          <m:r>
            <w:rPr>
              <w:rFonts w:ascii="Cambria Math" w:hAnsi="Cambria Math"/>
            </w:rPr>
            <m:t>h</m:t>
          </m:r>
          <m:r>
            <w:rPr>
              <w:rFonts w:ascii="Cambria Math" w:hAnsi="Cambria Math"/>
            </w:rPr>
            <m:t>ip</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num>
            <m:den>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m:t>
                  </m:r>
                </m:sub>
              </m:sSub>
            </m:den>
          </m:f>
          <m:r>
            <w:rPr>
              <w:rFonts w:ascii="Cambria Math" w:hAnsi="Cambria Math"/>
            </w:rPr>
            <m:t>  </m:t>
          </m:r>
          <m:d>
            <m:dPr>
              <m:ctrlPr>
                <w:rPr>
                  <w:rFonts w:ascii="Cambria Math" w:hAnsi="Cambria Math"/>
                </w:rPr>
              </m:ctrlPr>
            </m:dPr>
            <m:e>
              <m:r>
                <w:rPr>
                  <w:rFonts w:ascii="Cambria Math" w:hAnsi="Cambria Math"/>
                </w:rPr>
                <m:t>1</m:t>
              </m:r>
            </m:e>
          </m:d>
        </m:oMath>
      </m:oMathPara>
      <w:bookmarkEnd w:id="9"/>
    </w:p>
    <w:bookmarkStart w:id="10" w:name="eq:eqn2"/>
    <w:p w:rsidR="007815F8" w:rsidRDefault="00A46FA5">
      <w:pPr>
        <w:pStyle w:val="FirstParagraph"/>
        <w:ind w:firstLine="42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e>
            </m:mr>
          </m:m>
          <m:r>
            <w:rPr>
              <w:rFonts w:ascii="Cambria Math" w:hAnsi="Cambria Math"/>
            </w:rPr>
            <m:t>  </m:t>
          </m:r>
          <m:d>
            <m:dPr>
              <m:ctrlPr>
                <w:rPr>
                  <w:rFonts w:ascii="Cambria Math" w:hAnsi="Cambria Math"/>
                </w:rPr>
              </m:ctrlPr>
            </m:dPr>
            <m:e>
              <m:r>
                <w:rPr>
                  <w:rFonts w:ascii="Cambria Math" w:hAnsi="Cambria Math"/>
                </w:rPr>
                <m:t>2</m:t>
              </m:r>
            </m:e>
          </m:d>
        </m:oMath>
      </m:oMathPara>
      <w:bookmarkEnd w:id="10"/>
    </w:p>
    <w:p w:rsidR="007815F8" w:rsidRDefault="00A46FA5">
      <w:pPr>
        <w:pStyle w:val="3"/>
        <w:spacing w:before="240"/>
        <w:ind w:left="-105"/>
      </w:pPr>
      <w:bookmarkStart w:id="11" w:name="pricing-efficiency"/>
      <w:bookmarkEnd w:id="8"/>
      <w:r>
        <w:t>Pricing Efficiency</w:t>
      </w:r>
    </w:p>
    <w:p w:rsidR="007815F8" w:rsidRDefault="00A46FA5">
      <w:pPr>
        <w:pStyle w:val="FirstParagraph"/>
        <w:ind w:firstLine="420"/>
      </w:pPr>
      <w:r>
        <w:t>(Han et al. 2021)defined pricing efficiency as the degree to which stock prices reflect all available information in terms of speed and accurac</w:t>
      </w:r>
      <w:r>
        <w:t>y. The faster and more accurate the stock prices reflect the information, the higher the pricing efficiency. Therefore, we measure the pricing efficiency from two aspects of speed and accuracy.</w:t>
      </w:r>
    </w:p>
    <w:p w:rsidR="007815F8" w:rsidRDefault="00A46FA5">
      <w:pPr>
        <w:pBdr>
          <w:top w:val="none" w:sz="0" w:space="0" w:color="000000"/>
          <w:left w:val="none" w:sz="0" w:space="0" w:color="000000"/>
          <w:bottom w:val="none" w:sz="0" w:space="0" w:color="000000"/>
          <w:right w:val="none" w:sz="0" w:space="0" w:color="000000"/>
        </w:pBdr>
        <w:spacing w:before="400" w:after="400"/>
        <w:jc w:val="center"/>
      </w:pPr>
      <w:r>
        <w:rPr>
          <w:rFonts w:eastAsia="Times New Roman" w:cs="Times New Roman"/>
          <w:color w:val="000000"/>
          <w:sz w:val="22"/>
          <w:szCs w:val="22"/>
        </w:rPr>
        <w:lastRenderedPageBreak/>
        <w:t>Insert Table 2</w:t>
      </w:r>
    </w:p>
    <w:p w:rsidR="007815F8" w:rsidRDefault="00A46FA5">
      <w:pPr>
        <w:pStyle w:val="1"/>
      </w:pPr>
      <w:bookmarkStart w:id="12" w:name="empirical-results-and-analysis"/>
      <w:bookmarkEnd w:id="4"/>
      <w:bookmarkEnd w:id="7"/>
      <w:bookmarkEnd w:id="11"/>
      <w:r>
        <w:t>Empirical Results and Analysis</w:t>
      </w:r>
    </w:p>
    <w:p w:rsidR="007815F8" w:rsidRDefault="00A46FA5">
      <w:pPr>
        <w:pStyle w:val="2"/>
        <w:spacing w:after="240"/>
      </w:pPr>
      <w:bookmarkStart w:id="13" w:name="descriptive-statistics"/>
      <w:r>
        <w:t>Descriptive Stat</w:t>
      </w:r>
      <w:r>
        <w:t>istics</w:t>
      </w:r>
    </w:p>
    <w:p w:rsidR="007815F8" w:rsidRDefault="00A46FA5">
      <w:pPr>
        <w:pStyle w:val="FirstParagraph"/>
        <w:ind w:firstLine="420"/>
      </w:pPr>
      <w:r>
        <w:t>Table 2 contains the descriptive statistical results of the main variables. From the perspective of different measures of pricing efficiency, the mean of each measure is greater than the median. For example, the mean of the Delayr and NoiseTrade are</w:t>
      </w:r>
      <w:r>
        <w:t xml:space="preserve"> 0.3 and 0.614, respectively. Their median are 0.238 and 0.558 respectively, and the sample distribution is near the left tail.</w:t>
      </w:r>
    </w:p>
    <w:p w:rsidR="007815F8" w:rsidRDefault="00A46FA5">
      <w:pPr>
        <w:pStyle w:val="2"/>
        <w:spacing w:after="240"/>
      </w:pPr>
      <w:bookmarkStart w:id="14" w:name="etf-ownership-and-pricing-efficiency"/>
      <w:bookmarkEnd w:id="13"/>
      <w:r>
        <w:t>ETF Ownership and Pricing Efficiency</w:t>
      </w:r>
    </w:p>
    <w:p w:rsidR="007815F8" w:rsidRDefault="00A46FA5">
      <w:pPr>
        <w:pStyle w:val="FirstParagraph"/>
        <w:ind w:firstLine="420"/>
      </w:pPr>
      <w:r>
        <w:t>Pricing efficiency depends on whether asset prices can reflect value information in a timel</w:t>
      </w:r>
      <w:r>
        <w:t>y and accurate manner. Does ETF ownership help to improve efficiency of stock price? We start by examining whether our proxies of pricing efficiency are related to ETF ownership. The specific model is shown in formula (7).</w:t>
      </w:r>
    </w:p>
    <w:p w:rsidR="007815F8" w:rsidRDefault="00A46FA5">
      <w:pPr>
        <w:pStyle w:val="1"/>
      </w:pPr>
      <w:bookmarkStart w:id="15" w:name="further-research-and-robustness-test"/>
      <w:bookmarkEnd w:id="12"/>
      <w:bookmarkEnd w:id="14"/>
      <w:r>
        <w:t>Further Research and Robustness T</w:t>
      </w:r>
      <w:r>
        <w:t>est</w:t>
      </w:r>
    </w:p>
    <w:p w:rsidR="007815F8" w:rsidRDefault="00A46FA5">
      <w:pPr>
        <w:pStyle w:val="2"/>
        <w:spacing w:after="240"/>
      </w:pPr>
      <w:bookmarkStart w:id="16" w:name="further-research"/>
      <w:r>
        <w:t>Further Research</w:t>
      </w:r>
    </w:p>
    <w:p w:rsidR="007815F8" w:rsidRDefault="00A46FA5">
      <w:pPr>
        <w:pStyle w:val="FirstParagraph"/>
        <w:ind w:firstLine="420"/>
      </w:pPr>
      <w:r>
        <w:t>We have previously confirmed that ETF ownership can improve the speed and accuracy of stock prices reflecting information by reducing transaction costs, alleviating short-sale restrictions, and encouraging analysts to mine information, thereby improving pr</w:t>
      </w:r>
      <w:r>
        <w:t>icing efficiency. But how does ETF ownership affect stock pricing efficiency through the three channels and what information does the stock price incorporate? Market information, industry information or individual stock information, those still need furthe</w:t>
      </w:r>
      <w:r>
        <w:t>r empirical analysis.</w:t>
      </w:r>
    </w:p>
    <w:p w:rsidR="007815F8" w:rsidRDefault="00A46FA5">
      <w:pPr>
        <w:pBdr>
          <w:top w:val="none" w:sz="0" w:space="0" w:color="000000"/>
          <w:left w:val="none" w:sz="0" w:space="0" w:color="000000"/>
          <w:bottom w:val="none" w:sz="0" w:space="0" w:color="000000"/>
          <w:right w:val="none" w:sz="0" w:space="0" w:color="000000"/>
        </w:pBdr>
        <w:spacing w:before="400" w:after="400"/>
        <w:jc w:val="center"/>
      </w:pPr>
      <w:r>
        <w:rPr>
          <w:rFonts w:eastAsia="Times New Roman" w:cs="Times New Roman"/>
          <w:color w:val="000000"/>
          <w:sz w:val="22"/>
          <w:szCs w:val="22"/>
        </w:rPr>
        <w:t>Insert Table 2</w:t>
      </w:r>
    </w:p>
    <w:p w:rsidR="007815F8" w:rsidRDefault="00A46FA5">
      <w:pPr>
        <w:pStyle w:val="2"/>
        <w:spacing w:after="240"/>
      </w:pPr>
      <w:bookmarkStart w:id="17" w:name="robustness-test"/>
      <w:bookmarkEnd w:id="16"/>
      <w:r>
        <w:t>Robustness Test</w:t>
      </w:r>
    </w:p>
    <w:p w:rsidR="007815F8" w:rsidRDefault="00A46FA5">
      <w:pPr>
        <w:pStyle w:val="FirstParagraph"/>
        <w:ind w:firstLine="420"/>
      </w:pPr>
      <w:r>
        <w:t xml:space="preserve">In order to ensure the accuracy and reliability of the conclusions, we test the robustness of the research results from different aspects to ensure that the conclusions are not affected by the choice of </w:t>
      </w:r>
      <w:r>
        <w:t>variables and methods.</w:t>
      </w:r>
    </w:p>
    <w:p w:rsidR="007815F8" w:rsidRDefault="00A46FA5">
      <w:pPr>
        <w:pBdr>
          <w:top w:val="none" w:sz="0" w:space="0" w:color="000000"/>
          <w:left w:val="none" w:sz="0" w:space="0" w:color="000000"/>
          <w:bottom w:val="none" w:sz="0" w:space="0" w:color="000000"/>
          <w:right w:val="none" w:sz="0" w:space="0" w:color="000000"/>
        </w:pBdr>
        <w:spacing w:before="400" w:after="400"/>
        <w:jc w:val="center"/>
      </w:pPr>
      <w:r>
        <w:rPr>
          <w:rFonts w:eastAsia="Times New Roman" w:cs="Times New Roman"/>
          <w:color w:val="000000"/>
          <w:sz w:val="22"/>
          <w:szCs w:val="22"/>
        </w:rPr>
        <w:t>Insert Table 3</w:t>
      </w:r>
    </w:p>
    <w:p w:rsidR="007815F8" w:rsidRDefault="007815F8">
      <w:pPr>
        <w:sectPr w:rsidR="007815F8">
          <w:footerReference w:type="even" r:id="rId9"/>
          <w:footerReference w:type="default" r:id="rId10"/>
          <w:type w:val="continuous"/>
          <w:pgSz w:w="11952" w:h="16848"/>
          <w:pgMar w:top="1440" w:right="1800" w:bottom="1440" w:left="1800" w:header="720" w:footer="720" w:gutter="0"/>
          <w:cols w:space="720"/>
        </w:sectPr>
      </w:pPr>
    </w:p>
    <w:p w:rsidR="007815F8" w:rsidRDefault="00A46FA5">
      <w:pPr>
        <w:pBdr>
          <w:top w:val="none" w:sz="0" w:space="0" w:color="000000"/>
          <w:left w:val="none" w:sz="0" w:space="0" w:color="000000"/>
          <w:bottom w:val="none" w:sz="0" w:space="0" w:color="000000"/>
          <w:right w:val="none" w:sz="0" w:space="0" w:color="000000"/>
        </w:pBdr>
        <w:spacing w:before="400" w:after="400"/>
        <w:jc w:val="center"/>
      </w:pPr>
      <w:r>
        <w:rPr>
          <w:rFonts w:eastAsia="Times New Roman" w:cs="Times New Roman"/>
          <w:color w:val="000000"/>
          <w:sz w:val="22"/>
          <w:szCs w:val="22"/>
        </w:rPr>
        <w:lastRenderedPageBreak/>
        <w:t>Insert Table 4</w:t>
      </w:r>
    </w:p>
    <w:p w:rsidR="007815F8" w:rsidRDefault="007815F8">
      <w:pPr>
        <w:sectPr w:rsidR="007815F8">
          <w:footerReference w:type="even" r:id="rId11"/>
          <w:footerReference w:type="default" r:id="rId12"/>
          <w:type w:val="oddPage"/>
          <w:pgSz w:w="16838" w:h="11906" w:orient="landscape"/>
          <w:pgMar w:top="1440" w:right="1800" w:bottom="1440" w:left="1800" w:header="720" w:footer="720" w:gutter="0"/>
          <w:cols w:space="720"/>
        </w:sectPr>
      </w:pPr>
    </w:p>
    <w:p w:rsidR="007815F8" w:rsidRDefault="00A46FA5">
      <w:pPr>
        <w:pStyle w:val="1"/>
      </w:pPr>
      <w:bookmarkStart w:id="18" w:name="conclusion"/>
      <w:bookmarkEnd w:id="15"/>
      <w:bookmarkEnd w:id="17"/>
      <w:r>
        <w:lastRenderedPageBreak/>
        <w:t>Conclusion</w:t>
      </w:r>
    </w:p>
    <w:p w:rsidR="007815F8" w:rsidRDefault="00A46FA5">
      <w:pPr>
        <w:pStyle w:val="FirstParagraph"/>
        <w:ind w:firstLine="420"/>
      </w:pPr>
      <w:r>
        <w:t>This paper uses the data of ETF constituent stocks in China’s A-share market from 2011 to 2019 to study the influence of ETF ownership on the pricing efficiency of stock, and explores its mechanism. The article focuses on the impact of ETF ownership on the</w:t>
      </w:r>
      <w:r>
        <w:t xml:space="preserve"> accuracy and timeliness of stock price incorporating information, and proposes three mediator channels that ETF ownership affect pricing efficiency, including transaction costs, short-sale restrictions and information mining. We further decompose ETF owne</w:t>
      </w:r>
      <w:r>
        <w:t>rship into two parts, one part is related to the purchase and redemption, the other is related to the revision of ETF component stocks, and examine the influence of the ETF ownership related to purchase and redemption and the ETF ownership related to revis</w:t>
      </w:r>
      <w:r>
        <w:t>ion of ETF component stocks on pricing efficiency and their influence channels, and discuss which level information ETF ownership help stock price incorporate.</w:t>
      </w:r>
    </w:p>
    <w:p w:rsidR="007815F8" w:rsidRDefault="00A46FA5">
      <w:r>
        <w:br w:type="page"/>
      </w:r>
    </w:p>
    <w:p w:rsidR="007815F8" w:rsidRDefault="007815F8">
      <w:pPr>
        <w:sectPr w:rsidR="007815F8">
          <w:footerReference w:type="even" r:id="rId13"/>
          <w:footerReference w:type="default" r:id="rId14"/>
          <w:pgSz w:w="11952" w:h="16848"/>
          <w:pgMar w:top="1440" w:right="1800" w:bottom="1440" w:left="1800" w:header="720" w:footer="720" w:gutter="0"/>
          <w:cols w:space="720"/>
        </w:sectPr>
      </w:pPr>
    </w:p>
    <w:p w:rsidR="007815F8" w:rsidRDefault="00A46FA5">
      <w:pPr>
        <w:pBdr>
          <w:top w:val="none" w:sz="0" w:space="0" w:color="000000"/>
          <w:left w:val="none" w:sz="0" w:space="0" w:color="000000"/>
          <w:bottom w:val="none" w:sz="0" w:space="0" w:color="000000"/>
          <w:right w:val="none" w:sz="0" w:space="0" w:color="000000"/>
        </w:pBdr>
        <w:spacing w:before="200"/>
      </w:pPr>
      <w:r>
        <w:rPr>
          <w:rFonts w:eastAsia="Times New Roman" w:cs="Times New Roman"/>
          <w:b/>
          <w:color w:val="000000"/>
          <w:sz w:val="28"/>
          <w:szCs w:val="28"/>
        </w:rPr>
        <w:lastRenderedPageBreak/>
        <w:t>References</w:t>
      </w:r>
    </w:p>
    <w:p w:rsidR="007815F8" w:rsidRDefault="00A46FA5">
      <w:pPr>
        <w:pStyle w:val="a"/>
        <w:spacing w:after="120"/>
      </w:pPr>
      <w:bookmarkStart w:id="19" w:name="ref-atmaz2018"/>
      <w:bookmarkStart w:id="20" w:name="refs"/>
      <w:r>
        <w:t xml:space="preserve">Atmaz A, </w:t>
      </w:r>
      <w:proofErr w:type="spellStart"/>
      <w:r>
        <w:t>Basak</w:t>
      </w:r>
      <w:proofErr w:type="spellEnd"/>
      <w:r>
        <w:t xml:space="preserve"> S (2018) </w:t>
      </w:r>
      <w:hyperlink r:id="rId15">
        <w:r>
          <w:rPr>
            <w:rStyle w:val="ac"/>
          </w:rPr>
          <w:t>Belief dispersion in the stock market</w:t>
        </w:r>
      </w:hyperlink>
      <w:r>
        <w:t>. The Journal of Finance 73:12251279</w:t>
      </w:r>
    </w:p>
    <w:p w:rsidR="007815F8" w:rsidRDefault="00A46FA5">
      <w:pPr>
        <w:pStyle w:val="a"/>
        <w:spacing w:after="120"/>
      </w:pPr>
      <w:bookmarkStart w:id="21" w:name="ref-barberis2018"/>
      <w:bookmarkEnd w:id="19"/>
      <w:proofErr w:type="spellStart"/>
      <w:r>
        <w:t>Barberis</w:t>
      </w:r>
      <w:proofErr w:type="spellEnd"/>
      <w:r>
        <w:t xml:space="preserve"> N (2018) </w:t>
      </w:r>
      <w:hyperlink r:id="rId16">
        <w:r>
          <w:rPr>
            <w:rStyle w:val="ac"/>
          </w:rPr>
          <w:t>Chapter 2 - psychology-based models of asset prices and trading volume</w:t>
        </w:r>
      </w:hyperlink>
      <w:r>
        <w:t>. North-Holland, pp 79–175</w:t>
      </w:r>
    </w:p>
    <w:p w:rsidR="007815F8" w:rsidRDefault="00A46FA5">
      <w:pPr>
        <w:pStyle w:val="a"/>
        <w:spacing w:after="120"/>
      </w:pPr>
      <w:bookmarkStart w:id="22" w:name="ref-ben2018etfs"/>
      <w:bookmarkEnd w:id="21"/>
      <w:r>
        <w:t xml:space="preserve">Ben-David I, Franzoni F, </w:t>
      </w:r>
      <w:proofErr w:type="spellStart"/>
      <w:r>
        <w:t>Moussawi</w:t>
      </w:r>
      <w:proofErr w:type="spellEnd"/>
      <w:r>
        <w:t xml:space="preserve"> R (2018) </w:t>
      </w:r>
      <w:hyperlink r:id="rId17">
        <w:r>
          <w:rPr>
            <w:rStyle w:val="ac"/>
          </w:rPr>
          <w:t>Do ETFs increase volatility?</w:t>
        </w:r>
      </w:hyperlink>
      <w:r>
        <w:t xml:space="preserve"> The Journal of Finance 73:2471–25</w:t>
      </w:r>
      <w:r>
        <w:t>35</w:t>
      </w:r>
    </w:p>
    <w:p w:rsidR="007815F8" w:rsidRDefault="00A46FA5">
      <w:pPr>
        <w:pStyle w:val="a"/>
        <w:spacing w:after="120"/>
      </w:pPr>
      <w:bookmarkStart w:id="23" w:name="ref-broman2018relative"/>
      <w:bookmarkEnd w:id="22"/>
      <w:r>
        <w:t xml:space="preserve">Broman MS, Shum P (2018) </w:t>
      </w:r>
      <w:hyperlink r:id="rId18">
        <w:r>
          <w:rPr>
            <w:rStyle w:val="ac"/>
          </w:rPr>
          <w:t>Relative liquidity, fund flows and short-term demand: Evidence from exchange-traded funds</w:t>
        </w:r>
      </w:hyperlink>
      <w:r>
        <w:t>. Financial Review 53:87–115</w:t>
      </w:r>
    </w:p>
    <w:p w:rsidR="007815F8" w:rsidRDefault="00A46FA5">
      <w:pPr>
        <w:pStyle w:val="a"/>
        <w:spacing w:after="120"/>
      </w:pPr>
      <w:bookmarkStart w:id="24" w:name="ref-chen2008contribution"/>
      <w:bookmarkEnd w:id="23"/>
      <w:r>
        <w:t xml:space="preserve">Chen G, </w:t>
      </w:r>
      <w:proofErr w:type="spellStart"/>
      <w:r>
        <w:t>Strother</w:t>
      </w:r>
      <w:proofErr w:type="spellEnd"/>
      <w:r>
        <w:t xml:space="preserve"> TS (2008) </w:t>
      </w:r>
      <w:hyperlink r:id="rId19">
        <w:proofErr w:type="gramStart"/>
        <w:r>
          <w:rPr>
            <w:rStyle w:val="ac"/>
          </w:rPr>
          <w:t>On</w:t>
        </w:r>
        <w:proofErr w:type="gramEnd"/>
        <w:r>
          <w:rPr>
            <w:rStyle w:val="ac"/>
          </w:rPr>
          <w:t xml:space="preserve"> the contribution of index exchange traded funds to price discovery in the presence of price limits without short selling</w:t>
        </w:r>
      </w:hyperlink>
      <w:r>
        <w:t>. Available at SSRN 1094485</w:t>
      </w:r>
    </w:p>
    <w:p w:rsidR="007815F8" w:rsidRDefault="00A46FA5">
      <w:pPr>
        <w:pStyle w:val="a"/>
        <w:spacing w:after="120"/>
      </w:pPr>
      <w:bookmarkStart w:id="25" w:name="ref-cochrane2017"/>
      <w:bookmarkEnd w:id="24"/>
      <w:r>
        <w:t xml:space="preserve">Cochrane JH (2017) </w:t>
      </w:r>
      <w:hyperlink r:id="rId20">
        <w:r>
          <w:rPr>
            <w:rStyle w:val="ac"/>
          </w:rPr>
          <w:t>Ma</w:t>
        </w:r>
        <w:r>
          <w:rPr>
            <w:rStyle w:val="ac"/>
          </w:rPr>
          <w:t>cro-finance</w:t>
        </w:r>
      </w:hyperlink>
      <w:r>
        <w:t>. Review of Finance 21:945985</w:t>
      </w:r>
    </w:p>
    <w:p w:rsidR="007815F8" w:rsidRDefault="00A46FA5">
      <w:pPr>
        <w:pStyle w:val="a"/>
        <w:spacing w:after="120"/>
      </w:pPr>
      <w:bookmarkStart w:id="26" w:name="ref-conrad1994"/>
      <w:bookmarkEnd w:id="25"/>
      <w:r>
        <w:t xml:space="preserve">Conrad JS, Hameed A, </w:t>
      </w:r>
      <w:proofErr w:type="spellStart"/>
      <w:r>
        <w:t>Niden</w:t>
      </w:r>
      <w:proofErr w:type="spellEnd"/>
      <w:r>
        <w:t xml:space="preserve"> C (1994) </w:t>
      </w:r>
      <w:hyperlink r:id="rId21">
        <w:r>
          <w:rPr>
            <w:rStyle w:val="ac"/>
          </w:rPr>
          <w:t>Volume and autocovariances in short-horizon individual security returns</w:t>
        </w:r>
      </w:hyperlink>
      <w:r>
        <w:t>. The Journal of Finance 49:13051329</w:t>
      </w:r>
    </w:p>
    <w:p w:rsidR="007815F8" w:rsidRDefault="00A46FA5">
      <w:pPr>
        <w:pStyle w:val="a"/>
        <w:spacing w:after="120"/>
      </w:pPr>
      <w:bookmarkStart w:id="27" w:name="ref-fang2011index"/>
      <w:bookmarkEnd w:id="26"/>
      <w:r>
        <w:t>F</w:t>
      </w:r>
      <w:r>
        <w:t xml:space="preserve">ang Y, Sanger GC (2011) </w:t>
      </w:r>
      <w:hyperlink r:id="rId22">
        <w:r>
          <w:rPr>
            <w:rStyle w:val="ac"/>
          </w:rPr>
          <w:t>Index price discovery in the cash market</w:t>
        </w:r>
      </w:hyperlink>
      <w:r>
        <w:t>. In: Midwest finance association 2012 annual meetings paper</w:t>
      </w:r>
    </w:p>
    <w:p w:rsidR="007815F8" w:rsidRDefault="00A46FA5">
      <w:pPr>
        <w:pStyle w:val="a"/>
        <w:spacing w:after="120"/>
      </w:pPr>
      <w:bookmarkStart w:id="28" w:name="ref-han2021"/>
      <w:bookmarkEnd w:id="27"/>
      <w:r>
        <w:t xml:space="preserve">Han Y, Huang D, Huang D, Zhou G (2021) </w:t>
      </w:r>
      <w:hyperlink r:id="rId23">
        <w:r>
          <w:rPr>
            <w:rStyle w:val="ac"/>
          </w:rPr>
          <w:t>Expected return, volume, and mispricing</w:t>
        </w:r>
      </w:hyperlink>
      <w:r>
        <w:t>. Journal of Financial Economics</w:t>
      </w:r>
    </w:p>
    <w:p w:rsidR="007815F8" w:rsidRDefault="00A46FA5">
      <w:pPr>
        <w:pStyle w:val="a"/>
        <w:spacing w:after="120"/>
      </w:pPr>
      <w:bookmarkStart w:id="29" w:name="ref-israeli2017there"/>
      <w:bookmarkEnd w:id="28"/>
      <w:r>
        <w:t xml:space="preserve">Israeli D, Lee C, </w:t>
      </w:r>
      <w:proofErr w:type="spellStart"/>
      <w:r>
        <w:t>Sridharan</w:t>
      </w:r>
      <w:proofErr w:type="spellEnd"/>
      <w:r>
        <w:t xml:space="preserve"> SA (2017) </w:t>
      </w:r>
      <w:hyperlink r:id="rId24">
        <w:proofErr w:type="gramStart"/>
        <w:r>
          <w:rPr>
            <w:rStyle w:val="ac"/>
          </w:rPr>
          <w:t>Is</w:t>
        </w:r>
        <w:proofErr w:type="gramEnd"/>
        <w:r>
          <w:rPr>
            <w:rStyle w:val="ac"/>
          </w:rPr>
          <w:t xml:space="preserve"> there a dark side to exchange traded funds? An inf</w:t>
        </w:r>
        <w:r>
          <w:rPr>
            <w:rStyle w:val="ac"/>
          </w:rPr>
          <w:t>ormation perspective</w:t>
        </w:r>
      </w:hyperlink>
      <w:r>
        <w:t>. Review of Accounting Studies 22:1048–1083</w:t>
      </w:r>
    </w:p>
    <w:p w:rsidR="007815F8" w:rsidRDefault="00A46FA5">
      <w:pPr>
        <w:pStyle w:val="a"/>
        <w:spacing w:after="120"/>
      </w:pPr>
      <w:bookmarkStart w:id="30" w:name="ref-ivanov2013analysis"/>
      <w:bookmarkEnd w:id="29"/>
      <w:r>
        <w:t xml:space="preserve">Ivanov SI, Jones FJ, </w:t>
      </w:r>
      <w:proofErr w:type="spellStart"/>
      <w:r>
        <w:t>Zaima</w:t>
      </w:r>
      <w:proofErr w:type="spellEnd"/>
      <w:r>
        <w:t xml:space="preserve"> JK (2013) </w:t>
      </w:r>
      <w:hyperlink r:id="rId25">
        <w:r>
          <w:rPr>
            <w:rStyle w:val="ac"/>
          </w:rPr>
          <w:t>Analysis of DJIA, s&amp;p 500, s&amp;p 400, NASDAQ 100 and russell 2000 ETFs and their influence on pr</w:t>
        </w:r>
        <w:r>
          <w:rPr>
            <w:rStyle w:val="ac"/>
          </w:rPr>
          <w:t>ice discovery</w:t>
        </w:r>
      </w:hyperlink>
      <w:r>
        <w:t>. Global Finance Journal 24:171–187</w:t>
      </w:r>
    </w:p>
    <w:p w:rsidR="007815F8" w:rsidRDefault="00A46FA5">
      <w:pPr>
        <w:pStyle w:val="a"/>
        <w:spacing w:after="120"/>
      </w:pPr>
      <w:bookmarkStart w:id="31" w:name="ref-mitchell2012"/>
      <w:bookmarkEnd w:id="30"/>
      <w:r>
        <w:t>Mitchell M, Pulvino T (2012) Arbitrage crashes and the speed of capital. Journal of Financial Economics 104:469–490. https://doi.org/</w:t>
      </w:r>
      <w:hyperlink r:id="rId26">
        <w:r>
          <w:rPr>
            <w:rStyle w:val="ac"/>
          </w:rPr>
          <w:t>https://d</w:t>
        </w:r>
        <w:r>
          <w:rPr>
            <w:rStyle w:val="ac"/>
          </w:rPr>
          <w:t>oi.org/10.1016/j.jfineco.2011.09.002</w:t>
        </w:r>
      </w:hyperlink>
    </w:p>
    <w:bookmarkEnd w:id="20"/>
    <w:bookmarkEnd w:id="31"/>
    <w:p w:rsidR="007815F8" w:rsidRDefault="00A46FA5">
      <w:r>
        <w:br w:type="page"/>
      </w:r>
    </w:p>
    <w:p w:rsidR="007815F8" w:rsidRDefault="007815F8">
      <w:pPr>
        <w:sectPr w:rsidR="007815F8">
          <w:footerReference w:type="even" r:id="rId27"/>
          <w:footerReference w:type="default" r:id="rId28"/>
          <w:pgSz w:w="11952" w:h="16848"/>
          <w:pgMar w:top="1440" w:right="1800" w:bottom="1440" w:left="1800" w:header="720" w:footer="720" w:gutter="0"/>
          <w:cols w:space="720"/>
        </w:sectPr>
      </w:pPr>
    </w:p>
    <w:p w:rsidR="007815F8" w:rsidRDefault="00A46FA5">
      <w:pPr>
        <w:pBdr>
          <w:top w:val="none" w:sz="0" w:space="0" w:color="000000"/>
          <w:left w:val="none" w:sz="0" w:space="0" w:color="000000"/>
          <w:bottom w:val="none" w:sz="0" w:space="0" w:color="000000"/>
          <w:right w:val="none" w:sz="0" w:space="0" w:color="000000"/>
        </w:pBdr>
        <w:spacing w:before="200"/>
      </w:pPr>
      <w:r>
        <w:rPr>
          <w:rFonts w:eastAsia="Times New Roman" w:cs="Times New Roman"/>
          <w:b/>
          <w:color w:val="000000"/>
          <w:sz w:val="28"/>
          <w:szCs w:val="28"/>
        </w:rPr>
        <w:lastRenderedPageBreak/>
        <w:t>Appendix</w:t>
      </w:r>
    </w:p>
    <w:p w:rsidR="007815F8" w:rsidRDefault="00A46FA5">
      <w:pPr>
        <w:jc w:val="center"/>
      </w:pPr>
      <w:r>
        <w:rPr>
          <w:noProof/>
          <w:lang w:eastAsia="zh-CN"/>
        </w:rPr>
        <w:drawing>
          <wp:inline distT="0" distB="0" distL="0" distR="0">
            <wp:extent cx="457200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63500" cy="50800"/>
                    </a:xfrm>
                    <a:prstGeom prst="rect">
                      <a:avLst/>
                    </a:prstGeom>
                    <a:noFill/>
                  </pic:spPr>
                </pic:pic>
              </a:graphicData>
            </a:graphic>
          </wp:inline>
        </w:drawing>
      </w:r>
    </w:p>
    <w:p w:rsidR="007815F8" w:rsidRDefault="00A46FA5">
      <w:pPr>
        <w:pStyle w:val="ImageCaption"/>
      </w:pPr>
      <w:r>
        <w:rPr>
          <w:b/>
        </w:rPr>
        <w:t xml:space="preserve">Figure </w:t>
      </w:r>
      <w:bookmarkStart w:id="32" w:name="unnamed-chunk-5"/>
      <w:r>
        <w:rPr>
          <w:b/>
        </w:rPr>
        <w:fldChar w:fldCharType="begin"/>
      </w:r>
      <w:r>
        <w:rPr>
          <w:b/>
        </w:rPr>
        <w:instrText>SEQ fig \* Arabic</w:instrText>
      </w:r>
      <w:r w:rsidR="00363B13">
        <w:rPr>
          <w:b/>
        </w:rPr>
        <w:fldChar w:fldCharType="separate"/>
      </w:r>
      <w:r w:rsidR="00363B13">
        <w:rPr>
          <w:b/>
          <w:noProof/>
        </w:rPr>
        <w:t>1</w:t>
      </w:r>
      <w:r>
        <w:rPr>
          <w:b/>
        </w:rPr>
        <w:fldChar w:fldCharType="end"/>
      </w:r>
      <w:bookmarkEnd w:id="32"/>
      <w:r>
        <w:rPr>
          <w:b/>
        </w:rPr>
        <w:t xml:space="preserve">. </w:t>
      </w:r>
      <w:r>
        <w:t>gross national product</w:t>
      </w:r>
    </w:p>
    <w:p w:rsidR="007815F8" w:rsidRDefault="00A46FA5">
      <w:r>
        <w:br w:type="page"/>
      </w:r>
    </w:p>
    <w:p w:rsidR="007815F8" w:rsidRDefault="00A46FA5">
      <w:pPr>
        <w:jc w:val="center"/>
      </w:pPr>
      <w:r>
        <w:rPr>
          <w:noProof/>
          <w:lang w:eastAsia="zh-CN"/>
        </w:rPr>
        <w:lastRenderedPageBreak/>
        <w:drawing>
          <wp:inline distT="0" distB="0" distL="0" distR="0">
            <wp:extent cx="45720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63500" cy="50800"/>
                    </a:xfrm>
                    <a:prstGeom prst="rect">
                      <a:avLst/>
                    </a:prstGeom>
                    <a:noFill/>
                  </pic:spPr>
                </pic:pic>
              </a:graphicData>
            </a:graphic>
          </wp:inline>
        </w:drawing>
      </w:r>
    </w:p>
    <w:p w:rsidR="007815F8" w:rsidRDefault="00A46FA5">
      <w:pPr>
        <w:pStyle w:val="ImageCaption"/>
      </w:pPr>
      <w:r>
        <w:rPr>
          <w:b/>
        </w:rPr>
        <w:t xml:space="preserve">Figure </w:t>
      </w:r>
      <w:bookmarkStart w:id="33" w:name="unnamed-chunk-6"/>
      <w:r>
        <w:rPr>
          <w:b/>
        </w:rPr>
        <w:fldChar w:fldCharType="begin"/>
      </w:r>
      <w:r>
        <w:rPr>
          <w:b/>
        </w:rPr>
        <w:instrText>SEQ fig \* Arabic</w:instrText>
      </w:r>
      <w:r w:rsidR="00363B13">
        <w:rPr>
          <w:b/>
        </w:rPr>
        <w:fldChar w:fldCharType="separate"/>
      </w:r>
      <w:r w:rsidR="00363B13">
        <w:rPr>
          <w:b/>
          <w:noProof/>
        </w:rPr>
        <w:t>2</w:t>
      </w:r>
      <w:r>
        <w:rPr>
          <w:b/>
        </w:rPr>
        <w:fldChar w:fldCharType="end"/>
      </w:r>
      <w:bookmarkEnd w:id="33"/>
      <w:r>
        <w:rPr>
          <w:b/>
        </w:rPr>
        <w:t xml:space="preserve">. </w:t>
      </w:r>
      <w:r>
        <w:t>Structure Equation</w:t>
      </w:r>
    </w:p>
    <w:p w:rsidR="007815F8" w:rsidRDefault="00A46FA5">
      <w:r>
        <w:br w:type="page"/>
      </w:r>
    </w:p>
    <w:p w:rsidR="007815F8" w:rsidRDefault="00A46FA5">
      <w:pPr>
        <w:pStyle w:val="TableCaption"/>
      </w:pPr>
      <w:r>
        <w:rPr>
          <w:b/>
        </w:rPr>
        <w:lastRenderedPageBreak/>
        <w:t xml:space="preserve">Table  </w:t>
      </w:r>
      <w:bookmarkStart w:id="34" w:name="mytab"/>
      <w:r>
        <w:rPr>
          <w:b/>
        </w:rPr>
        <w:fldChar w:fldCharType="begin"/>
      </w:r>
      <w:r>
        <w:rPr>
          <w:b/>
        </w:rPr>
        <w:instrText>SEQ tab \* Arabic</w:instrText>
      </w:r>
      <w:r w:rsidR="00363B13">
        <w:rPr>
          <w:b/>
        </w:rPr>
        <w:fldChar w:fldCharType="separate"/>
      </w:r>
      <w:r w:rsidR="00363B13">
        <w:rPr>
          <w:b/>
          <w:noProof/>
        </w:rPr>
        <w:t>1</w:t>
      </w:r>
      <w:r>
        <w:rPr>
          <w:b/>
        </w:rPr>
        <w:fldChar w:fldCharType="end"/>
      </w:r>
      <w:bookmarkEnd w:id="34"/>
      <w:r>
        <w:rPr>
          <w:b/>
        </w:rPr>
        <w:t xml:space="preserve"> </w:t>
      </w:r>
    </w:p>
    <w:tbl>
      <w:tblPr>
        <w:tblW w:w="0" w:type="pct"/>
        <w:jc w:val="center"/>
        <w:tblLook w:val="0420" w:firstRow="1" w:lastRow="0" w:firstColumn="0" w:lastColumn="0" w:noHBand="0" w:noVBand="1"/>
      </w:tblPr>
      <w:tblGrid>
        <w:gridCol w:w="1598"/>
        <w:gridCol w:w="950"/>
        <w:gridCol w:w="5804"/>
      </w:tblGrid>
      <w:tr w:rsidR="007815F8">
        <w:trPr>
          <w:cantSplit/>
          <w:tblHeader/>
          <w:jc w:val="center"/>
        </w:trPr>
        <w:tc>
          <w:tcPr>
            <w:tcW w:w="0" w:type="auto"/>
            <w:gridSpan w:val="3"/>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Varable definition</w:t>
            </w:r>
          </w:p>
        </w:tc>
      </w:tr>
      <w:tr w:rsidR="007815F8">
        <w:trPr>
          <w:cantSplit/>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Name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Symbol</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Definition</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Trading cost</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Illiqudity</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average over month t of absolute daily equity returns divided by dollar volume for firm i</w:t>
            </w:r>
            <w:r>
              <w:rPr>
                <w:rFonts w:ascii="Time New Roma" w:eastAsia="Time New Roma" w:hAnsi="Time New Roma" w:cs="Time New Roma"/>
                <w:color w:val="000000"/>
                <w:sz w:val="18"/>
                <w:szCs w:val="18"/>
              </w:rPr>
              <w:t>（</w:t>
            </w:r>
            <w:r>
              <w:rPr>
                <w:rFonts w:ascii="Time New Roma" w:eastAsia="Time New Roma" w:hAnsi="Time New Roma" w:cs="Time New Roma"/>
                <w:color w:val="000000"/>
                <w:sz w:val="18"/>
                <w:szCs w:val="18"/>
              </w:rPr>
              <w:t>Amihud,2006</w:t>
            </w:r>
            <w:r>
              <w:rPr>
                <w:rFonts w:ascii="Time New Roma" w:eastAsia="Time New Roma" w:hAnsi="Time New Roma" w:cs="Time New Roma"/>
                <w:color w:val="000000"/>
                <w:sz w:val="18"/>
                <w:szCs w:val="18"/>
              </w:rPr>
              <w: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Lending supply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Shortratio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ratio of margin balance to market value of equity.</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analyst coverage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Anlysiscover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ratio of analysts following firm i to all analysts in month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Firm size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Size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natural logarithm of firm i’s market value of equity in month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Book to market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BM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book-to-market ratio of firm i at the end of month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Price to earnings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Turnover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price to earnings ratio of firm i at the end of month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Volatility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Volatility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standard deviation of firm i’s daily returns over month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Return on equity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ROE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ratio of net profit to book value of equity at the end of quarter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Institutional ownership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Instituhold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ratio of total debt to total assets</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Moment</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Mon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cumulative returns in past 12 month.</w:t>
            </w:r>
          </w:p>
        </w:tc>
      </w:tr>
    </w:tbl>
    <w:p w:rsidR="007815F8" w:rsidRDefault="00A46FA5">
      <w:r>
        <w:br w:type="page"/>
      </w:r>
    </w:p>
    <w:p w:rsidR="007815F8" w:rsidRDefault="00A46FA5">
      <w:pPr>
        <w:pStyle w:val="TableCaption"/>
      </w:pPr>
      <w:r>
        <w:rPr>
          <w:b/>
        </w:rPr>
        <w:lastRenderedPageBreak/>
        <w:t xml:space="preserve">Table  </w:t>
      </w:r>
      <w:bookmarkStart w:id="35" w:name="unnamed-chunk-8"/>
      <w:r>
        <w:rPr>
          <w:b/>
        </w:rPr>
        <w:fldChar w:fldCharType="begin"/>
      </w:r>
      <w:r>
        <w:rPr>
          <w:b/>
        </w:rPr>
        <w:instrText>SEQ tab \* Arabic</w:instrText>
      </w:r>
      <w:r w:rsidR="00363B13">
        <w:rPr>
          <w:b/>
        </w:rPr>
        <w:fldChar w:fldCharType="separate"/>
      </w:r>
      <w:r w:rsidR="00363B13">
        <w:rPr>
          <w:b/>
          <w:noProof/>
        </w:rPr>
        <w:t>2</w:t>
      </w:r>
      <w:r>
        <w:rPr>
          <w:b/>
        </w:rPr>
        <w:fldChar w:fldCharType="end"/>
      </w:r>
      <w:bookmarkEnd w:id="35"/>
      <w:r>
        <w:rPr>
          <w:b/>
        </w:rPr>
        <w:t xml:space="preserve"> </w:t>
      </w:r>
    </w:p>
    <w:tbl>
      <w:tblPr>
        <w:tblW w:w="0" w:type="pct"/>
        <w:jc w:val="center"/>
        <w:tblLook w:val="0420" w:firstRow="1" w:lastRow="0" w:firstColumn="0" w:lastColumn="0" w:noHBand="0" w:noVBand="1"/>
      </w:tblPr>
      <w:tblGrid>
        <w:gridCol w:w="1592"/>
        <w:gridCol w:w="965"/>
        <w:gridCol w:w="965"/>
        <w:gridCol w:w="966"/>
        <w:gridCol w:w="966"/>
        <w:gridCol w:w="966"/>
        <w:gridCol w:w="966"/>
        <w:gridCol w:w="966"/>
      </w:tblGrid>
      <w:tr w:rsidR="007815F8">
        <w:trPr>
          <w:cantSplit/>
          <w:tblHeader/>
          <w:jc w:val="center"/>
        </w:trPr>
        <w:tc>
          <w:tcPr>
            <w:tcW w:w="0" w:type="auto"/>
            <w:gridSpan w:val="8"/>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Sentiment impact on price efficiency</w:t>
            </w:r>
            <w:r>
              <w:rPr>
                <w:rFonts w:ascii="Time New Roma" w:eastAsia="Time New Roma" w:hAnsi="Time New Roma" w:cs="Time New Roma"/>
                <w:color w:val="000000"/>
                <w:sz w:val="18"/>
                <w:szCs w:val="18"/>
              </w:rPr>
              <w:br/>
              <w:t>This table reports average cross-sectional correlations for the standard and size-adapted liquidity measures with average trade size and various bond characteristics. We calculate the logarithm of a bond’s monthly avera</w:t>
            </w:r>
            <w:r>
              <w:rPr>
                <w:rFonts w:ascii="Time New Roma" w:eastAsia="Time New Roma" w:hAnsi="Time New Roma" w:cs="Time New Roma"/>
                <w:color w:val="000000"/>
                <w:sz w:val="18"/>
                <w:szCs w:val="18"/>
              </w:rPr>
              <w:t>ge trade size from TRACE as well as its age and duration.The credit rating is measured as the average across numerical ratings from S&amp;P.</w:t>
            </w:r>
          </w:p>
        </w:tc>
      </w:tr>
      <w:tr w:rsidR="007815F8">
        <w:trPr>
          <w:cantSplit/>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pPr>
          </w:p>
        </w:tc>
        <w:tc>
          <w:tcPr>
            <w:tcW w:w="0" w:type="auto"/>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diffs</w:t>
            </w:r>
          </w:p>
        </w:tc>
      </w:tr>
      <w:tr w:rsidR="007815F8">
        <w:trPr>
          <w:cantSplit/>
          <w:tblHeade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 xml:space="preserve">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(7)</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MCISI</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(-3.713)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(-3.639)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(-3.370)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RiskPremiu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(0.860)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(1.251)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SMB1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(-5.618)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(-1.582)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(-0.503)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(-0.477)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HML1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RMW1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(-0.145)</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CMA1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(-1.288)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mon52tl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Constant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(-11.067)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(-11.013)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(-11.151)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(-11.487)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(-11.419)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(-11.406)</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Observations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r>
      <w:tr w:rsidR="007815F8">
        <w:trPr>
          <w:cantSplit/>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Note:  t-statistics are given in parentheses. ***, ** and * represent statistical significance at the 1%, 5% and 10% level, respectively.</w:t>
            </w:r>
          </w:p>
        </w:tc>
      </w:tr>
    </w:tbl>
    <w:p w:rsidR="007815F8" w:rsidRDefault="00A46FA5">
      <w:r>
        <w:br w:type="page"/>
      </w:r>
    </w:p>
    <w:p w:rsidR="007815F8" w:rsidRDefault="00A46FA5">
      <w:pPr>
        <w:pStyle w:val="TableCaption"/>
      </w:pPr>
      <w:r>
        <w:rPr>
          <w:b/>
        </w:rPr>
        <w:lastRenderedPageBreak/>
        <w:t xml:space="preserve">Table  </w:t>
      </w:r>
      <w:bookmarkStart w:id="36" w:name="unnamed-chunk-9"/>
      <w:r>
        <w:rPr>
          <w:b/>
        </w:rPr>
        <w:fldChar w:fldCharType="begin"/>
      </w:r>
      <w:r>
        <w:rPr>
          <w:b/>
        </w:rPr>
        <w:instrText>SEQ tab \* Arabic</w:instrText>
      </w:r>
      <w:r w:rsidR="00363B13">
        <w:rPr>
          <w:b/>
        </w:rPr>
        <w:fldChar w:fldCharType="separate"/>
      </w:r>
      <w:r w:rsidR="00363B13">
        <w:rPr>
          <w:b/>
          <w:noProof/>
        </w:rPr>
        <w:t>3</w:t>
      </w:r>
      <w:r>
        <w:rPr>
          <w:b/>
        </w:rPr>
        <w:fldChar w:fldCharType="end"/>
      </w:r>
      <w:bookmarkEnd w:id="36"/>
      <w:r>
        <w:rPr>
          <w:b/>
        </w:rPr>
        <w:t xml:space="preserve"> </w:t>
      </w:r>
    </w:p>
    <w:tbl>
      <w:tblPr>
        <w:tblW w:w="0" w:type="pct"/>
        <w:jc w:val="center"/>
        <w:tblLook w:val="0420" w:firstRow="1" w:lastRow="0" w:firstColumn="0" w:lastColumn="0" w:noHBand="0" w:noVBand="1"/>
      </w:tblPr>
      <w:tblGrid>
        <w:gridCol w:w="1596"/>
        <w:gridCol w:w="966"/>
        <w:gridCol w:w="965"/>
        <w:gridCol w:w="965"/>
        <w:gridCol w:w="965"/>
        <w:gridCol w:w="965"/>
        <w:gridCol w:w="965"/>
        <w:gridCol w:w="965"/>
      </w:tblGrid>
      <w:tr w:rsidR="007815F8">
        <w:trPr>
          <w:cantSplit/>
          <w:tblHeader/>
          <w:jc w:val="center"/>
        </w:trPr>
        <w:tc>
          <w:tcPr>
            <w:tcW w:w="0" w:type="auto"/>
            <w:gridSpan w:val="8"/>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Sentiment impact on price efficiency</w:t>
            </w:r>
          </w:p>
        </w:tc>
      </w:tr>
      <w:tr w:rsidR="007815F8">
        <w:trPr>
          <w:cantSplit/>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pPr>
          </w:p>
        </w:tc>
        <w:tc>
          <w:tcPr>
            <w:tcW w:w="0" w:type="auto"/>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diffs</w:t>
            </w:r>
          </w:p>
        </w:tc>
      </w:tr>
      <w:tr w:rsidR="007815F8">
        <w:trPr>
          <w:cantSplit/>
          <w:tblHeade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 xml:space="preserve">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(7)</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MCISI</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(-3.713)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(-3.639)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(-3.370)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RiskPremiu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(0.860)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(1.251)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SMB1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(-5.618)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(-1.582)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(-0.503)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(-0.477)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HML1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RMW1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(-0.145)</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CMA1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(-1.288)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mon52tl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Constant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(-11.067)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(-11.013)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(-11.151)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(-11.487)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(-11.419)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(-11.406)</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Observations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r>
      <w:tr w:rsidR="007815F8">
        <w:trPr>
          <w:cantSplit/>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Note: This table reports average cross-sectional correlations for the standard and size-adapted liquidity measures with average trade size and various bond characteristics. We calculate the logarithm of a bond’s monthly average trade size from TRACE as wel</w:t>
            </w:r>
            <w:r>
              <w:rPr>
                <w:rFonts w:ascii="Time New Roma" w:eastAsia="Time New Roma" w:hAnsi="Time New Roma" w:cs="Time New Roma"/>
                <w:color w:val="000000"/>
                <w:sz w:val="18"/>
                <w:szCs w:val="18"/>
              </w:rPr>
              <w:t>l as its age and duration.The credit rating is measured as the average across numerical ratings from S&amp;P. t-statistics are given in parentheses. ***, ** and * represent statistical significance at the 1%, 5% and 10% level, respectively.</w:t>
            </w:r>
          </w:p>
        </w:tc>
      </w:tr>
    </w:tbl>
    <w:p w:rsidR="007815F8" w:rsidRDefault="00A46FA5">
      <w:r>
        <w:br w:type="page"/>
      </w:r>
    </w:p>
    <w:p w:rsidR="007815F8" w:rsidRDefault="00A46FA5">
      <w:pPr>
        <w:pStyle w:val="TableCaption"/>
      </w:pPr>
      <w:r>
        <w:rPr>
          <w:b/>
        </w:rPr>
        <w:lastRenderedPageBreak/>
        <w:t xml:space="preserve">Table  </w:t>
      </w:r>
      <w:bookmarkStart w:id="37" w:name="unnamed-chunk-10"/>
      <w:r>
        <w:rPr>
          <w:b/>
        </w:rPr>
        <w:fldChar w:fldCharType="begin"/>
      </w:r>
      <w:r>
        <w:rPr>
          <w:b/>
        </w:rPr>
        <w:instrText>SEQ tab \* Arabic</w:instrText>
      </w:r>
      <w:r w:rsidR="00363B13">
        <w:rPr>
          <w:b/>
        </w:rPr>
        <w:fldChar w:fldCharType="separate"/>
      </w:r>
      <w:r w:rsidR="00363B13">
        <w:rPr>
          <w:b/>
          <w:noProof/>
        </w:rPr>
        <w:t>4</w:t>
      </w:r>
      <w:r>
        <w:rPr>
          <w:b/>
        </w:rPr>
        <w:fldChar w:fldCharType="end"/>
      </w:r>
      <w:bookmarkEnd w:id="37"/>
      <w:r>
        <w:rPr>
          <w:b/>
        </w:rPr>
        <w:t xml:space="preserve"> </w:t>
      </w:r>
    </w:p>
    <w:tbl>
      <w:tblPr>
        <w:tblW w:w="0" w:type="pct"/>
        <w:jc w:val="center"/>
        <w:tblLook w:val="0420" w:firstRow="1" w:lastRow="0" w:firstColumn="0" w:lastColumn="0" w:noHBand="0" w:noVBand="1"/>
      </w:tblPr>
      <w:tblGrid>
        <w:gridCol w:w="1596"/>
        <w:gridCol w:w="966"/>
        <w:gridCol w:w="965"/>
        <w:gridCol w:w="965"/>
        <w:gridCol w:w="965"/>
        <w:gridCol w:w="965"/>
        <w:gridCol w:w="965"/>
        <w:gridCol w:w="965"/>
      </w:tblGrid>
      <w:tr w:rsidR="007815F8">
        <w:trPr>
          <w:cantSplit/>
          <w:tblHeader/>
          <w:jc w:val="center"/>
        </w:trPr>
        <w:tc>
          <w:tcPr>
            <w:tcW w:w="0" w:type="auto"/>
            <w:gridSpan w:val="8"/>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Sentiment impact on price efficiency</w:t>
            </w:r>
          </w:p>
        </w:tc>
      </w:tr>
      <w:tr w:rsidR="007815F8">
        <w:trPr>
          <w:cantSplit/>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pPr>
          </w:p>
        </w:tc>
        <w:tc>
          <w:tcPr>
            <w:tcW w:w="0" w:type="auto"/>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diffs</w:t>
            </w:r>
          </w:p>
        </w:tc>
      </w:tr>
      <w:tr w:rsidR="007815F8">
        <w:trPr>
          <w:cantSplit/>
          <w:tblHeade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 xml:space="preserve">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(7)</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MCISI</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(-3.713)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(-3.639)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(-3.370)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RiskPremiu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(0.860)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(1.251)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SMB1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(-5.618)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(-1.582)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(-0.503)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(-0.477)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HML1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RMW1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(-0.145)</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CMA1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(-1.288)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mon52tl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Constant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(-11.067)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(-11.013)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(-11.151)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(-11.487)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(-11.419)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(-11.406)</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Observations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r>
      <w:tr w:rsidR="007815F8">
        <w:trPr>
          <w:cantSplit/>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815F8" w:rsidRDefault="00A46FA5">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Note: This table reports average cross-sectional correlations for the standard and size-adapted liquidity measures with average trade size and various bond characteristics. We calculate the logarithm of a bond’s monthly average trade size from TRACE as wel</w:t>
            </w:r>
            <w:r>
              <w:rPr>
                <w:rFonts w:ascii="Time New Roma" w:eastAsia="Time New Roma" w:hAnsi="Time New Roma" w:cs="Time New Roma"/>
                <w:color w:val="000000"/>
                <w:sz w:val="18"/>
                <w:szCs w:val="18"/>
              </w:rPr>
              <w:t>l as its age and duration.The credit rating is measured as the average across numerical ratings from S&amp;P. t-statistics are given in parentheses. ***, ** and * represent statistical significance at the 1%, 5% and 10% level, respectively.</w:t>
            </w:r>
          </w:p>
        </w:tc>
      </w:tr>
      <w:bookmarkEnd w:id="18"/>
    </w:tbl>
    <w:p w:rsidR="00A46FA5" w:rsidRDefault="00A46FA5"/>
    <w:sectPr w:rsidR="00A46FA5">
      <w:footerReference w:type="even" r:id="rId31"/>
      <w:footerReference w:type="default" r:id="rId32"/>
      <w:type w:val="continuous"/>
      <w:pgSz w:w="11952" w:h="1684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FA5" w:rsidRDefault="00A46FA5">
      <w:pPr>
        <w:spacing w:after="0" w:line="240" w:lineRule="auto"/>
      </w:pPr>
      <w:r>
        <w:separator/>
      </w:r>
    </w:p>
  </w:endnote>
  <w:endnote w:type="continuationSeparator" w:id="0">
    <w:p w:rsidR="00A46FA5" w:rsidRDefault="00A46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 New Ro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636789471"/>
      <w:docPartObj>
        <w:docPartGallery w:val="Page Numbers (Bottom of Page)"/>
        <w:docPartUnique/>
      </w:docPartObj>
    </w:sdtPr>
    <w:sdtEndPr>
      <w:rPr>
        <w:rStyle w:val="af"/>
      </w:rPr>
    </w:sdtEndPr>
    <w:sdtContent>
      <w:p w:rsidR="00820D3E" w:rsidRDefault="00A46FA5"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46FA5" w:rsidP="00D034D7">
    <w:pPr>
      <w:pStyle w:val="ae"/>
      <w:ind w:right="36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690490"/>
      <w:docPartObj>
        <w:docPartGallery w:val="Page Numbers (Bottom of Page)"/>
        <w:docPartUnique/>
      </w:docPartObj>
    </w:sdtPr>
    <w:sdtEndPr>
      <w:rPr>
        <w:rStyle w:val="af"/>
        <w:rFonts w:ascii="Times New Roman" w:hAnsi="Times New Roman"/>
        <w:sz w:val="18"/>
      </w:rPr>
    </w:sdtEndPr>
    <w:sdtContent>
      <w:p w:rsidR="001F315D" w:rsidRPr="001F315D" w:rsidRDefault="00A46FA5">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363B13" w:rsidRPr="00363B13">
          <w:rPr>
            <w:rStyle w:val="af"/>
            <w:noProof/>
            <w:lang w:val="zh-CN" w:eastAsia="zh-CN"/>
          </w:rPr>
          <w:t>9</w:t>
        </w:r>
        <w:r w:rsidRPr="001F315D">
          <w:rPr>
            <w:rStyle w:val="af"/>
          </w:rPr>
          <w:fldChar w:fldCharType="end"/>
        </w:r>
      </w:p>
    </w:sdtContent>
  </w:sdt>
  <w:p w:rsidR="001F315D" w:rsidRDefault="00A46FA5">
    <w:pPr>
      <w:pStyle w:val="a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511415727"/>
      <w:docPartObj>
        <w:docPartGallery w:val="Page Numbers (Bottom of Page)"/>
        <w:docPartUnique/>
      </w:docPartObj>
    </w:sdtPr>
    <w:sdtEndPr>
      <w:rPr>
        <w:rStyle w:val="af"/>
      </w:rPr>
    </w:sdtEndPr>
    <w:sdtContent>
      <w:p w:rsidR="00820D3E" w:rsidRDefault="00A46FA5"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46FA5" w:rsidP="00D034D7">
    <w:pPr>
      <w:pStyle w:val="ae"/>
      <w:ind w:right="360"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381659"/>
      <w:docPartObj>
        <w:docPartGallery w:val="Page Numbers (Bottom of Page)"/>
        <w:docPartUnique/>
      </w:docPartObj>
    </w:sdtPr>
    <w:sdtEndPr>
      <w:rPr>
        <w:rStyle w:val="af"/>
        <w:rFonts w:ascii="Times New Roman" w:hAnsi="Times New Roman"/>
        <w:sz w:val="18"/>
      </w:rPr>
    </w:sdtEndPr>
    <w:sdtContent>
      <w:p w:rsidR="001F315D" w:rsidRPr="001F315D" w:rsidRDefault="00A46FA5">
        <w:pPr>
          <w:pStyle w:val="ae"/>
          <w:jc w:val="center"/>
          <w:rPr>
            <w:rStyle w:val="af"/>
          </w:rPr>
        </w:pPr>
        <w:r w:rsidRPr="001F315D">
          <w:rPr>
            <w:rStyle w:val="af"/>
          </w:rPr>
          <w:fldChar w:fldCharType="begin"/>
        </w:r>
        <w:r w:rsidRPr="001F315D">
          <w:rPr>
            <w:rStyle w:val="af"/>
          </w:rPr>
          <w:instrText xml:space="preserve">PAGE   \* </w:instrText>
        </w:r>
        <w:r w:rsidRPr="001F315D">
          <w:rPr>
            <w:rStyle w:val="af"/>
          </w:rPr>
          <w:instrText>MERGEFORMAT</w:instrText>
        </w:r>
        <w:r w:rsidRPr="001F315D">
          <w:rPr>
            <w:rStyle w:val="af"/>
          </w:rPr>
          <w:fldChar w:fldCharType="separate"/>
        </w:r>
        <w:r w:rsidR="00363B13" w:rsidRPr="00363B13">
          <w:rPr>
            <w:rStyle w:val="af"/>
            <w:noProof/>
            <w:lang w:val="zh-CN" w:eastAsia="zh-CN"/>
          </w:rPr>
          <w:t>15</w:t>
        </w:r>
        <w:r w:rsidRPr="001F315D">
          <w:rPr>
            <w:rStyle w:val="af"/>
          </w:rPr>
          <w:fldChar w:fldCharType="end"/>
        </w:r>
      </w:p>
    </w:sdtContent>
  </w:sdt>
  <w:p w:rsidR="001F315D" w:rsidRDefault="00A46FA5">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631198"/>
      <w:docPartObj>
        <w:docPartGallery w:val="Page Numbers (Bottom of Page)"/>
        <w:docPartUnique/>
      </w:docPartObj>
    </w:sdtPr>
    <w:sdtEndPr>
      <w:rPr>
        <w:rStyle w:val="af"/>
        <w:rFonts w:ascii="Times New Roman" w:hAnsi="Times New Roman"/>
        <w:sz w:val="18"/>
      </w:rPr>
    </w:sdtEndPr>
    <w:sdtContent>
      <w:p w:rsidR="001F315D" w:rsidRPr="001F315D" w:rsidRDefault="00A46FA5">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363B13" w:rsidRPr="00363B13">
          <w:rPr>
            <w:rStyle w:val="af"/>
            <w:noProof/>
            <w:lang w:val="zh-CN" w:eastAsia="zh-CN"/>
          </w:rPr>
          <w:t>1</w:t>
        </w:r>
        <w:r w:rsidRPr="001F315D">
          <w:rPr>
            <w:rStyle w:val="af"/>
          </w:rPr>
          <w:fldChar w:fldCharType="end"/>
        </w:r>
      </w:p>
    </w:sdtContent>
  </w:sdt>
  <w:p w:rsidR="001F315D" w:rsidRDefault="00A46FA5">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770819598"/>
      <w:docPartObj>
        <w:docPartGallery w:val="Page Numbers (Bottom of Page)"/>
        <w:docPartUnique/>
      </w:docPartObj>
    </w:sdtPr>
    <w:sdtEndPr>
      <w:rPr>
        <w:rStyle w:val="af"/>
      </w:rPr>
    </w:sdtEndPr>
    <w:sdtContent>
      <w:p w:rsidR="00820D3E" w:rsidRDefault="00A46FA5"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46FA5" w:rsidP="00D034D7">
    <w:pPr>
      <w:pStyle w:val="ae"/>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55803"/>
      <w:docPartObj>
        <w:docPartGallery w:val="Page Numbers (Bottom of Page)"/>
        <w:docPartUnique/>
      </w:docPartObj>
    </w:sdtPr>
    <w:sdtEndPr>
      <w:rPr>
        <w:rStyle w:val="af"/>
        <w:rFonts w:ascii="Times New Roman" w:hAnsi="Times New Roman"/>
        <w:sz w:val="18"/>
      </w:rPr>
    </w:sdtEndPr>
    <w:sdtContent>
      <w:p w:rsidR="001F315D" w:rsidRPr="001F315D" w:rsidRDefault="00A46FA5">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363B13" w:rsidRPr="00363B13">
          <w:rPr>
            <w:rStyle w:val="af"/>
            <w:noProof/>
            <w:lang w:val="zh-CN" w:eastAsia="zh-CN"/>
          </w:rPr>
          <w:t>5</w:t>
        </w:r>
        <w:r w:rsidRPr="001F315D">
          <w:rPr>
            <w:rStyle w:val="af"/>
          </w:rPr>
          <w:fldChar w:fldCharType="end"/>
        </w:r>
      </w:p>
    </w:sdtContent>
  </w:sdt>
  <w:p w:rsidR="001F315D" w:rsidRDefault="00A46FA5">
    <w:pPr>
      <w:pStyle w:val="a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632549939"/>
      <w:docPartObj>
        <w:docPartGallery w:val="Page Numbers (Bottom of Page)"/>
        <w:docPartUnique/>
      </w:docPartObj>
    </w:sdtPr>
    <w:sdtEndPr>
      <w:rPr>
        <w:rStyle w:val="af"/>
      </w:rPr>
    </w:sdtEndPr>
    <w:sdtContent>
      <w:p w:rsidR="00820D3E" w:rsidRDefault="00A46FA5"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46FA5" w:rsidP="00D034D7">
    <w:pPr>
      <w:pStyle w:val="ae"/>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832887"/>
      <w:docPartObj>
        <w:docPartGallery w:val="Page Numbers (Bottom of Page)"/>
        <w:docPartUnique/>
      </w:docPartObj>
    </w:sdtPr>
    <w:sdtEndPr>
      <w:rPr>
        <w:rStyle w:val="af"/>
        <w:rFonts w:ascii="Times New Roman" w:hAnsi="Times New Roman"/>
        <w:sz w:val="18"/>
      </w:rPr>
    </w:sdtEndPr>
    <w:sdtContent>
      <w:p w:rsidR="001F315D" w:rsidRPr="001F315D" w:rsidRDefault="00A46FA5">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363B13" w:rsidRPr="00363B13">
          <w:rPr>
            <w:rStyle w:val="af"/>
            <w:noProof/>
            <w:lang w:val="zh-CN" w:eastAsia="zh-CN"/>
          </w:rPr>
          <w:t>7</w:t>
        </w:r>
        <w:r w:rsidRPr="001F315D">
          <w:rPr>
            <w:rStyle w:val="af"/>
          </w:rPr>
          <w:fldChar w:fldCharType="end"/>
        </w:r>
      </w:p>
    </w:sdtContent>
  </w:sdt>
  <w:p w:rsidR="001F315D" w:rsidRDefault="00A46FA5">
    <w:pPr>
      <w:pStyle w:val="a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812601471"/>
      <w:docPartObj>
        <w:docPartGallery w:val="Page Numbers (Bottom of Page)"/>
        <w:docPartUnique/>
      </w:docPartObj>
    </w:sdtPr>
    <w:sdtEndPr>
      <w:rPr>
        <w:rStyle w:val="af"/>
      </w:rPr>
    </w:sdtEndPr>
    <w:sdtContent>
      <w:p w:rsidR="00820D3E" w:rsidRDefault="00A46FA5"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46FA5" w:rsidP="00D034D7">
    <w:pPr>
      <w:pStyle w:val="ae"/>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934353"/>
      <w:docPartObj>
        <w:docPartGallery w:val="Page Numbers (Bottom of Page)"/>
        <w:docPartUnique/>
      </w:docPartObj>
    </w:sdtPr>
    <w:sdtEndPr>
      <w:rPr>
        <w:rStyle w:val="af"/>
        <w:rFonts w:ascii="Times New Roman" w:hAnsi="Times New Roman"/>
        <w:sz w:val="18"/>
      </w:rPr>
    </w:sdtEndPr>
    <w:sdtContent>
      <w:p w:rsidR="001F315D" w:rsidRPr="001F315D" w:rsidRDefault="00A46FA5">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363B13" w:rsidRPr="00363B13">
          <w:rPr>
            <w:rStyle w:val="af"/>
            <w:noProof/>
            <w:lang w:val="zh-CN" w:eastAsia="zh-CN"/>
          </w:rPr>
          <w:t>8</w:t>
        </w:r>
        <w:r w:rsidRPr="001F315D">
          <w:rPr>
            <w:rStyle w:val="af"/>
          </w:rPr>
          <w:fldChar w:fldCharType="end"/>
        </w:r>
      </w:p>
    </w:sdtContent>
  </w:sdt>
  <w:p w:rsidR="001F315D" w:rsidRDefault="00A46FA5">
    <w:pPr>
      <w:pStyle w:val="a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461958555"/>
      <w:docPartObj>
        <w:docPartGallery w:val="Page Numbers (Bottom of Page)"/>
        <w:docPartUnique/>
      </w:docPartObj>
    </w:sdtPr>
    <w:sdtEndPr>
      <w:rPr>
        <w:rStyle w:val="af"/>
      </w:rPr>
    </w:sdtEndPr>
    <w:sdtContent>
      <w:p w:rsidR="00820D3E" w:rsidRDefault="00A46FA5"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46FA5" w:rsidP="00D034D7">
    <w:pPr>
      <w:pStyle w:val="ae"/>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FA5" w:rsidRDefault="00A46FA5">
      <w:r>
        <w:separator/>
      </w:r>
    </w:p>
  </w:footnote>
  <w:footnote w:type="continuationSeparator" w:id="0">
    <w:p w:rsidR="00A46FA5" w:rsidRDefault="00A46F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95C9F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4644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4CB9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D657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1A361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75ECB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BA7B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00F8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F6D0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764B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ADE9E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31"/>
    <w:multiLevelType w:val="multilevel"/>
    <w:tmpl w:val="CEE22D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2EA7356"/>
    <w:multiLevelType w:val="hybridMultilevel"/>
    <w:tmpl w:val="ED1E402C"/>
    <w:lvl w:ilvl="0" w:tplc="A98C0DC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821416"/>
    <w:multiLevelType w:val="hybridMultilevel"/>
    <w:tmpl w:val="7DF802F4"/>
    <w:lvl w:ilvl="0" w:tplc="F2704E76">
      <w:start w:val="1"/>
      <w:numFmt w:val="decimal"/>
      <w:lvlText w:val="[%1]"/>
      <w:lvlJc w:val="left"/>
      <w:pPr>
        <w:ind w:left="227" w:hanging="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766C81D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14" w:hanging="504"/>
      </w:pPr>
    </w:lvl>
    <w:lvl w:ilvl="3">
      <w:start w:val="1"/>
      <w:numFmt w:val="decimal"/>
      <w:pStyle w:val="4"/>
      <w:lvlText w:val="%1.%2.%3.%4."/>
      <w:lvlJc w:val="left"/>
      <w:pPr>
        <w:ind w:left="1728" w:hanging="648"/>
      </w:pPr>
    </w:lvl>
    <w:lvl w:ilvl="4">
      <w:start w:val="1"/>
      <w:numFmt w:val="decimal"/>
      <w:pStyle w:val="5"/>
      <w:lvlText w:val="%1.%2.%3.%4.%5."/>
      <w:lvlJc w:val="left"/>
      <w:pPr>
        <w:ind w:left="2232" w:hanging="792"/>
      </w:pPr>
    </w:lvl>
    <w:lvl w:ilvl="5">
      <w:start w:val="1"/>
      <w:numFmt w:val="decimal"/>
      <w:pStyle w:val="6"/>
      <w:lvlText w:val="%1.%2.%3.%4.%5.%6."/>
      <w:lvlJc w:val="left"/>
      <w:pPr>
        <w:ind w:left="2736" w:hanging="936"/>
      </w:pPr>
    </w:lvl>
    <w:lvl w:ilvl="6">
      <w:start w:val="1"/>
      <w:numFmt w:val="decimal"/>
      <w:pStyle w:val="7"/>
      <w:lvlText w:val="%1.%2.%3.%4.%5.%6.%7."/>
      <w:lvlJc w:val="left"/>
      <w:pPr>
        <w:ind w:left="3240" w:hanging="1080"/>
      </w:pPr>
    </w:lvl>
    <w:lvl w:ilvl="7">
      <w:start w:val="1"/>
      <w:numFmt w:val="decimal"/>
      <w:pStyle w:val="8"/>
      <w:lvlText w:val="%1.%2.%3.%4.%5.%6.%7.%8."/>
      <w:lvlJc w:val="left"/>
      <w:pPr>
        <w:ind w:left="3744" w:hanging="1224"/>
      </w:pPr>
    </w:lvl>
    <w:lvl w:ilvl="8">
      <w:start w:val="1"/>
      <w:numFmt w:val="decimal"/>
      <w:pStyle w:val="9"/>
      <w:lvlText w:val="%1.%2.%3.%4.%5.%6.%7.%8.%9."/>
      <w:lvlJc w:val="left"/>
      <w:pPr>
        <w:ind w:left="4320" w:hanging="1440"/>
      </w:p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6"/>
  </w:num>
  <w:num w:numId="17">
    <w:abstractNumId w:val="17"/>
  </w:num>
  <w:num w:numId="18">
    <w:abstractNumId w:val="28"/>
  </w:num>
  <w:num w:numId="19">
    <w:abstractNumId w:val="21"/>
  </w:num>
  <w:num w:numId="20">
    <w:abstractNumId w:val="27"/>
  </w:num>
  <w:num w:numId="21">
    <w:abstractNumId w:val="14"/>
  </w:num>
  <w:num w:numId="22">
    <w:abstractNumId w:val="18"/>
  </w:num>
  <w:num w:numId="23">
    <w:abstractNumId w:val="20"/>
  </w:num>
  <w:num w:numId="24">
    <w:abstractNumId w:val="13"/>
  </w:num>
  <w:num w:numId="25">
    <w:abstractNumId w:val="19"/>
  </w:num>
  <w:num w:numId="26">
    <w:abstractNumId w:val="10"/>
  </w:num>
  <w:num w:numId="27">
    <w:abstractNumId w:val="10"/>
  </w:num>
  <w:num w:numId="28">
    <w:abstractNumId w:val="23"/>
  </w:num>
  <w:num w:numId="29">
    <w:abstractNumId w:val="12"/>
  </w:num>
  <w:num w:numId="30">
    <w:abstractNumId w:val="10"/>
  </w:num>
  <w:num w:numId="31">
    <w:abstractNumId w:val="10"/>
  </w:num>
  <w:num w:numId="32">
    <w:abstractNumId w:val="10"/>
  </w:num>
  <w:num w:numId="33">
    <w:abstractNumId w:val="10"/>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F8"/>
    <w:rsid w:val="00363B13"/>
    <w:rsid w:val="007815F8"/>
    <w:rsid w:val="00A46FA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A48FD7-35F5-44B8-990C-927F6D15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63B13"/>
    <w:pPr>
      <w:spacing w:after="180" w:line="360" w:lineRule="auto"/>
      <w:jc w:val="both"/>
    </w:pPr>
    <w:rPr>
      <w:rFonts w:ascii="Times New Roman" w:eastAsia="宋体" w:hAnsi="Times New Roman"/>
      <w:sz w:val="21"/>
    </w:rPr>
  </w:style>
  <w:style w:type="paragraph" w:styleId="1">
    <w:name w:val="heading 1"/>
    <w:basedOn w:val="a0"/>
    <w:next w:val="a1"/>
    <w:uiPriority w:val="9"/>
    <w:qFormat/>
    <w:rsid w:val="005F402A"/>
    <w:pPr>
      <w:keepNext/>
      <w:keepLines/>
      <w:numPr>
        <w:numId w:val="20"/>
      </w:numPr>
      <w:spacing w:before="360" w:after="60"/>
      <w:ind w:left="357" w:hanging="357"/>
      <w:outlineLvl w:val="0"/>
    </w:pPr>
    <w:rPr>
      <w:rFonts w:eastAsia="Times New Roman" w:cstheme="majorBidi"/>
      <w:b/>
      <w:bCs/>
      <w:color w:val="000000" w:themeColor="text1"/>
      <w:sz w:val="28"/>
      <w:szCs w:val="32"/>
    </w:rPr>
  </w:style>
  <w:style w:type="paragraph" w:styleId="2">
    <w:name w:val="heading 2"/>
    <w:basedOn w:val="a0"/>
    <w:next w:val="a1"/>
    <w:uiPriority w:val="9"/>
    <w:unhideWhenUsed/>
    <w:qFormat/>
    <w:rsid w:val="00704AB7"/>
    <w:pPr>
      <w:keepNext/>
      <w:keepLines/>
      <w:numPr>
        <w:ilvl w:val="1"/>
        <w:numId w:val="20"/>
      </w:numPr>
      <w:spacing w:before="200" w:afterLines="100" w:after="100"/>
      <w:ind w:left="431" w:hanging="431"/>
      <w:outlineLvl w:val="1"/>
    </w:pPr>
    <w:rPr>
      <w:rFonts w:eastAsia="Times New Roman" w:cstheme="majorBidi"/>
      <w:b/>
      <w:bCs/>
      <w:color w:val="000000" w:themeColor="text1"/>
      <w:szCs w:val="32"/>
    </w:rPr>
  </w:style>
  <w:style w:type="paragraph" w:styleId="3">
    <w:name w:val="heading 3"/>
    <w:basedOn w:val="a0"/>
    <w:next w:val="a1"/>
    <w:uiPriority w:val="9"/>
    <w:unhideWhenUsed/>
    <w:qFormat/>
    <w:rsid w:val="00704AB7"/>
    <w:pPr>
      <w:keepNext/>
      <w:keepLines/>
      <w:numPr>
        <w:ilvl w:val="2"/>
        <w:numId w:val="20"/>
      </w:numPr>
      <w:spacing w:beforeLines="100" w:before="100" w:after="0"/>
      <w:ind w:leftChars="-50" w:left="-50" w:firstLine="198"/>
      <w:outlineLvl w:val="2"/>
    </w:pPr>
    <w:rPr>
      <w:rFonts w:eastAsia="Times New Roman" w:cstheme="majorBidi"/>
      <w:b/>
      <w:bCs/>
      <w:color w:val="000000" w:themeColor="text1"/>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rsid w:val="00363B13"/>
    <w:pPr>
      <w:spacing w:before="180"/>
      <w:ind w:firstLineChars="200" w:firstLine="200"/>
    </w:pPr>
    <w:rPr>
      <w:rFonts w:eastAsia="Times New Roman"/>
    </w:rPr>
  </w:style>
  <w:style w:type="paragraph" w:customStyle="1" w:styleId="FirstParagraph">
    <w:name w:val="First Paragraph"/>
    <w:basedOn w:val="a1"/>
    <w:next w:val="a1"/>
    <w:qFormat/>
    <w:rsid w:val="00704AB7"/>
    <w:pPr>
      <w:spacing w:before="0" w:after="0"/>
    </w:pPr>
  </w:style>
  <w:style w:type="paragraph" w:customStyle="1" w:styleId="Compact">
    <w:name w:val="Compact"/>
    <w:basedOn w:val="a1"/>
    <w:qFormat/>
    <w:pPr>
      <w:spacing w:before="36" w:after="36"/>
    </w:pPr>
  </w:style>
  <w:style w:type="paragraph" w:styleId="a5">
    <w:name w:val="Title"/>
    <w:basedOn w:val="a0"/>
    <w:next w:val="a1"/>
    <w:qFormat/>
    <w:rsid w:val="00F82ECC"/>
    <w:pPr>
      <w:keepNext/>
      <w:keepLines/>
      <w:spacing w:before="480" w:after="840"/>
      <w:jc w:val="center"/>
    </w:pPr>
    <w:rPr>
      <w:rFonts w:eastAsia="Times New Roman" w:cstheme="majorBidi"/>
      <w:b/>
      <w:bCs/>
      <w:color w:val="000000" w:themeColor="text1"/>
      <w:sz w:val="36"/>
      <w:szCs w:val="36"/>
    </w:rPr>
  </w:style>
  <w:style w:type="paragraph" w:styleId="a6">
    <w:name w:val="Subtitle"/>
    <w:basedOn w:val="a5"/>
    <w:next w:val="a1"/>
    <w:qFormat/>
    <w:rsid w:val="009137D8"/>
    <w:pPr>
      <w:spacing w:before="240"/>
    </w:pPr>
    <w:rPr>
      <w:sz w:val="30"/>
      <w:szCs w:val="30"/>
    </w:rPr>
  </w:style>
  <w:style w:type="paragraph" w:customStyle="1" w:styleId="Author">
    <w:name w:val="Author"/>
    <w:next w:val="a1"/>
    <w:qFormat/>
    <w:pPr>
      <w:keepNext/>
      <w:keepLines/>
      <w:jc w:val="center"/>
    </w:pPr>
  </w:style>
  <w:style w:type="paragraph" w:styleId="a7">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
    <w:name w:val="Bibliography"/>
    <w:basedOn w:val="a0"/>
    <w:qFormat/>
    <w:rsid w:val="003A4711"/>
    <w:pPr>
      <w:numPr>
        <w:numId w:val="29"/>
      </w:numPr>
      <w:spacing w:afterLines="50" w:after="50"/>
    </w:pPr>
    <w:rPr>
      <w:rFonts w:eastAsia="Times New Roman"/>
      <w:sz w:val="18"/>
    </w:rPr>
  </w:style>
  <w:style w:type="paragraph" w:styleId="a8">
    <w:name w:val="Block Text"/>
    <w:basedOn w:val="a1"/>
    <w:next w:val="a1"/>
    <w:uiPriority w:val="9"/>
    <w:unhideWhenUsed/>
    <w:qFormat/>
    <w:rsid w:val="00A25B89"/>
    <w:pPr>
      <w:spacing w:before="100" w:after="100"/>
    </w:pPr>
    <w:rPr>
      <w:rFonts w:cstheme="majorBidi"/>
      <w:bCs/>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D57AB"/>
    <w:pPr>
      <w:keepNext/>
    </w:pPr>
    <w:rPr>
      <w:rFonts w:eastAsia="Times New Roman"/>
      <w:i w:val="0"/>
    </w:rPr>
  </w:style>
  <w:style w:type="paragraph" w:customStyle="1" w:styleId="ImageCaption">
    <w:name w:val="Image Caption"/>
    <w:basedOn w:val="aa"/>
    <w:rsid w:val="009D57AB"/>
    <w:rPr>
      <w:rFonts w:eastAsia="Times New Roman"/>
      <w:i w:val="0"/>
    </w:r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题注 Char"/>
    <w:basedOn w:val="a2"/>
    <w:link w:val="aa"/>
  </w:style>
  <w:style w:type="character" w:customStyle="1" w:styleId="VerbatimChar">
    <w:name w:val="Verbatim Char"/>
    <w:basedOn w:val="Char0"/>
    <w:link w:val="SourceCode"/>
    <w:rsid w:val="005F1624"/>
    <w:rPr>
      <w:rFonts w:ascii="Times New Roman" w:eastAsia="Times New Roman" w:hAnsi="Times New Roman"/>
      <w:sz w:val="21"/>
      <w:shd w:val="clear" w:color="auto" w:fill="F8F8F8"/>
    </w:rPr>
  </w:style>
  <w:style w:type="character" w:styleId="ab">
    <w:name w:val="footnote reference"/>
    <w:basedOn w:val="Char0"/>
    <w:rPr>
      <w:vertAlign w:val="superscript"/>
    </w:rPr>
  </w:style>
  <w:style w:type="character" w:styleId="ac">
    <w:name w:val="Hyperlink"/>
    <w:basedOn w:val="Char0"/>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正文文本 Char"/>
    <w:basedOn w:val="a2"/>
    <w:link w:val="a1"/>
    <w:rsid w:val="00363B13"/>
    <w:rPr>
      <w:rFonts w:ascii="Times New Roman" w:eastAsia="Times New Roman" w:hAnsi="Times New Roman"/>
      <w:sz w:val="21"/>
    </w:rPr>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link w:val="Char1"/>
    <w:unhideWhenUsed/>
    <w:rsid w:val="00EE6D38"/>
    <w:pPr>
      <w:tabs>
        <w:tab w:val="center" w:pos="4536"/>
        <w:tab w:val="right" w:pos="9072"/>
      </w:tabs>
      <w:spacing w:after="0"/>
    </w:pPr>
  </w:style>
  <w:style w:type="character" w:customStyle="1" w:styleId="Char1">
    <w:name w:val="页脚 Char"/>
    <w:basedOn w:val="a2"/>
    <w:link w:val="ae"/>
    <w:rsid w:val="00EE6D38"/>
  </w:style>
  <w:style w:type="character" w:styleId="af">
    <w:name w:val="page number"/>
    <w:basedOn w:val="a2"/>
    <w:unhideWhenUsed/>
    <w:rsid w:val="001F315D"/>
    <w:rPr>
      <w:rFonts w:ascii="Times New Roman" w:hAnsi="Times New Roman"/>
      <w:sz w:val="18"/>
    </w:rPr>
  </w:style>
  <w:style w:type="paragraph" w:styleId="af0">
    <w:name w:val="header"/>
    <w:link w:val="Char2"/>
    <w:unhideWhenUsed/>
    <w:rsid w:val="00EE6D38"/>
    <w:pPr>
      <w:tabs>
        <w:tab w:val="center" w:pos="4536"/>
        <w:tab w:val="right" w:pos="9072"/>
      </w:tabs>
      <w:spacing w:after="0"/>
    </w:pPr>
  </w:style>
  <w:style w:type="character" w:customStyle="1" w:styleId="Char2">
    <w:name w:val="页眉 Char"/>
    <w:basedOn w:val="a2"/>
    <w:link w:val="af0"/>
    <w:rsid w:val="00EE6D38"/>
  </w:style>
  <w:style w:type="paragraph" w:customStyle="1" w:styleId="SourceCode">
    <w:name w:val="Source Code"/>
    <w:basedOn w:val="a0"/>
    <w:link w:val="VerbatimChar"/>
    <w:autoRedefine/>
    <w:qFormat/>
    <w:rsid w:val="005F1624"/>
    <w:pPr>
      <w:shd w:val="clear" w:color="auto" w:fill="F8F8F8"/>
      <w:wordWrap w:val="0"/>
      <w:spacing w:beforeLines="100" w:before="100" w:after="120"/>
      <w:jc w:val="center"/>
    </w:pPr>
    <w:rPr>
      <w:rFonts w:eastAsia="Times New Roman"/>
    </w:rPr>
  </w:style>
  <w:style w:type="character" w:customStyle="1" w:styleId="KeywordTok">
    <w:name w:val="KeywordTok"/>
    <w:basedOn w:val="VerbatimChar"/>
    <w:rPr>
      <w:rFonts w:ascii="Consolas" w:eastAsia="Times New Roman"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eastAsia="Times New Roman" w:hAnsi="Consolas"/>
      <w:color w:val="204A87"/>
      <w:sz w:val="22"/>
      <w:u w:val="none"/>
      <w:bdr w:val="none" w:sz="0" w:space="0" w:color="auto"/>
      <w:shd w:val="clear" w:color="auto" w:fill="F8F8F8"/>
    </w:rPr>
  </w:style>
  <w:style w:type="character" w:customStyle="1" w:styleId="DecValTok">
    <w:name w:val="DecValTok"/>
    <w:basedOn w:val="VerbatimChar"/>
    <w:rPr>
      <w:rFonts w:ascii="Consolas" w:eastAsia="Times New Roman" w:hAnsi="Consolas"/>
      <w:color w:val="0000CF"/>
      <w:sz w:val="22"/>
      <w:u w:val="none"/>
      <w:bdr w:val="none" w:sz="0" w:space="0" w:color="auto"/>
      <w:shd w:val="clear" w:color="auto" w:fill="F8F8F8"/>
    </w:rPr>
  </w:style>
  <w:style w:type="character" w:customStyle="1" w:styleId="BaseNTok">
    <w:name w:val="BaseNTok"/>
    <w:basedOn w:val="VerbatimChar"/>
    <w:rPr>
      <w:rFonts w:ascii="Consolas" w:eastAsia="Times New Roman" w:hAnsi="Consolas"/>
      <w:color w:val="0000CF"/>
      <w:sz w:val="22"/>
      <w:u w:val="none"/>
      <w:bdr w:val="none" w:sz="0" w:space="0" w:color="auto"/>
      <w:shd w:val="clear" w:color="auto" w:fill="F8F8F8"/>
    </w:rPr>
  </w:style>
  <w:style w:type="character" w:customStyle="1" w:styleId="FloatTok">
    <w:name w:val="FloatTok"/>
    <w:basedOn w:val="VerbatimChar"/>
    <w:rPr>
      <w:rFonts w:ascii="Consolas" w:eastAsia="Times New Roman" w:hAnsi="Consolas"/>
      <w:color w:val="0000CF"/>
      <w:sz w:val="22"/>
      <w:u w:val="none"/>
      <w:bdr w:val="none" w:sz="0" w:space="0" w:color="auto"/>
      <w:shd w:val="clear" w:color="auto" w:fill="F8F8F8"/>
    </w:rPr>
  </w:style>
  <w:style w:type="character" w:customStyle="1" w:styleId="ConstantTok">
    <w:name w:val="ConstantTok"/>
    <w:basedOn w:val="VerbatimChar"/>
    <w:rPr>
      <w:rFonts w:ascii="Consolas" w:eastAsia="Times New Roman" w:hAnsi="Consolas"/>
      <w:color w:val="000000"/>
      <w:sz w:val="22"/>
      <w:u w:val="none"/>
      <w:bdr w:val="none" w:sz="0" w:space="0" w:color="auto"/>
      <w:shd w:val="clear" w:color="auto" w:fill="F8F8F8"/>
    </w:rPr>
  </w:style>
  <w:style w:type="character" w:customStyle="1" w:styleId="CharTok">
    <w:name w:val="CharTok"/>
    <w:basedOn w:val="VerbatimChar"/>
    <w:rPr>
      <w:rFonts w:ascii="Consolas" w:eastAsia="Times New Roman"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eastAsia="Times New Roman" w:hAnsi="Consolas"/>
      <w:color w:val="000000"/>
      <w:sz w:val="22"/>
      <w:u w:val="none"/>
      <w:bdr w:val="none" w:sz="0" w:space="0" w:color="auto"/>
      <w:shd w:val="clear" w:color="auto" w:fill="F8F8F8"/>
    </w:rPr>
  </w:style>
  <w:style w:type="character" w:customStyle="1" w:styleId="StringTok">
    <w:name w:val="StringTok"/>
    <w:basedOn w:val="VerbatimChar"/>
    <w:rPr>
      <w:rFonts w:ascii="Consolas" w:eastAsia="Times New Roman"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eastAsia="Times New Roman"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eastAsia="Times New Roman" w:hAnsi="Consolas"/>
      <w:color w:val="4E9A06"/>
      <w:sz w:val="22"/>
      <w:u w:val="none"/>
      <w:bdr w:val="none" w:sz="0" w:space="0" w:color="auto"/>
      <w:shd w:val="clear" w:color="auto" w:fill="F8F8F8"/>
    </w:rPr>
  </w:style>
  <w:style w:type="character" w:customStyle="1" w:styleId="ImportTok">
    <w:name w:val="ImportTok"/>
    <w:basedOn w:val="VerbatimChar"/>
    <w:rPr>
      <w:rFonts w:ascii="Consolas" w:eastAsia="Times New Roman" w:hAnsi="Consolas"/>
      <w:color w:val="C00000"/>
      <w:sz w:val="22"/>
      <w:u w:val="none"/>
      <w:bdr w:val="none" w:sz="0" w:space="0" w:color="auto"/>
      <w:shd w:val="clear" w:color="auto" w:fill="F8F8F8"/>
    </w:rPr>
  </w:style>
  <w:style w:type="character" w:customStyle="1" w:styleId="CommentTok">
    <w:name w:val="CommentTok"/>
    <w:basedOn w:val="VerbatimChar"/>
    <w:rPr>
      <w:rFonts w:ascii="Consolas" w:eastAsia="Times New Roman"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eastAsia="Times New Roman" w:hAnsi="Consolas"/>
      <w:b/>
      <w:i/>
      <w:color w:val="8F5902"/>
      <w:sz w:val="22"/>
      <w:u w:val="none"/>
      <w:bdr w:val="none" w:sz="0" w:space="0" w:color="auto"/>
      <w:shd w:val="clear" w:color="auto" w:fill="F8F8F8"/>
    </w:rPr>
  </w:style>
  <w:style w:type="character" w:customStyle="1" w:styleId="OtherTok">
    <w:name w:val="OtherTok"/>
    <w:basedOn w:val="VerbatimChar"/>
    <w:rPr>
      <w:rFonts w:ascii="Consolas" w:eastAsia="Times New Roman" w:hAnsi="Consolas"/>
      <w:color w:val="8F5902"/>
      <w:sz w:val="22"/>
      <w:u w:val="none"/>
      <w:bdr w:val="none" w:sz="0" w:space="0" w:color="auto"/>
      <w:shd w:val="clear" w:color="auto" w:fill="F8F8F8"/>
    </w:rPr>
  </w:style>
  <w:style w:type="character" w:customStyle="1" w:styleId="FunctionTok">
    <w:name w:val="FunctionTok"/>
    <w:basedOn w:val="VerbatimChar"/>
    <w:rPr>
      <w:rFonts w:ascii="Consolas" w:eastAsia="Times New Roman" w:hAnsi="Consolas"/>
      <w:color w:val="000000"/>
      <w:sz w:val="22"/>
      <w:u w:val="none"/>
      <w:bdr w:val="none" w:sz="0" w:space="0" w:color="auto"/>
      <w:shd w:val="clear" w:color="auto" w:fill="F8F8F8"/>
    </w:rPr>
  </w:style>
  <w:style w:type="character" w:customStyle="1" w:styleId="VariableTok">
    <w:name w:val="VariableTok"/>
    <w:basedOn w:val="VerbatimChar"/>
    <w:rPr>
      <w:rFonts w:ascii="Consolas" w:eastAsia="Times New Roman"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eastAsia="Times New Roman"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eastAsia="Times New Roman" w:hAnsi="Consolas"/>
      <w:b/>
      <w:color w:val="CE5C00"/>
      <w:sz w:val="22"/>
      <w:u w:val="none"/>
      <w:bdr w:val="none" w:sz="0" w:space="0" w:color="auto"/>
      <w:shd w:val="clear" w:color="auto" w:fill="F8F8F8"/>
    </w:rPr>
  </w:style>
  <w:style w:type="character" w:customStyle="1" w:styleId="BuiltInTok">
    <w:name w:val="BuiltInTok"/>
    <w:basedOn w:val="VerbatimChar"/>
    <w:rPr>
      <w:rFonts w:ascii="Consolas" w:eastAsia="Times New Roman"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eastAsia="Times New Roman"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eastAsia="Times New Roman"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eastAsia="Times New Roman"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eastAsia="Times New Roman"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eastAsia="Times New Roman" w:hAnsi="Consolas"/>
      <w:b/>
      <w:i/>
      <w:color w:val="8F5902"/>
      <w:sz w:val="22"/>
      <w:u w:val="none"/>
      <w:bdr w:val="none" w:sz="0" w:space="0" w:color="auto"/>
      <w:shd w:val="clear" w:color="auto" w:fill="F8F8F8"/>
    </w:rPr>
  </w:style>
  <w:style w:type="character" w:customStyle="1" w:styleId="AlertTok">
    <w:name w:val="AlertTok"/>
    <w:basedOn w:val="VerbatimChar"/>
    <w:rPr>
      <w:rFonts w:ascii="Consolas" w:eastAsia="Times New Roman" w:hAnsi="Consolas"/>
      <w:color w:val="EF2929"/>
      <w:sz w:val="22"/>
      <w:u w:val="none"/>
      <w:bdr w:val="none" w:sz="0" w:space="0" w:color="auto"/>
      <w:shd w:val="clear" w:color="auto" w:fill="F8F8F8"/>
    </w:rPr>
  </w:style>
  <w:style w:type="character" w:customStyle="1" w:styleId="ErrorTok">
    <w:name w:val="ErrorTok"/>
    <w:basedOn w:val="VerbatimChar"/>
    <w:rPr>
      <w:rFonts w:ascii="Consolas" w:eastAsia="Times New Roman" w:hAnsi="Consolas"/>
      <w:b/>
      <w:color w:val="A40000"/>
      <w:sz w:val="22"/>
      <w:u w:val="none"/>
      <w:bdr w:val="none" w:sz="0" w:space="0" w:color="auto"/>
      <w:shd w:val="clear" w:color="auto" w:fill="F8F8F8"/>
    </w:rPr>
  </w:style>
  <w:style w:type="character" w:customStyle="1" w:styleId="NormalTok">
    <w:name w:val="NormalTok"/>
    <w:basedOn w:val="VerbatimChar"/>
    <w:rPr>
      <w:rFonts w:ascii="Consolas" w:eastAsia="Times New Roman"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331221">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hyperlink" Target="https://doi.org/10.1111/fire.12159" TargetMode="External"/><Relationship Id="rId26" Type="http://schemas.openxmlformats.org/officeDocument/2006/relationships/hyperlink" Target="https://doi.org/10.1016/j.jfineco.2011.09.002" TargetMode="External"/><Relationship Id="rId3" Type="http://schemas.openxmlformats.org/officeDocument/2006/relationships/settings" Target="settings.xml"/><Relationship Id="rId21" Type="http://schemas.openxmlformats.org/officeDocument/2006/relationships/hyperlink" Target="https://doi.org/10.1111/j.1540-6261.1994.tb02455.x"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hyperlink" Target="https://doi.org/10.1111/jofi.12727" TargetMode="External"/><Relationship Id="rId25" Type="http://schemas.openxmlformats.org/officeDocument/2006/relationships/hyperlink" Target="https://doi.org/10.1016/j.gfj.2013.10.00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bs.hesbe.2018.07.001" TargetMode="External"/><Relationship Id="rId20" Type="http://schemas.openxmlformats.org/officeDocument/2006/relationships/hyperlink" Target="https://doi.org/10.1093/rof/rfx010"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yperlink" Target="https://doi.org/10.1007/s11142-017-9400-8" TargetMode="External"/><Relationship Id="rId32"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yperlink" Target="https://doi.org/10.1111/jofi.12618" TargetMode="External"/><Relationship Id="rId23" Type="http://schemas.openxmlformats.org/officeDocument/2006/relationships/hyperlink" Target="https://doi.org/10.1016/j.jfineco.2021.05.014" TargetMode="External"/><Relationship Id="rId28" Type="http://schemas.openxmlformats.org/officeDocument/2006/relationships/footer" Target="footer10.xml"/><Relationship Id="rId10" Type="http://schemas.openxmlformats.org/officeDocument/2006/relationships/footer" Target="footer4.xml"/><Relationship Id="rId19" Type="http://schemas.openxmlformats.org/officeDocument/2006/relationships/hyperlink" Target="https://dx.doi.org/10.2139/ssrn.1094485" TargetMode="Externa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hyperlink" Target="https://dx.doi.org/10.2139/ssrn.1926287" TargetMode="External"/><Relationship Id="rId27" Type="http://schemas.openxmlformats.org/officeDocument/2006/relationships/footer" Target="footer9.xml"/><Relationship Id="rId30"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2802</Words>
  <Characters>15978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ETFs Increase Stock Price Efficiency? Evidence from China a Share Market</dc:title>
  <dc:creator/>
  <cp:keywords/>
  <cp:lastModifiedBy>xue yingjie</cp:lastModifiedBy>
  <cp:revision>2</cp:revision>
  <dcterms:created xsi:type="dcterms:W3CDTF">2022-10-17T05:39:00Z</dcterms:created>
  <dcterms:modified xsi:type="dcterms:W3CDTF">2022-10-17T05:55:00Z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journal-of-economics-and-finance.csl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