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5"/>
      </w:pPr>
      <w:r>
        <w:t xml:space="preserve">ETF持股增加了定价效率吗？</w:t>
      </w:r>
    </w:p>
    <w:p>
      <w:pPr>
        <w:pStyle w:val="a6"/>
      </w:pPr>
      <w:r>
        <w:t xml:space="preserve">——基于中国A股市场的实证</w:t>
      </w:r>
    </w:p>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rPr>
        <w:t xml:space="preserve">薛英杰     汪 勇     尹玉刚 </w:t>
      </w:r>
    </w:p>
``````{=openxml}
    <w:p>
      <w:pPr>
        <w:pStyle w:val="Normal"/>
        <w:jc w:val="center"/>
        <w:pBdr>
          <w:bottom w:val="none" w:sz="0" w:space="0" w:color="000000"/>
          <w:top w:val="none" w:sz="0" w:space="0" w:color="000000"/>
          <w:left w:val="none" w:sz="0" w:space="0" w:color="000000"/>
          <w:right w:val="none" w:sz="0" w:space="0" w:color="000000"/>
        </w:pBdr>
        <w:spacing w:after="0" w:before="0" w:line="480"/>
        <w:ind w:firstLine="0" w:left="0" w:right="0"/>
      </w:pPr>
      <w:r>
        <w:rPr>
          <w:rFonts/>
        </w:rPr>
        <w:t xml:space="preserve">（西南财经大学 证券与期货学院，四川 成都 611130）</w:t>
      </w:r>
      <w:r>
        <w:rPr>
          <w:rFonts/>
          <w:vertAlign w:val="superscript"/>
        </w:rPr>
        <w:footnoteReference w:id="1"/>
      </w:r>
    </w:p>
    <w:p>
      <w:pPr>
        <w:pStyle w:val="a8"/>
      </w:pPr>
      <w:r>
        <w:rPr>
          <w:bCs/>
          <w:b/>
        </w:rPr>
        <w:t xml:space="preserve">摘要：</w:t>
      </w:r>
      <w:r>
        <w:t xml:space="preserve">基于2011-2019年A股市场的股票指数基金（即ETF）成分股数据，以噪声交易者参与度和股价反映信息延迟度代理定价效率，运用面板固定效应模型研究了ETF持股对股票定价效率的影响，并进行机制分析。结果显示：第一，被ETF持股比例越高的股票，其股价反映信息越及时准确，即定价效率越高。第二，ETF持股主要通过交易成本、卖空限制和信息挖掘三种机制影响股票定价效率，ETF持股比例越高，越有助于降低交易成本和卖空限制，并吸引更多的分析师挖掘信息。第三，ETF持股比例主要受基金申购赎回和成分股调整影响，基金申购赎回相关的ETF持股比例上升，可以提高股价反映信息速度和准确性，而成分股调整相关的ETF持股比例上升只能提高股价反映信息速度。因此，建议相关部门丰富ETF产品类型，引导机构投资者参与ETF交易，推动ETF期权发展，完善ETF卖空机制和监管制度，规范ETF市场运作。</w:t>
      </w:r>
    </w:p>
    <w:p>
      <w:pPr>
        <w:pStyle w:val="a8"/>
      </w:pPr>
      <w:r>
        <w:rPr>
          <w:bCs/>
          <w:b/>
        </w:rPr>
        <w:t xml:space="preserve">关键词：</w:t>
      </w:r>
      <w:r>
        <w:t xml:space="preserve">ETF持股  定价效率  交易成本  卖空限制  信息挖掘</w:t>
      </w:r>
    </w:p>
    <w:bookmarkStart w:id="20" w:name="一引言"/>
    <w:p>
      <w:pPr>
        <w:pStyle w:val="2"/>
      </w:pPr>
      <w:r>
        <w:rPr>
          <w:bCs/>
          <w:b/>
        </w:rPr>
        <w:t xml:space="preserve">一、引言</w:t>
      </w:r>
    </w:p>
    <w:p>
      <w:pPr>
        <w:pStyle w:val="FirstParagraph"/>
      </w:pPr>
      <w:r>
        <w:t xml:space="preserve">ETF是一种在交易所上市交易，基金份额可变的开放式指数基金（Exchange-Traded Fund），结合了封闭式基金和开放式基金的运作特点，其种类多样，产品齐全，信息公开透明，交易费用低廉，从而备受投资者青睐。自2004年中国股票市场推出上证50ETF以来，股票型ETF数量和资产规模爆发式增长，2010年到2019年，沪深两市股票型ETF从18只增长到243只，资产规模从746.58亿增长到8511.69亿元。</w:t>
      </w:r>
    </w:p>
    <w:p>
      <w:pPr>
        <w:pStyle w:val="a1"/>
      </w:pPr>
      <w:r>
        <w:t xml:space="preserve">随着ETF数量和资产规模越来越大，ETF交易活动对股票市场的潜在影响越来越受学术界、监管层和投资者的关注。与主动型基金不同，ETF采用”懒汉管理模式”，管理者跟踪既定的股票指数，不需要进行投资标的选择，其持股份额越多意味着”懒惰”的投资者数量越多，将有更少的投资者从事基本面研究，从而导致股票定价效率降低。但ETF被动的管理模式并不意味着投资者完全在执行被动策略，多数投资者为克服交易摩擦和卖空限制，将ETF作为风险对冲的工具来执行主动策略，因此，ETF持股也可能提高了股票的定价效率。</w:t>
      </w:r>
    </w:p>
    <w:bookmarkEnd w:id="20"/>
    <w:bookmarkStart w:id="23" w:name="二理论机理分析与研究假设"/>
    <w:p>
      <w:pPr>
        <w:pStyle w:val="2"/>
      </w:pPr>
      <w:r>
        <w:rPr>
          <w:bCs/>
          <w:b/>
        </w:rPr>
        <w:t xml:space="preserve">二、理论机理分析与研究假设</w:t>
      </w:r>
    </w:p>
    <w:p>
      <w:pPr>
        <w:pStyle w:val="FirstParagraph"/>
      </w:pPr>
      <w:r>
        <w:t xml:space="preserve">定价效率是证券价格反映信息的能力，表现在股价反映信息的速度和准确性上（Saffi 和 Sigurdsson，2011）。</w:t>
      </w:r>
      <w:r>
        <w:rPr>
          <w:vertAlign w:val="superscript"/>
        </w:rPr>
        <w:t xml:space="preserve">[4]</w:t>
      </w:r>
      <w:r>
        <w:t xml:space="preserve">关于证券市场信息与定价效率的关系在理论界已做出了充分的研究，提出了有效市场理论、金融市场噪声理论和交易摩擦理论等。在有效市场假说下，投资者是完全理性的，并且交易不受限制，信息获取成本为零，证券价格可以及时准确地反应所有信息（Malkiel 和 Fama，1970），</w:t>
      </w:r>
      <w:r>
        <w:rPr>
          <w:vertAlign w:val="superscript"/>
        </w:rPr>
        <w:t xml:space="preserve">[5]</w:t>
      </w:r>
      <w:r>
        <w:t xml:space="preserve">证券定价及资源配置效率达到最佳状态。</w:t>
      </w:r>
    </w:p>
    <w:bookmarkStart w:id="21" w:name="一理论机理分析"/>
    <w:p>
      <w:pPr>
        <w:pStyle w:val="3"/>
      </w:pPr>
      <w:r>
        <w:rPr>
          <w:bCs/>
          <w:b/>
        </w:rPr>
        <w:t xml:space="preserve">（一）理论机理分析</w:t>
      </w:r>
    </w:p>
    <w:p>
      <w:pPr>
        <w:pStyle w:val="FirstParagraph"/>
      </w:pPr>
      <w:r>
        <w:t xml:space="preserve">金融市场噪声理论和交易摩擦理论兴起，撼动了有效市场理论的基石</w:t>
      </w:r>
      <w:r>
        <w:t xml:space="preserve">(Barberis, 2018; Conrad 等, 1994)</w:t>
      </w:r>
      <w:r>
        <w:t xml:space="preserve">。一方面，投资者并非是完全理性的，会受市场情绪等非理性因素的影响而从事交易，产生交易噪声</w:t>
      </w:r>
      <w:r>
        <w:t xml:space="preserve">(Mitchell 等, 2012)</w:t>
      </w:r>
      <w:r>
        <w:t xml:space="preserve">，交易噪声的存在扭曲了资产价格，导致资产价格与基本面脱节，不能准确地反映资产价值信息。另一方面，即使投资者完全理性，交易中也存在诸多限制和摩擦</w:t>
      </w:r>
      <w:r>
        <w:t xml:space="preserve">(Cochrane, 2017)</w:t>
      </w:r>
      <w:r>
        <w:t xml:space="preserve">，使投资者交易面临更大的风险，阻碍了信息及时地融入资产价格，导致资产价格反映信息延迟，包含的信息陈旧</w:t>
      </w:r>
      <w:r>
        <w:t xml:space="preserve">(Atmaz 等, 2018)</w:t>
      </w:r>
      <w:r>
        <w:t xml:space="preserve">。</w:t>
      </w:r>
    </w:p>
    <w:bookmarkEnd w:id="21"/>
    <w:bookmarkStart w:id="22" w:name="二研究假设提出"/>
    <w:p>
      <w:pPr>
        <w:pStyle w:val="3"/>
      </w:pPr>
      <w:r>
        <w:rPr>
          <w:bCs/>
          <w:b/>
        </w:rPr>
        <w:t xml:space="preserve">（二）研究假设提出</w:t>
      </w:r>
    </w:p>
    <w:p>
      <w:pPr>
        <w:pStyle w:val="FirstParagraph"/>
      </w:pPr>
      <w:r>
        <w:t xml:space="preserve">与成熟的资本市场相比，中国市场长期以来市场的主要参与者以散户为主，投资者的专业素养较低，加上制度建设不完善，过度投机、内幕交易和股价操纵等问题突出，市场上信息不对称程度较高且噪声交易较多</w:t>
      </w:r>
      <w:r>
        <w:t xml:space="preserve">(Novy-Marx 等, 2015)</w:t>
      </w:r>
      <w:r>
        <w:t xml:space="preserve">，从而定价效率较低。ETF的存在为投资者利用行业信息获利提供了便利途径，促进了行业内上市公司的信息挖掘，尤其是基金公司等机构投资者，需要为ETF提供流动性服务而被动持有一定仓位的ETF，使其资金暴露在风险中，出于规避风险的动机，有挖掘ETF成分股相关信息的需求，从而提高了成分股的价格信息含量。另外，机构投资者提供流动性服务，有利于降低成分股的交易成本和知情交易者的交易限制，提高股价反映信息的速度，使噪声交易者的生存环境恶化，被迫退出市场。因此，ETF持股比例越高，越有利于成分股价格准确及时地反映价值信息。基于以上分析，我们提出假设：</w:t>
      </w:r>
    </w:p>
    <w:p>
      <w:pPr>
        <w:pStyle w:val="a1"/>
      </w:pPr>
      <w:r>
        <w:rPr>
          <w:bCs/>
          <w:b/>
        </w:rPr>
        <w:t xml:space="preserve">H1：ETF持股比例越高，成分股中噪声交易者越少，股价反映信息的速度越快，定价效率越高。</w:t>
      </w:r>
    </w:p>
    <w:bookmarkEnd w:id="22"/>
    <w:bookmarkEnd w:id="23"/>
    <w:bookmarkStart w:id="30" w:name="三数据来源与研究设计"/>
    <w:p>
      <w:pPr>
        <w:pStyle w:val="2"/>
      </w:pPr>
      <w:r>
        <w:rPr>
          <w:bCs/>
          <w:b/>
        </w:rPr>
        <w:t xml:space="preserve">三、数据来源与研究设计</w:t>
      </w:r>
    </w:p>
    <w:bookmarkStart w:id="24" w:name="一数据来源"/>
    <w:p>
      <w:pPr>
        <w:pStyle w:val="3"/>
      </w:pPr>
      <w:r>
        <w:rPr>
          <w:bCs/>
          <w:b/>
        </w:rPr>
        <w:t xml:space="preserve">（一）数据来源</w:t>
      </w:r>
    </w:p>
    <w:p>
      <w:pPr>
        <w:pStyle w:val="FirstParagraph"/>
      </w:pPr>
      <w:r>
        <w:t xml:space="preserve">为研究ETF持股对其成分股定价效率的影响，并进行机制分析，本文选取2011年1月至2019年12月中国市场上交易的ETF成分股为研究样本。研究中剔除了债券型ETF、货币型ETF以及跨境ETF，剩余188只ETF，涉及2369只股票。研究数据主要包括股票交易行情数据、上市公司特征数据、上市公司财报数据、ETF跟踪指数持股权重数据以及ETF申购赎回数据。其中，ETF跟踪指数持股权重数据来自Tushare财经数据库，其余数据均来自国泰安（CSMAR）数据库，上市公司财报数据为季度频率，其余数据频率均为月度频率。</w:t>
      </w:r>
    </w:p>
    <w:p>
      <w:pPr>
        <w:jc w:val="center"/>
        <w:pStyle w:val="a0"/>
      </w:pPr>
      <w:r>
        <w:rPr/>
        <w:drawing>
          <wp:inline distT="0" distB="0" distL="0" distR="0">
            <wp:extent cx="4572000" cy="3657600"/>
            <wp:docPr id="1" name="" descr=""/>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r:embed="rId53"/>
                    <a:srcRect/>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图 </w:t>
      </w:r>
      <w:bookmarkStart w:id="3dbf3349-2e2e-452a-9358-34cf69608b68" w:name="unnamed-chunk-2"/>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3dbf3349-2e2e-452a-9358-34cf69608b68"/>
      <w:r>
        <w:rPr>
          <w:rFonts/>
          <w:b w:val="true"/>
        </w:rPr>
        <w:t xml:space="preserve">: </w:t>
      </w:r>
      <w:r>
        <w:t xml:space="preserve">中国GNP</w:t>
      </w:r>
    </w:p>
    <w:bookmarkEnd w:id="24"/>
    <w:bookmarkStart w:id="29" w:name="二关键变量度量"/>
    <w:p>
      <w:pPr>
        <w:pStyle w:val="3"/>
      </w:pPr>
      <w:r>
        <w:rPr>
          <w:bCs/>
          <w:b/>
        </w:rPr>
        <w:t xml:space="preserve">（二）关键变量度量</w:t>
      </w:r>
    </w:p>
    <w:bookmarkStart w:id="27" w:name="etf持股比例"/>
    <w:p>
      <w:pPr>
        <w:pStyle w:val="4"/>
      </w:pPr>
      <w:r>
        <w:rPr>
          <w:bCs/>
          <w:b/>
        </w:rPr>
        <w:t xml:space="preserve">1.  ETF持股比例</w:t>
      </w:r>
    </w:p>
    <w:p>
      <w:pPr>
        <w:pStyle w:val="FirstParagraph"/>
      </w:pPr>
      <w:r>
        <w:t xml:space="preserve">ETF持股比例是指某一上市公司股票被全市场所有ETF持有的市值占该公司总市值的比例，度量了股票受全市场ETF交易的影响程度，具体度量如下：</w:t>
      </w:r>
    </w:p>
    <w:p>
      <w:pPr>
        <w:pStyle w:val="a1"/>
      </w:pPr>
      <w:bookmarkStart w:id="25" w:name="eq:eqn1"/>
      <m:oMathPara>
        <m:oMathParaPr>
          <m:jc m:val="center"/>
        </m:oMathParaPr>
        <m:oMath>
          <m:r>
            <m:t>E</m:t>
          </m:r>
          <m:r>
            <m:t>T</m:t>
          </m:r>
          <m:r>
            <m:t>F</m:t>
          </m:r>
          <m:r>
            <m:t>o</m:t>
          </m:r>
          <m:r>
            <m:t>n</m:t>
          </m:r>
          <m:r>
            <m:t>e</m:t>
          </m:r>
          <m:r>
            <m:t>r</m:t>
          </m:r>
          <m:r>
            <m:t>s</m:t>
          </m:r>
          <m:r>
            <m:t>h</m:t>
          </m:r>
          <m:r>
            <m:t>i</m:t>
          </m:r>
          <m:r>
            <m:t>p</m:t>
          </m:r>
          <m:r>
            <m:rPr>
              <m:sty m:val="p"/>
            </m:rPr>
            <m:t>=</m:t>
          </m:r>
          <m:f>
            <m:fPr>
              <m:type m:val="bar"/>
            </m:fPr>
            <m:num>
              <m:nary>
                <m:naryPr>
                  <m:chr m:val="∑"/>
                  <m:limLoc m:val="undOvr"/>
                  <m:subHide m:val="0"/>
                  <m:supHide m:val="0"/>
                </m:naryPr>
                <m:sub>
                  <m:r>
                    <m:t>j</m:t>
                  </m:r>
                  <m:r>
                    <m:rPr>
                      <m:sty m:val="p"/>
                    </m:rPr>
                    <m:t>=</m:t>
                  </m:r>
                  <m:r>
                    <m:t>1</m:t>
                  </m:r>
                </m:sub>
                <m:sup>
                  <m:r>
                    <m:t>J</m:t>
                  </m:r>
                </m:sup>
                <m:e>
                  <m:r>
                    <m:t>S</m:t>
                  </m:r>
                  <m:r>
                    <m:t>i</m:t>
                  </m:r>
                  <m:r>
                    <m:t>z</m:t>
                  </m:r>
                  <m:sSub>
                    <m:e>
                      <m:r>
                        <m:t>e</m:t>
                      </m:r>
                    </m:e>
                    <m:sub>
                      <m:r>
                        <m:t>i</m:t>
                      </m:r>
                      <m:r>
                        <m:t>j</m:t>
                      </m:r>
                    </m:sub>
                  </m:sSub>
                </m:e>
              </m:nary>
              <m:r>
                <m:rPr>
                  <m:sty m:val="p"/>
                </m:rPr>
                <m:t>×</m:t>
              </m:r>
              <m:sSub>
                <m:e>
                  <m:r>
                    <m:t>w</m:t>
                  </m:r>
                </m:e>
                <m:sub>
                  <m:r>
                    <m:t>i</m:t>
                  </m:r>
                  <m:r>
                    <m:t>j</m:t>
                  </m:r>
                </m:sub>
              </m:sSub>
            </m:num>
            <m:den>
              <m:r>
                <m:t>S</m:t>
              </m:r>
              <m:r>
                <m:t>i</m:t>
              </m:r>
              <m:r>
                <m:t>z</m:t>
              </m:r>
              <m:sSub>
                <m:e>
                  <m:r>
                    <m:t>e</m:t>
                  </m:r>
                </m:e>
                <m:sub>
                  <m:r>
                    <m:t>i</m:t>
                  </m:r>
                </m:sub>
              </m:sSub>
            </m:den>
          </m:f>
          <m:r>
            <m:t>  </m:t>
          </m:r>
          <m:d>
            <m:dPr>
              <m:begChr m:val="("/>
              <m:endChr m:val=")"/>
              <m:sepChr m:val=""/>
              <m:grow/>
            </m:dPr>
            <m:e>
              <m:r>
                <m:t>1</m:t>
              </m:r>
            </m:e>
          </m:d>
        </m:oMath>
      </m:oMathPara>
      <w:bookmarkEnd w:id="25"/>
    </w:p>
    <w:p>
      <w:pPr>
        <w:pStyle w:val="FirstParagraph"/>
      </w:pPr>
      <w:bookmarkStart w:id="26" w:name="eq:eqn2"/>
      <m:oMathPara>
        <m:oMathParaPr>
          <m:jc m:val="center"/>
        </m:oMathParaPr>
        <m:oMath>
          <m:m>
            <m:mPr>
              <m:baseJc m:val="center"/>
              <m:plcHide m:val="1"/>
              <m:mcs>
                <m:mc>
                  <m:mcPr>
                    <m:mcJc m:val="right"/>
                    <m:count m:val="1"/>
                  </m:mcPr>
                </m:mc>
              </m:mcs>
            </m:mPr>
            <m:mr>
              <m:e>
                <m:r>
                  <m:t>f</m:t>
                </m:r>
                <m:d>
                  <m:dPr>
                    <m:begChr m:val="("/>
                    <m:endChr m:val=")"/>
                    <m:sepChr m:val=""/>
                    <m:grow/>
                  </m:dPr>
                  <m:e>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e>
            </m:mr>
          </m:m>
          <m:r>
            <m:t>  </m:t>
          </m:r>
          <m:d>
            <m:dPr>
              <m:begChr m:val="("/>
              <m:endChr m:val=")"/>
              <m:sepChr m:val=""/>
              <m:grow/>
            </m:dPr>
            <m:e>
              <m:r>
                <m:t>2</m:t>
              </m:r>
            </m:e>
          </m:d>
        </m:oMath>
      </m:oMathPara>
      <w:bookmarkEnd w:id="26"/>
    </w:p>
    <w:bookmarkEnd w:id="27"/>
    <w:bookmarkStart w:id="28" w:name="定价效率"/>
    <w:p>
      <w:pPr>
        <w:pStyle w:val="4"/>
      </w:pPr>
      <w:r>
        <w:rPr>
          <w:bCs/>
          <w:b/>
        </w:rPr>
        <w:t xml:space="preserve">2. 定价效率</w:t>
      </w:r>
    </w:p>
    <w:p>
      <w:pPr>
        <w:pStyle w:val="FirstParagraph"/>
      </w:pPr>
      <w:r>
        <w:t xml:space="preserve">(Han 等, 2021)</w:t>
      </w:r>
      <w:r>
        <w:t xml:space="preserve">将定价效率定义为股价反映信息的速度和准确程度。股价反映信息的速度越快、越准确，定价效率越高，因此，我们分别从股价对信息的反应速度和准确性两个方面来测度定价效率。</w:t>
      </w:r>
    </w:p>
    <w:p>
      <w:pPr>
        <w:pStyle w:val="TableCaption"/>
      </w:pPr>
      <w:r>
        <w:rPr>
          <w:rFonts/>
          <w:b w:val="true"/>
        </w:rPr>
        <w:t xml:space="preserve">表  </w:t>
      </w:r>
      <w:bookmarkStart w:id="38c50d45-6398-400e-a0b1-4c3c319c8781" w:name="mytab"/>
      <w:r xmlns:w14="http://schemas.microsoft.com/office/word/2010/wordml">
        <w:rPr>
          <w:rFonts/>
          <w:b w:val="true"/>
        </w:rPr>
        <w:fldChar w:fldCharType="begin" w:dirty="true"/>
      </w:r>
      <w:r xmlns:w14="http://schemas.microsoft.com/office/word/2010/wordml">
        <w:rPr>
          <w:rFonts/>
          <w:b w:val="true"/>
        </w:rPr>
        <w:instrText xml:space="preserve" w:dirty="true">SEQ tab \* Arabic</w:instrText>
      </w:r>
      <w:r xmlns:w14="http://schemas.microsoft.com/office/word/2010/wordml">
        <w:rPr>
          <w:rFonts/>
          <w:b w:val="true"/>
        </w:rPr>
        <w:fldChar w:fldCharType="end" w:dirty="true"/>
      </w:r>
      <w:bookmarkEnd w:id="38c50d45-6398-400e-a0b1-4c3c319c8781"/>
      <w:r>
        <w:rPr>
          <w:rFonts/>
          <w:b w:val="true"/>
        </w:rPr>
        <w:t xml:space="preserve">:  </w:t>
      </w:r>
      <w:r>
        <w:t xml:space="preserve">变量定义</w:t>
      </w:r>
    </w:p>
    <w:tbl xmlns:w14="http://schemas.microsoft.com/office/word/2010/wordml">
      <w:tblPr>
        <w:tblLayout w:type="autofit"/>
        <w:jc w:val="center"/>
        <w:tblW w:type="pct" w:w="0"/>
        <w:tblLook w:firstRow="1" w:lastRow="0" w:firstColumn="0" w:lastColumn="0" w:noHBand="0" w:noVBand="1"/>
      </w:tblPr>
      <w:tr>
        <w:trPr>
          <w:cantSplit/>
          <w:trHeight w:val="360"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u5b8b\u4f53" w:hAnsi="\u5b8b\u4f53" w:eastAsia="\u5b8b\u4f53" w:cs="\u5b8b\u4f53"/>
                <w:i w:val="false"/>
                <w:b w:val="false"/>
                <w:u w:val="none"/>
                <w:sz w:val="18"/>
                <w:szCs w:val="18"/>
                <w:color w:val="000000"/>
              </w:rPr>
              <w:t xml:space="preserve">变量名称</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u5b8b\u4f53" w:hAnsi="\u5b8b\u4f53" w:eastAsia="\u5b8b\u4f53" w:cs="\u5b8b\u4f53"/>
                <w:i w:val="false"/>
                <w:b w:val="false"/>
                <w:u w:val="none"/>
                <w:sz w:val="18"/>
                <w:szCs w:val="18"/>
                <w:color w:val="000000"/>
              </w:rPr>
              <w:t xml:space="preserve">变量符号</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u5b8b\u4f53" w:hAnsi="\u5b8b\u4f53" w:eastAsia="\u5b8b\u4f53" w:cs="\u5b8b\u4f53"/>
                <w:i w:val="false"/>
                <w:b w:val="false"/>
                <w:u w:val="none"/>
                <w:sz w:val="18"/>
                <w:szCs w:val="18"/>
                <w:color w:val="000000"/>
              </w:rPr>
              <w:t xml:space="preserve">变量定义</w:t>
            </w:r>
          </w:p>
        </w:tc>
      </w:tr>
      <w:tr>
        <w:trPr>
          <w:cantSplit/>
          <w:trHeight w:val="360"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u5b8b\u4f53" w:hAnsi="\u5b8b\u4f53" w:eastAsia="\u5b8b\u4f53" w:cs="\u5b8b\u4f53"/>
                <w:i w:val="false"/>
                <w:b w:val="false"/>
                <w:u w:val="none"/>
                <w:sz w:val="18"/>
                <w:szCs w:val="18"/>
                <w:color w:val="000000"/>
              </w:rPr>
              <w:t xml:space="preserve">交易成本</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u5b8b\u4f53" w:hAnsi="\u5b8b\u4f53" w:eastAsia="\u5b8b\u4f53" w:cs="\u5b8b\u4f53"/>
                <w:i w:val="false"/>
                <w:b w:val="false"/>
                <w:u w:val="none"/>
                <w:sz w:val="18"/>
                <w:szCs w:val="18"/>
                <w:color w:val="000000"/>
              </w:rPr>
              <w:t xml:space="preserve">Illiqudity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u5b8b\u4f53" w:hAnsi="\u5b8b\u4f53" w:eastAsia="\u5b8b\u4f53" w:cs="\u5b8b\u4f53"/>
                <w:i w:val="false"/>
                <w:b w:val="false"/>
                <w:u w:val="none"/>
                <w:sz w:val="18"/>
                <w:szCs w:val="18"/>
                <w:color w:val="000000"/>
              </w:rPr>
              <w:t xml:space="preserve">Amihud(2006)非流动性指标</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u5b8b\u4f53" w:hAnsi="\u5b8b\u4f53" w:eastAsia="\u5b8b\u4f53" w:cs="\u5b8b\u4f53"/>
                <w:i w:val="false"/>
                <w:b w:val="false"/>
                <w:u w:val="none"/>
                <w:sz w:val="18"/>
                <w:szCs w:val="18"/>
                <w:color w:val="000000"/>
              </w:rPr>
              <w:t xml:space="preserve">融券比率</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u5b8b\u4f53" w:hAnsi="\u5b8b\u4f53" w:eastAsia="\u5b8b\u4f53" w:cs="\u5b8b\u4f53"/>
                <w:i w:val="false"/>
                <w:b w:val="false"/>
                <w:u w:val="none"/>
                <w:sz w:val="18"/>
                <w:szCs w:val="18"/>
                <w:color w:val="000000"/>
              </w:rPr>
              <w:t xml:space="preserve">Shortratio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u5b8b\u4f53" w:hAnsi="\u5b8b\u4f53" w:eastAsia="\u5b8b\u4f53" w:cs="\u5b8b\u4f53"/>
                <w:i w:val="false"/>
                <w:b w:val="false"/>
                <w:u w:val="none"/>
                <w:sz w:val="18"/>
                <w:szCs w:val="18"/>
                <w:color w:val="000000"/>
              </w:rPr>
              <w:t xml:space="preserve">股票融券余额与总市值之比</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u5b8b\u4f53" w:hAnsi="\u5b8b\u4f53" w:eastAsia="\u5b8b\u4f53" w:cs="\u5b8b\u4f53"/>
                <w:i w:val="false"/>
                <w:b w:val="false"/>
                <w:u w:val="none"/>
                <w:sz w:val="18"/>
                <w:szCs w:val="18"/>
                <w:color w:val="000000"/>
              </w:rPr>
              <w:t xml:space="preserve">分析师覆盖</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u5b8b\u4f53" w:hAnsi="\u5b8b\u4f53" w:eastAsia="\u5b8b\u4f53" w:cs="\u5b8b\u4f53"/>
                <w:i w:val="false"/>
                <w:b w:val="false"/>
                <w:u w:val="none"/>
                <w:sz w:val="18"/>
                <w:szCs w:val="18"/>
                <w:color w:val="000000"/>
              </w:rPr>
              <w:t xml:space="preserve">Anlysiscover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u5b8b\u4f53" w:hAnsi="\u5b8b\u4f53" w:eastAsia="\u5b8b\u4f53" w:cs="\u5b8b\u4f53"/>
                <w:i w:val="false"/>
                <w:b w:val="false"/>
                <w:u w:val="none"/>
                <w:sz w:val="18"/>
                <w:szCs w:val="18"/>
                <w:color w:val="000000"/>
              </w:rPr>
              <w:t xml:space="preserve">当月跟踪股票i的分析师数量与分析师总数量之比</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u5b8b\u4f53" w:hAnsi="\u5b8b\u4f53" w:eastAsia="\u5b8b\u4f53" w:cs="\u5b8b\u4f53"/>
                <w:i w:val="false"/>
                <w:b w:val="false"/>
                <w:u w:val="none"/>
                <w:sz w:val="18"/>
                <w:szCs w:val="18"/>
                <w:color w:val="000000"/>
              </w:rPr>
              <w:t xml:space="preserve">公司规模</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u5b8b\u4f53" w:hAnsi="\u5b8b\u4f53" w:eastAsia="\u5b8b\u4f53" w:cs="\u5b8b\u4f53"/>
                <w:i w:val="false"/>
                <w:b w:val="false"/>
                <w:u w:val="none"/>
                <w:sz w:val="18"/>
                <w:szCs w:val="18"/>
                <w:color w:val="000000"/>
              </w:rPr>
              <w:t xml:space="preserve">Size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u5b8b\u4f53" w:hAnsi="\u5b8b\u4f53" w:eastAsia="\u5b8b\u4f53" w:cs="\u5b8b\u4f53"/>
                <w:i w:val="false"/>
                <w:b w:val="false"/>
                <w:u w:val="none"/>
                <w:sz w:val="18"/>
                <w:szCs w:val="18"/>
                <w:color w:val="000000"/>
              </w:rPr>
              <w:t xml:space="preserve">上市公司市值</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u5b8b\u4f53" w:hAnsi="\u5b8b\u4f53" w:eastAsia="\u5b8b\u4f53" w:cs="\u5b8b\u4f53"/>
                <w:i w:val="false"/>
                <w:b w:val="false"/>
                <w:u w:val="none"/>
                <w:sz w:val="18"/>
                <w:szCs w:val="18"/>
                <w:color w:val="000000"/>
              </w:rPr>
              <w:t xml:space="preserve">账面市值比</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u5b8b\u4f53" w:hAnsi="\u5b8b\u4f53" w:eastAsia="\u5b8b\u4f53" w:cs="\u5b8b\u4f53"/>
                <w:i w:val="false"/>
                <w:b w:val="false"/>
                <w:u w:val="none"/>
                <w:sz w:val="18"/>
                <w:szCs w:val="18"/>
                <w:color w:val="000000"/>
              </w:rPr>
              <w:t xml:space="preserve">BM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u5b8b\u4f53" w:hAnsi="\u5b8b\u4f53" w:eastAsia="\u5b8b\u4f53" w:cs="\u5b8b\u4f53"/>
                <w:i w:val="false"/>
                <w:b w:val="false"/>
                <w:u w:val="none"/>
                <w:sz w:val="18"/>
                <w:szCs w:val="18"/>
                <w:color w:val="000000"/>
              </w:rPr>
              <w:t xml:space="preserve">净资产比公司市值</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u5b8b\u4f53" w:hAnsi="\u5b8b\u4f53" w:eastAsia="\u5b8b\u4f53" w:cs="\u5b8b\u4f53"/>
                <w:i w:val="false"/>
                <w:b w:val="false"/>
                <w:u w:val="none"/>
                <w:sz w:val="18"/>
                <w:szCs w:val="18"/>
                <w:color w:val="000000"/>
              </w:rPr>
              <w:t xml:space="preserve">换手率</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u5b8b\u4f53" w:hAnsi="\u5b8b\u4f53" w:eastAsia="\u5b8b\u4f53" w:cs="\u5b8b\u4f53"/>
                <w:i w:val="false"/>
                <w:b w:val="false"/>
                <w:u w:val="none"/>
                <w:sz w:val="18"/>
                <w:szCs w:val="18"/>
                <w:color w:val="000000"/>
              </w:rPr>
              <w:t xml:space="preserve">Turnover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u5b8b\u4f53" w:hAnsi="\u5b8b\u4f53" w:eastAsia="\u5b8b\u4f53" w:cs="\u5b8b\u4f53"/>
                <w:i w:val="false"/>
                <w:b w:val="false"/>
                <w:u w:val="none"/>
                <w:sz w:val="18"/>
                <w:szCs w:val="18"/>
                <w:color w:val="000000"/>
              </w:rPr>
              <w:t xml:space="preserve">交易量与流通股之比</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u5b8b\u4f53" w:hAnsi="\u5b8b\u4f53" w:eastAsia="\u5b8b\u4f53" w:cs="\u5b8b\u4f53"/>
                <w:i w:val="false"/>
                <w:b w:val="false"/>
                <w:u w:val="none"/>
                <w:sz w:val="18"/>
                <w:szCs w:val="18"/>
                <w:color w:val="000000"/>
              </w:rPr>
              <w:t xml:space="preserve">波动率</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u5b8b\u4f53" w:hAnsi="\u5b8b\u4f53" w:eastAsia="\u5b8b\u4f53" w:cs="\u5b8b\u4f53"/>
                <w:i w:val="false"/>
                <w:b w:val="false"/>
                <w:u w:val="none"/>
                <w:sz w:val="18"/>
                <w:szCs w:val="18"/>
                <w:color w:val="000000"/>
              </w:rPr>
              <w:t xml:space="preserve">Volatility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u5b8b\u4f53" w:hAnsi="\u5b8b\u4f53" w:eastAsia="\u5b8b\u4f53" w:cs="\u5b8b\u4f53"/>
                <w:i w:val="false"/>
                <w:b w:val="false"/>
                <w:u w:val="none"/>
                <w:sz w:val="18"/>
                <w:szCs w:val="18"/>
                <w:color w:val="000000"/>
              </w:rPr>
              <w:t xml:space="preserve">股票收益的方差</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u5b8b\u4f53" w:hAnsi="\u5b8b\u4f53" w:eastAsia="\u5b8b\u4f53" w:cs="\u5b8b\u4f53"/>
                <w:i w:val="false"/>
                <w:b w:val="false"/>
                <w:u w:val="none"/>
                <w:sz w:val="18"/>
                <w:szCs w:val="18"/>
                <w:color w:val="000000"/>
              </w:rPr>
              <w:t xml:space="preserve">资产收益率</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u5b8b\u4f53" w:hAnsi="\u5b8b\u4f53" w:eastAsia="\u5b8b\u4f53" w:cs="\u5b8b\u4f53"/>
                <w:i w:val="false"/>
                <w:b w:val="false"/>
                <w:u w:val="none"/>
                <w:sz w:val="18"/>
                <w:szCs w:val="18"/>
                <w:color w:val="000000"/>
              </w:rPr>
              <w:t xml:space="preserve">ROE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u5b8b\u4f53" w:hAnsi="\u5b8b\u4f53" w:eastAsia="\u5b8b\u4f53" w:cs="\u5b8b\u4f53"/>
                <w:i w:val="false"/>
                <w:b w:val="false"/>
                <w:u w:val="none"/>
                <w:sz w:val="18"/>
                <w:szCs w:val="18"/>
                <w:color w:val="000000"/>
              </w:rPr>
              <w:t xml:space="preserve">净利润比净资产</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u5b8b\u4f53" w:hAnsi="\u5b8b\u4f53" w:eastAsia="\u5b8b\u4f53" w:cs="\u5b8b\u4f53"/>
                <w:i w:val="false"/>
                <w:b w:val="false"/>
                <w:u w:val="none"/>
                <w:sz w:val="18"/>
                <w:szCs w:val="18"/>
                <w:color w:val="000000"/>
              </w:rPr>
              <w:t xml:space="preserve">机构持股比例</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u5b8b\u4f53" w:hAnsi="\u5b8b\u4f53" w:eastAsia="\u5b8b\u4f53" w:cs="\u5b8b\u4f53"/>
                <w:i w:val="false"/>
                <w:b w:val="false"/>
                <w:u w:val="none"/>
                <w:sz w:val="18"/>
                <w:szCs w:val="18"/>
                <w:color w:val="000000"/>
              </w:rPr>
              <w:t xml:space="preserve">Instituhold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u5b8b\u4f53" w:hAnsi="\u5b8b\u4f53" w:eastAsia="\u5b8b\u4f53" w:cs="\u5b8b\u4f53"/>
                <w:i w:val="false"/>
                <w:b w:val="false"/>
                <w:u w:val="none"/>
                <w:sz w:val="18"/>
                <w:szCs w:val="18"/>
                <w:color w:val="000000"/>
              </w:rPr>
              <w:t xml:space="preserve">机构持股市值占总市值之比</w:t>
            </w:r>
          </w:p>
        </w:tc>
      </w:tr>
      <w:tr>
        <w:trPr>
          <w:cantSplit/>
          <w:trHeight w:val="360" w:hRule="auto"/>
        </w:trPr>
        body10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u5b8b\u4f53" w:hAnsi="\u5b8b\u4f53" w:eastAsia="\u5b8b\u4f53" w:cs="\u5b8b\u4f53"/>
                <w:i w:val="false"/>
                <w:b w:val="false"/>
                <w:u w:val="none"/>
                <w:sz w:val="18"/>
                <w:szCs w:val="18"/>
                <w:color w:val="000000"/>
              </w:rPr>
              <w:t xml:space="preserve">动量</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u5b8b\u4f53" w:hAnsi="\u5b8b\u4f53" w:eastAsia="\u5b8b\u4f53" w:cs="\u5b8b\u4f53"/>
                <w:i w:val="false"/>
                <w:b w:val="false"/>
                <w:u w:val="none"/>
                <w:sz w:val="18"/>
                <w:szCs w:val="18"/>
                <w:color w:val="000000"/>
              </w:rPr>
              <w:t xml:space="preserve">Mon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u5b8b\u4f53" w:hAnsi="\u5b8b\u4f53" w:eastAsia="\u5b8b\u4f53" w:cs="\u5b8b\u4f53"/>
                <w:i w:val="false"/>
                <w:b w:val="false"/>
                <w:u w:val="none"/>
                <w:sz w:val="18"/>
                <w:szCs w:val="18"/>
                <w:color w:val="000000"/>
              </w:rPr>
              <w:t xml:space="preserve">股票过去20个月的收益率</w:t>
            </w:r>
          </w:p>
        </w:tc>
      </w:tr>
    </w:tbl>
    <w:bookmarkEnd w:id="28"/>
    <w:bookmarkEnd w:id="29"/>
    <w:bookmarkEnd w:id="30"/>
    <w:bookmarkStart w:id="33" w:name="四实证结果与分析"/>
    <w:p>
      <w:pPr>
        <w:pStyle w:val="2"/>
      </w:pPr>
      <w:r>
        <w:rPr>
          <w:bCs/>
          <w:b/>
        </w:rPr>
        <w:t xml:space="preserve">四、实证结果与分析</w:t>
      </w:r>
    </w:p>
    <w:bookmarkStart w:id="31" w:name="一变量描述性统计"/>
    <w:p>
      <w:pPr>
        <w:pStyle w:val="3"/>
      </w:pPr>
      <w:r>
        <w:rPr>
          <w:bCs/>
          <w:b/>
        </w:rPr>
        <w:t xml:space="preserve">（一）变量描述性统计</w:t>
      </w:r>
    </w:p>
    <w:p>
      <w:pPr>
        <w:pStyle w:val="FirstParagraph"/>
      </w:pPr>
      <w:r>
        <w:t xml:space="preserve">表2为主要变量的描述性统计结果，从定价效率的不同度量来看，各指标的均值均大于中位数，例如，股价反映信息的延迟程度和噪声交易者参与度的均值分别为0.3和0.614，中位数分别为0.238和0.558，样本分布偏左尾部。</w:t>
      </w:r>
    </w:p>
    <w:bookmarkEnd w:id="31"/>
    <w:bookmarkStart w:id="32" w:name="二etf持股与成分股定价效率"/>
    <w:p>
      <w:pPr>
        <w:pStyle w:val="3"/>
      </w:pPr>
      <w:r>
        <w:rPr>
          <w:bCs/>
          <w:b/>
        </w:rPr>
        <w:t xml:space="preserve">（二）ETF持股与成分股定价效率</w:t>
      </w:r>
    </w:p>
    <w:p>
      <w:pPr>
        <w:pStyle w:val="FirstParagraph"/>
      </w:pPr>
      <w:r>
        <w:t xml:space="preserve">定价效率的高低取决于资产价格能否及时准确地反映价值信息。ETF持股是否有利于提高成分股的定价效率？为了检验假设H1，我们分别用股价反映信息的延迟程度（</w:t>
      </w:r>
      <w:r>
        <w:rPr>
          <w:iCs/>
          <w:i/>
        </w:rPr>
        <w:t xml:space="preserve">Delayr</w:t>
      </w:r>
      <w:r>
        <w:t xml:space="preserve">）、延迟强度（</w:t>
      </w:r>
      <w:r>
        <w:rPr>
          <w:iCs/>
          <w:i/>
        </w:rPr>
        <w:t xml:space="preserve">Delaycoef</w:t>
      </w:r>
      <w:r>
        <w:t xml:space="preserve">）和噪声交易者参与度（</w:t>
      </w:r>
      <w:r>
        <w:rPr>
          <w:iCs/>
          <w:i/>
        </w:rPr>
        <w:t xml:space="preserve">NoiseTrade</w:t>
      </w:r>
      <w:r>
        <w:t xml:space="preserve">）作为被解释变量，ETF持股比例（</w:t>
      </w:r>
      <w:r>
        <w:rPr>
          <w:iCs/>
          <w:i/>
        </w:rPr>
        <w:t xml:space="preserve">ETFOwnership</w:t>
      </w:r>
      <w:r>
        <w:t xml:space="preserve">）作为解释变量进行回归分析，具体模型如公式（7）所示。</w:t>
      </w:r>
    </w:p>
    <w:bookmarkEnd w:id="32"/>
    <w:bookmarkEnd w:id="33"/>
    <w:bookmarkStart w:id="36" w:name="五稳健性检验与进一步分析"/>
    <w:p>
      <w:pPr>
        <w:pStyle w:val="2"/>
      </w:pPr>
      <w:r>
        <w:rPr>
          <w:bCs/>
          <w:b/>
        </w:rPr>
        <w:t xml:space="preserve">五、稳健性检验与进一步分析</w:t>
      </w:r>
    </w:p>
    <w:bookmarkStart w:id="34" w:name="一稳健性检验"/>
    <w:p>
      <w:pPr>
        <w:pStyle w:val="3"/>
      </w:pPr>
      <w:r>
        <w:rPr>
          <w:bCs/>
          <w:b/>
        </w:rPr>
        <w:t xml:space="preserve">（一）稳健性检验</w:t>
      </w:r>
    </w:p>
    <w:p>
      <w:pPr>
        <w:pStyle w:val="FirstParagraph"/>
      </w:pPr>
      <w:r>
        <w:t xml:space="preserve">为克服内生性对实证结果的影响，本文选择沪深300指数作为研究对象，利用指数调整作为外生冲击，根据指数调整规则构造控制组和实验组，采用双重差分模型（DID）检验指数调整对定价效率的影响。</w:t>
      </w:r>
    </w:p>
    <w:p>
      <w:pPr>
        <w:pStyle w:val="TableCaption"/>
      </w:pPr>
      <w:r>
        <w:rPr>
          <w:rFonts/>
          <w:b w:val="true"/>
        </w:rPr>
        <w:t xml:space="preserve">表  </w:t>
      </w:r>
      <w:bookmarkStart w:id="616cc3f7-8ab3-4a5b-8e34-3556e18c9502" w:name="unnamed-chunk-4"/>
      <w:r xmlns:w14="http://schemas.microsoft.com/office/word/2010/wordml">
        <w:rPr>
          <w:rFonts/>
          <w:b w:val="true"/>
        </w:rPr>
        <w:fldChar w:fldCharType="begin" w:dirty="true"/>
      </w:r>
      <w:r xmlns:w14="http://schemas.microsoft.com/office/word/2010/wordml">
        <w:rPr>
          <w:rFonts/>
          <w:b w:val="true"/>
        </w:rPr>
        <w:instrText xml:space="preserve" w:dirty="true">SEQ tab \* Arabic</w:instrText>
      </w:r>
      <w:r xmlns:w14="http://schemas.microsoft.com/office/word/2010/wordml">
        <w:rPr>
          <w:rFonts/>
          <w:b w:val="true"/>
        </w:rPr>
        <w:fldChar w:fldCharType="end" w:dirty="true"/>
      </w:r>
      <w:bookmarkEnd w:id="616cc3f7-8ab3-4a5b-8e34-3556e18c9502"/>
      <w:r>
        <w:rPr>
          <w:rFonts/>
          <w:b w:val="true"/>
        </w:rPr>
        <w:t xml:space="preserve">:  </w:t>
      </w:r>
      <w:r>
        <w:t xml:space="preserve">回归结果</w:t>
      </w:r>
    </w:p>
    <w:tbl xmlns:w14="http://schemas.microsoft.com/office/word/2010/wordml">
      <w:tblPr>
        <w:tblLayout w:type="autofit"/>
        <w:jc w:val="center"/>
        <w:tblW w:type="pct" w:w="0"/>
        <w:tblLook w:firstRow="1" w:lastRow="0" w:firstColumn="0" w:lastColumn="0" w:noHBand="0" w:noVBand="1"/>
      </w:tblPr>
      <w:tr>
        <w:trPr>
          <w:cantSplit/>
          <w:trHeight w:val="0" w:hRule="exact"/>
          <w:tblHeader/>
        </w:trPr>
        header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rating</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high.rating</w:t>
            </w:r>
          </w:p>
        </w:tc>
      </w:tr>
      <w:tr>
        <w:trPr>
          <w:cantSplit/>
          <w:trHeight w:val="0" w:hRule="exact"/>
          <w:tblHeader/>
        </w:trPr>
        header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OLS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probit</w:t>
            </w:r>
          </w:p>
        </w:tc>
      </w:tr>
      <w:tr>
        <w:trPr>
          <w:cantSplit/>
          <w:trHeight w:val="0" w:hRule="exact"/>
          <w:tblHeader/>
        </w:trPr>
        header 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w:t>
            </w:r>
          </w:p>
        </w:tc>
      </w:tr>
      <w:tr>
        <w:trPr>
          <w:cantSplit/>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complaints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0.692***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0.682***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privileges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learning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0.249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0.238*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0.164***</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(0.053)</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raises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(0.202)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critical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-0.001</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(0.044)</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advance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-0.062</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(0.042)</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Constant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11.011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11.258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-7.476**</w:t>
            </w:r>
          </w:p>
        </w:tc>
      </w:tr>
      <w:tr>
        <w:trPr>
          <w:cantSplit/>
          <w:trHeight w:val="360" w:hRule="auto"/>
        </w:trPr>
        body14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(11.704)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(7.318)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(3.570)</w:t>
            </w:r>
          </w:p>
        </w:tc>
      </w:tr>
      <w:tr>
        <w:trPr>
          <w:cantSplit/>
          <w:trHeight w:val="360" w:hRule="auto"/>
        </w:trPr>
        body15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Observations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30</w:t>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0.715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0.715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r>
      <w:tr>
        <w:trPr>
          <w:cantSplit/>
          <w:trHeight w:val="360" w:hRule="auto"/>
        </w:trPr>
        body17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Adjusted R2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0.656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0.682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r>
      <w:tr>
        <w:trPr>
          <w:cantSplit/>
          <w:trHeight w:val="360" w:hRule="auto"/>
        </w:trPr>
        footer 1
        <w:tc>
          <w:tcPr>
            <w:gridSpan w:val="4"/>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宋体" w:hAnsi="宋体" w:eastAsia="宋体" w:cs="宋体"/>
                <w:i w:val="false"/>
                <w:b w:val="false"/>
                <w:u w:val="none"/>
                <w:sz w:val="18"/>
                <w:szCs w:val="18"/>
                <w:color w:val="000000"/>
              </w:rPr>
              <w:t xml:space="preserve">注：括号内为回归系数对应的t统计量。其中***、**和*分别代表系数在1%、5%和10%的置信水平下显著。</w:t>
            </w:r>
          </w:p>
        </w:tc>
      </w:tr>
    </w:tbl>
    <w:bookmarkEnd w:id="34"/>
    <w:bookmarkStart w:id="35" w:name="二进一步分析"/>
    <w:p>
      <w:pPr>
        <w:pStyle w:val="3"/>
      </w:pPr>
      <w:r>
        <w:rPr>
          <w:bCs/>
          <w:b/>
        </w:rPr>
        <w:t xml:space="preserve">（二）进一步分析</w:t>
      </w:r>
    </w:p>
    <w:p>
      <w:pPr>
        <w:pStyle w:val="FirstParagraph"/>
      </w:pPr>
      <w:r>
        <w:t xml:space="preserve">虽然我们已经证实了ETF通过降低交易成本、缓解卖空限制和激励分析师挖掘信息来提升成分股的定价效率，但ETF持股比例由两种因素决定，一是ETF申购赎回活动，二是ETF跟踪指数成分股调整，这两种因素改变都会导致ETF持股发生变化。因此，我们将ETF持股比例分解为申购赎回相关的ETF持股比例和指数调整相关的ETF持股比例。</w:t>
      </w:r>
    </w:p>
    <w:p>
      <w:pPr>
        <w:pStyle w:val="TableCaption"/>
      </w:pPr>
      <w:r>
        <w:rPr>
          <w:rFonts/>
          <w:b w:val="true"/>
        </w:rPr>
        <w:t xml:space="preserve">表  </w:t>
      </w:r>
      <w:bookmarkStart w:id="b09ee1c0-3da3-41a3-8283-0468ac9781a7" w:name="unnamed-chunk-5"/>
      <w:r xmlns:w14="http://schemas.microsoft.com/office/word/2010/wordml">
        <w:rPr>
          <w:rFonts/>
          <w:b w:val="true"/>
        </w:rPr>
        <w:fldChar w:fldCharType="begin" w:dirty="true"/>
      </w:r>
      <w:r xmlns:w14="http://schemas.microsoft.com/office/word/2010/wordml">
        <w:rPr>
          <w:rFonts/>
          <w:b w:val="true"/>
        </w:rPr>
        <w:instrText xml:space="preserve" w:dirty="true">SEQ tab \* Arabic</w:instrText>
      </w:r>
      <w:r xmlns:w14="http://schemas.microsoft.com/office/word/2010/wordml">
        <w:rPr>
          <w:rFonts/>
          <w:b w:val="true"/>
        </w:rPr>
        <w:fldChar w:fldCharType="end" w:dirty="true"/>
      </w:r>
      <w:bookmarkEnd w:id="b09ee1c0-3da3-41a3-8283-0468ac9781a7"/>
      <w:r>
        <w:rPr>
          <w:rFonts/>
          <w:b w:val="true"/>
        </w:rPr>
        <w:t xml:space="preserve">:  </w:t>
      </w:r>
      <w:r>
        <w:t xml:space="preserve">回归结果</w:t>
      </w:r>
    </w:p>
    <w:tbl xmlns:w14="http://schemas.microsoft.com/office/word/2010/wordml">
      <w:tblPr>
        <w:tblLayout w:type="autofit"/>
        <w:jc w:val="center"/>
        <w:tblW w:type="pct" w:w="0"/>
        <w:tblLook w:firstRow="1" w:lastRow="0" w:firstColumn="0" w:lastColumn="0" w:noHBand="0" w:noVBand="1"/>
      </w:tblPr>
      <w:tr>
        <w:trPr>
          <w:cantSplit/>
          <w:trHeight w:val="0" w:hRule="exact"/>
          <w:tblHeader/>
        </w:trPr>
        header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gridSpan w:val="7"/>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diffs</w:t>
            </w:r>
          </w:p>
        </w:tc>
      </w:tr>
      <w:tr>
        <w:trPr>
          <w:cantSplit/>
          <w:trHeight w:val="0" w:hRule="exact"/>
          <w:tblHeader/>
        </w:trPr>
        header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r>
      <w:tr>
        <w:trPr>
          <w:cantSplit/>
          <w:trHeight w:val="0" w:hRule="exact"/>
          <w:tblHeader/>
        </w:trPr>
        header 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(7)</w:t>
            </w:r>
          </w:p>
        </w:tc>
      </w:tr>
      <w:tr>
        <w:trPr>
          <w:cantSplit/>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MCISI</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-0.097***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-0.097***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-0.090***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-0.106***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-0.106***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-0.113***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-0.117***</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(-3.713)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(-3.639)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(-3.477)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(-4.082)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(-4.078)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(-4.260)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(-3.370)</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RiskPremiu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0.040</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(0.860)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(1.273)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(1.246)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(1.251)</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SMB1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-0.216***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-0.044</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(-5.618)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(-1.582)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(-0.503)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(-0.498)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(-0.477)</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HML1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0.246***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0.301***</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(3.402)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(3.400)</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RMW1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-0.020</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(0.606)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(-0.145)</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CMA1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-0.161</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(-1.291)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(-1.288)</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mon52tl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-0.007</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(-0.168)</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Constant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-0.011***</w:t>
            </w:r>
          </w:p>
        </w:tc>
      </w:tr>
      <w:tr>
        <w:trPr>
          <w:cantSplit/>
          <w:trHeight w:val="360" w:hRule="auto"/>
        </w:trPr>
        body16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(-11.067)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(-11.013)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(-11.151)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(-11.487)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(-11.409)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(-11.419)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(-11.406)</w:t>
            </w:r>
          </w:p>
        </w:tc>
      </w:tr>
      <w:tr>
        <w:trPr>
          <w:cantSplit/>
          <w:trHeight w:val="360" w:hRule="auto"/>
        </w:trPr>
        body17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Observations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382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382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382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382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382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382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382</w:t>
            </w:r>
          </w:p>
        </w:tc>
      </w:tr>
      <w:tr>
        <w:trPr>
          <w:cantSplit/>
          <w:trHeight w:val="360" w:hRule="auto"/>
        </w:trPr>
        body18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R2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0.035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0.035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0.109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0.131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0.132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0.136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0.136</w:t>
            </w:r>
          </w:p>
        </w:tc>
      </w:tr>
      <w:tr>
        <w:trPr>
          <w:cantSplit/>
          <w:trHeight w:val="360" w:hRule="auto"/>
        </w:trPr>
        footer 1
        <w:tc>
          <w:tcPr>
            <w:gridSpan w:val="8"/>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宋体" w:hAnsi="宋体" w:eastAsia="宋体" w:cs="宋体"/>
                <w:i w:val="false"/>
                <w:b w:val="false"/>
                <w:u w:val="none"/>
                <w:sz w:val="18"/>
                <w:szCs w:val="18"/>
                <w:color w:val="000000"/>
              </w:rPr>
              <w:t xml:space="preserve">注：括号内为回归系数对应的t统计量。其中***、**和*分别代表系数在1%、5%和10%的置信水平下显著。</w:t>
            </w:r>
          </w:p>
        </w:tc>
      </w:tr>
    </w:tbl>
    <w:p>
      <w:pPr>
        <w:jc w:val="center"/>
        <w:pStyle w:val="a0"/>
      </w:pPr>
      <w:r>
        <w:rPr/>
        <w:drawing>
          <wp:inline distT="0" distB="0" distL="0" distR="0">
            <wp:extent cx="4572000" cy="36576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r:embed="rId54"/>
                    <a:srcRect/>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图 </w:t>
      </w:r>
      <w:bookmarkStart w:id="eec1ad0f-df44-4dee-908b-ef2662a29edc" w:name="unnamed-chunk-6"/>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eec1ad0f-df44-4dee-908b-ef2662a29edc"/>
      <w:r>
        <w:rPr>
          <w:rFonts/>
          <w:b w:val="true"/>
        </w:rPr>
        <w:t xml:space="preserve">: </w:t>
      </w:r>
      <w:r>
        <w:t xml:space="preserve">结构方程</w:t>
      </w:r>
    </w:p>
    <w:p>
      <w:pPr>
        <w:sectPr>
          <w:type w:val="continuous"/>
          <w:footerReference r:id="rId9" w:type="default"/>
          <w:cols/>
          <w:pgSz w:h="16848" w:w="11952" w:orient="portrait"/>
          <w:pgMar w:header="0" w:bottom="1440" w:top="1440" w:right="1800" w:left="1800" w:footer="0" w:gutter="0"/>
        </w:sectPr>
      </w:pPr>
    </w:p>
    <w:p>
      <w:pPr>
        <w:pStyle w:val="TableCaption"/>
      </w:pPr>
      <w:r>
        <w:rPr>
          <w:rFonts/>
          <w:b w:val="true"/>
        </w:rPr>
        <w:t xml:space="preserve">表  </w:t>
      </w:r>
      <w:bookmarkStart w:id="b8a4897d-41f8-42ce-a769-84179dfddf29" w:name="unnamed-chunk-7"/>
      <w:r xmlns:w14="http://schemas.microsoft.com/office/word/2010/wordml">
        <w:rPr>
          <w:rFonts/>
          <w:b w:val="true"/>
        </w:rPr>
        <w:fldChar w:fldCharType="begin" w:dirty="true"/>
      </w:r>
      <w:r xmlns:w14="http://schemas.microsoft.com/office/word/2010/wordml">
        <w:rPr>
          <w:rFonts/>
          <w:b w:val="true"/>
        </w:rPr>
        <w:instrText xml:space="preserve" w:dirty="true">SEQ tab \* Arabic</w:instrText>
      </w:r>
      <w:r xmlns:w14="http://schemas.microsoft.com/office/word/2010/wordml">
        <w:rPr>
          <w:rFonts/>
          <w:b w:val="true"/>
        </w:rPr>
        <w:fldChar w:fldCharType="end" w:dirty="true"/>
      </w:r>
      <w:bookmarkEnd w:id="b8a4897d-41f8-42ce-a769-84179dfddf29"/>
      <w:r>
        <w:rPr>
          <w:rFonts/>
          <w:b w:val="true"/>
        </w:rPr>
        <w:t xml:space="preserve">:  </w:t>
      </w:r>
      <w:r>
        <w:t xml:space="preserve">回归结果</w:t>
      </w:r>
    </w:p>
    <w:tbl xmlns:w14="http://schemas.microsoft.com/office/word/2010/wordml">
      <w:tblPr>
        <w:tblLayout w:type="autofit"/>
        <w:jc w:val="center"/>
        <w:tblW w:type="pct" w:w="0"/>
        <w:tblLook w:firstRow="1" w:lastRow="0" w:firstColumn="0" w:lastColumn="0" w:noHBand="0" w:noVBand="1"/>
      </w:tblPr>
      <w:tr>
        <w:trPr>
          <w:cantSplit/>
          <w:trHeight w:val="0" w:hRule="exact"/>
          <w:tblHeader/>
        </w:trPr>
        header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Illiqd</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Deay_r</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Delay_coef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NoiseTrad1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spread</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Deay_r</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Delay_coef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NoiseTrad1</w:t>
            </w:r>
          </w:p>
        </w:tc>
      </w:tr>
      <w:tr>
        <w:trPr>
          <w:cantSplit/>
          <w:trHeight w:val="0" w:hRule="exact"/>
          <w:tblHeader/>
        </w:trPr>
        header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r>
      <w:tr>
        <w:trPr>
          <w:cantSplit/>
          <w:trHeight w:val="0" w:hRule="exact"/>
          <w:tblHeader/>
        </w:trPr>
        header 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(8)</w:t>
            </w:r>
          </w:p>
        </w:tc>
      </w:tr>
      <w:tr>
        <w:trPr>
          <w:cantSplit/>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Illiqd</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0.023**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0.043**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0.112***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(2.572)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(2.141)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(5.558)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spread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0.905***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1.583***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0.341***</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(41.574)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(31.393)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(8.137)</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ETFownership_1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-0.526***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-0.610**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-2.185***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-0.957*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-0.224***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-0.419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-1.854***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-0.947*</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(-6.406)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(-2.342)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(-3.634)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(-1.951)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(-6.800)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(-1.621)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(-1.932)</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Indownership_1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-0.005</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(-0.676)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(-4.820)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(-4.205)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(-0.488)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(0.721)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(-4.939)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(-4.288)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(-0.508)</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lnMVE_1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0.006</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(-22.921)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(-14.827)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(-15.913)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(1.744)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(-6.170)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(-14.407)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(-15.603)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(1.415)</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BM_1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0.050***</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(-14.629)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(-10.665)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(-6.580)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(4.337)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(-25.599)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(-7.884)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(-4.462)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(4.692)</w:t>
            </w:r>
          </w:p>
        </w:tc>
      </w:tr>
      <w:tr>
        <w:trPr>
          <w:cantSplit/>
          <w:trHeight w:val="360" w:hRule="auto"/>
        </w:trPr>
        body13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PE_1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0.001***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0.001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0.006**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-0.0003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0.001***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-0.0001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0.005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-0.001</w:t>
            </w:r>
          </w:p>
        </w:tc>
      </w:tr>
      <w:tr>
        <w:trPr>
          <w:cantSplit/>
          <w:trHeight w:val="360" w:hRule="auto"/>
        </w:trPr>
        body14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Observations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133,092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133,092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133,092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95,923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133,092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133,092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133,092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95,923</w:t>
            </w:r>
          </w:p>
        </w:tc>
      </w:tr>
      <w:tr>
        <w:trPr>
          <w:cantSplit/>
          <w:trHeight w:val="360" w:hRule="auto"/>
        </w:trPr>
        body15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R2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0.014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0.003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0.005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0.001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0.199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0.016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0.012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0.001</w:t>
            </w:r>
          </w:p>
        </w:tc>
      </w:tr>
      <w:tr>
        <w:trPr>
          <w:cantSplit/>
          <w:trHeight w:val="360" w:hRule="auto"/>
        </w:trPr>
        footer 1
        <w:tc>
          <w:tcPr>
            <w:gridSpan w:val="9"/>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宋体" w:hAnsi="宋体" w:eastAsia="宋体" w:cs="宋体"/>
                <w:i w:val="false"/>
                <w:b w:val="false"/>
                <w:u w:val="none"/>
                <w:sz w:val="18"/>
                <w:szCs w:val="18"/>
                <w:color w:val="000000"/>
              </w:rPr>
              <w:t xml:space="preserve">注：括号内为回归系数对应的t统计量。其中***、**和*分别代表系数在1%、5%和10%的置信水平下显著。</w:t>
            </w:r>
          </w:p>
        </w:tc>
      </w:tr>
    </w:tbl>
    <w:p>
      <w:pPr>
        <w:sectPr>
          <w:pgSz w:h="11906" w:w="16838" w:orient="landscape"/>
          <w:footerReference r:id="rId9" w:type="default"/>
          <w:type w:val="oddPage"/>
          <w:cols/>
          <w:pgMar w:header="0" w:bottom="1440" w:top="1440" w:right="1800" w:left="1800" w:footer="0" w:gutter="0"/>
        </w:sectPr>
      </w:pPr>
    </w:p>
    <w:bookmarkEnd w:id="35"/>
    <w:bookmarkEnd w:id="36"/>
    <w:bookmarkStart w:id="37" w:name="六结论"/>
    <w:p>
      <w:pPr>
        <w:pStyle w:val="2"/>
      </w:pPr>
      <w:r>
        <w:rPr>
          <w:bCs/>
          <w:b/>
        </w:rPr>
        <w:t xml:space="preserve">六、结论</w:t>
      </w:r>
    </w:p>
    <w:p>
      <w:pPr>
        <w:pStyle w:val="FirstParagraph"/>
      </w:pPr>
      <w:r>
        <w:t xml:space="preserve">本文用2011—2019年中国A股市场ETF成分股数据，研究了ETF持股对股票定价效率的影响，并对定价效率的影响渠道进行分析。文中重点论证了ETF持股比例对股价反映信息的准确性和及时性的影响，提出了交易成本、卖空限制和信息挖掘三种影响定价效率的中介渠道。进一步将ETF持股分解为指数成分股调整相关的ETF持股和申购赎回相关的ETF持股，检验了指数调整和申购赎回与定价效率及三种影响渠道的关系。</w:t>
      </w:r>
    </w:p>
    <w:p>
      <w:r>
        <w:br w:type="page"/>
      </w:r>
    </w:p>
    <w:bookmarkEnd w:id="37"/>
    <w:bookmarkStart w:id="55" w:name="参考文献"/>
    <w:p>
      <w:pPr>
        <w:pStyle w:val="2"/>
      </w:pPr>
      <w:r>
        <w:t xml:space="preserve">参考文献</w:t>
      </w:r>
    </w:p>
    <w:bookmarkStart w:id="54" w:name="refs"/>
    <w:bookmarkStart w:id="39" w:name="ref-atmaz2018"/>
    <w:p>
      <w:pPr>
        <w:pStyle w:val="a"/>
      </w:pPr>
      <w:r>
        <w:t xml:space="preserve">Atmaz A, S Basak, 2018. Belief dispersion in the stock market[J/OL]. The Journal of Finance, 73(3): 12251279.</w:t>
      </w:r>
      <w:r>
        <w:t xml:space="preserve"> </w:t>
      </w:r>
      <w:hyperlink r:id="rId38">
        <w:r>
          <w:rPr>
            <w:rStyle w:val="ac"/>
          </w:rPr>
          <w:t xml:space="preserve">https://doi.org/10.1111/jofi.12618</w:t>
        </w:r>
      </w:hyperlink>
      <w:r>
        <w:t xml:space="preserve">.</w:t>
      </w:r>
    </w:p>
    <w:bookmarkEnd w:id="39"/>
    <w:bookmarkStart w:id="42" w:name="ref-barberis2018"/>
    <w:p>
      <w:pPr>
        <w:pStyle w:val="a"/>
      </w:pPr>
      <w:r>
        <w:t xml:space="preserve">Barberis N, 2018. Chapter 2 - Psychology-Based Models of Asset Prices and Trading Volume[M/OL]. North-Holland: 79–175.</w:t>
      </w:r>
      <w:r>
        <w:t xml:space="preserve"> </w:t>
      </w:r>
      <w:hyperlink r:id="rId40">
        <w:r>
          <w:rPr>
            <w:rStyle w:val="ac"/>
          </w:rPr>
          <w:t xml:space="preserve">https://www.sciencedirect.com/science/article/pii/S2352239918300010</w:t>
        </w:r>
      </w:hyperlink>
      <w:r>
        <w:t xml:space="preserve">. DOI:</w:t>
      </w:r>
      <w:hyperlink r:id="rId41">
        <w:r>
          <w:rPr>
            <w:rStyle w:val="ac"/>
          </w:rPr>
          <w:t xml:space="preserve">https://doi.org/10.1016/bs.hesbe.2018.07.001</w:t>
        </w:r>
      </w:hyperlink>
      <w:r>
        <w:t xml:space="preserve">.</w:t>
      </w:r>
    </w:p>
    <w:bookmarkEnd w:id="42"/>
    <w:bookmarkStart w:id="44" w:name="ref-cochrane2017"/>
    <w:p>
      <w:pPr>
        <w:pStyle w:val="a"/>
      </w:pPr>
      <w:r>
        <w:t xml:space="preserve">Cochrane J H, 2017. Macro-finance[J/OL]. Review of Finance, 21(3): 945985.</w:t>
      </w:r>
      <w:r>
        <w:t xml:space="preserve"> </w:t>
      </w:r>
      <w:hyperlink r:id="rId43">
        <w:r>
          <w:rPr>
            <w:rStyle w:val="ac"/>
          </w:rPr>
          <w:t xml:space="preserve">https://doi.org/10.1093/rof/rfx010</w:t>
        </w:r>
      </w:hyperlink>
      <w:r>
        <w:t xml:space="preserve">.</w:t>
      </w:r>
    </w:p>
    <w:bookmarkEnd w:id="44"/>
    <w:bookmarkStart w:id="46" w:name="ref-conrad1994"/>
    <w:p>
      <w:pPr>
        <w:pStyle w:val="a"/>
      </w:pPr>
      <w:r>
        <w:t xml:space="preserve">Conrad J S, A Hameed, C Niden, 1994. Volume and autocovariances in short-horizon individual security returns[J/OL]. The Journal of Finance, 49(4): 13051329.</w:t>
      </w:r>
      <w:r>
        <w:t xml:space="preserve"> </w:t>
      </w:r>
      <w:hyperlink r:id="rId45">
        <w:r>
          <w:rPr>
            <w:rStyle w:val="ac"/>
          </w:rPr>
          <w:t xml:space="preserve">https://doi.org/10.1111/j.1540-6261.1994.tb02455.x</w:t>
        </w:r>
      </w:hyperlink>
      <w:r>
        <w:t xml:space="preserve">.</w:t>
      </w:r>
    </w:p>
    <w:bookmarkEnd w:id="46"/>
    <w:bookmarkStart w:id="48" w:name="ref-han2021"/>
    <w:p>
      <w:pPr>
        <w:pStyle w:val="a"/>
      </w:pPr>
      <w:r>
        <w:t xml:space="preserve">Han Y, D Huang, D Huang, 等, 2021. Expected return, volume, and mispricing[J/OL]. Journal of Financial Economics.</w:t>
      </w:r>
      <w:r>
        <w:t xml:space="preserve"> </w:t>
      </w:r>
      <w:hyperlink r:id="rId47">
        <w:r>
          <w:rPr>
            <w:rStyle w:val="ac"/>
          </w:rPr>
          <w:t xml:space="preserve">https://doi.org/10.1016/j.jfineco.2021.05.014</w:t>
        </w:r>
      </w:hyperlink>
      <w:r>
        <w:t xml:space="preserve">.</w:t>
      </w:r>
    </w:p>
    <w:bookmarkEnd w:id="48"/>
    <w:bookmarkStart w:id="51" w:name="ref-mitchell2012"/>
    <w:p>
      <w:pPr>
        <w:pStyle w:val="a"/>
      </w:pPr>
      <w:r>
        <w:t xml:space="preserve">Mitchell M, T Pulvino, 2012. Arbitrage crashes and the speed of capital[J/OL]. Journal of Financial Economics, 104(3): 469–490.</w:t>
      </w:r>
      <w:r>
        <w:t xml:space="preserve"> </w:t>
      </w:r>
      <w:hyperlink r:id="rId49">
        <w:r>
          <w:rPr>
            <w:rStyle w:val="ac"/>
          </w:rPr>
          <w:t xml:space="preserve">https://www.sciencedirect.com/science/article/pii/S0304405X11001991</w:t>
        </w:r>
      </w:hyperlink>
      <w:r>
        <w:t xml:space="preserve">. DOI:</w:t>
      </w:r>
      <w:hyperlink r:id="rId50">
        <w:r>
          <w:rPr>
            <w:rStyle w:val="ac"/>
          </w:rPr>
          <w:t xml:space="preserve">https://doi.org/10.1016/j.jfineco.2011.09.002</w:t>
        </w:r>
      </w:hyperlink>
      <w:r>
        <w:t xml:space="preserve">.</w:t>
      </w:r>
    </w:p>
    <w:bookmarkEnd w:id="51"/>
    <w:bookmarkStart w:id="53" w:name="ref-novy-marx2015"/>
    <w:p>
      <w:pPr>
        <w:pStyle w:val="a"/>
      </w:pPr>
      <w:r>
        <w:t xml:space="preserve">Novy-Marx R, M Velikov, 2015. A Taxonomy of Anomalies and Their Trading Costs[J/OL]. The Review of Financial Studies, 29(1): 104–147.</w:t>
      </w:r>
      <w:r>
        <w:t xml:space="preserve"> </w:t>
      </w:r>
      <w:hyperlink r:id="rId52">
        <w:r>
          <w:rPr>
            <w:rStyle w:val="ac"/>
          </w:rPr>
          <w:t xml:space="preserve">https://doi.org/10.1093/rfs/hhv063</w:t>
        </w:r>
      </w:hyperlink>
      <w:r>
        <w:t xml:space="preserve">. DOI:</w:t>
      </w:r>
      <w:hyperlink r:id="rId52">
        <w:r>
          <w:rPr>
            <w:rStyle w:val="ac"/>
          </w:rPr>
          <w:t xml:space="preserve">10.1093/rfs/hhv063</w:t>
        </w:r>
      </w:hyperlink>
      <w:r>
        <w:t xml:space="preserve">.</w:t>
      </w:r>
    </w:p>
    <w:bookmarkEnd w:id="53"/>
    <w:bookmarkEnd w:id="54"/>
    <w:p>
      <w:r>
        <w:br w:type="page"/>
      </w:r>
    </w:p>
    <w:bookmarkEnd w:id="55"/>
    <w:bookmarkStart w:id="56" w:name="X3f1b68debdfaa4c200761b11dd891684fe603e1"/>
    <w:p>
      <w:pPr>
        <w:pStyle w:val="2"/>
      </w:pPr>
      <w:r>
        <w:t xml:space="preserve">Does ETF Ownership Increase Pricing Efficiency—— Evidence from China A Share Market</w:t>
      </w:r>
    </w:p>
    <w:p>
      <w:pPr>
        <w:pStyle w:val="FirstParagraph"/>
      </w:pPr>
      <w:r>
        <w:rPr>
          <w:bCs/>
          <w:b/>
        </w:rPr>
        <w:t xml:space="preserve">Abstract:</w:t>
      </w:r>
      <w:r>
        <w:t xml:space="preserve">Based on the stock index fund (ETF) component data of the A-share market from 2011 to 2019, using the participation of noise traders and the information delay of stock price reflection as proxies for pricing efficiency, the panel fixed effect model is used to study the impact of ETF ownership on stock pricing efficiency, and the mechanism is analyzed. The results show that: first, the higher the proportion of shares held by ETF, the more timely and accurate the stock price information is, that is, the higher the pricing efficiency is. Second, ETF holdings mainly affect stock pricing efficiency through three mechanisms: transaction costs, short selling restrictions and information mining. The higher the proportion of ETF holdings, the more conducive it is to reduce transaction costs and short selling restrictions, and attract more analysts to mine information. Third, ETF shareholding ratio is mainly affected by fund subscription and redemption and component stock adjustment. The increase of ETF shareholding ratio related to fund subscription and redemption can improve the information speed and accuracy of stock price reflection, while the increase of ETF shareholding ratio related to component stock adjustment can only improve the information speed of stock price reflection. Therefore, it is suggested that relevant departments should enrich the types of ETF products, guide institutional investors to participate in ETF trading, promote the development of ETF options, improve the ETF short-selling mechanism and regulatory system, and standardize the operation of the ETF market.</w:t>
      </w:r>
    </w:p>
    <w:p>
      <w:pPr>
        <w:pStyle w:val="a1"/>
      </w:pPr>
      <w:r>
        <w:rPr>
          <w:bCs/>
          <w:b/>
        </w:rPr>
        <w:t xml:space="preserve">Key Words:</w:t>
      </w:r>
      <w:r>
        <w:t xml:space="preserve"> </w:t>
      </w:r>
      <w:r>
        <w:t xml:space="preserve">ETF ownership, pricing efficiency, Transaction cost, short-selling restrictions, information mining</w:t>
      </w:r>
    </w:p>
    <w:bookmarkEnd w:id="56"/>
    <w:sectPr>
      <w:pgMar w:header="0" w:bottom="1440" w:top="1440" w:right="1800" w:left="1800" w:footer="0" w:gutter="0"/>
      <w:pgSz w:h="16848" w:w="11952" w:orient="portrait"/>
      <w:type w:val="continuous"/>
      <w:cols/>
      <w:footerReference r:id="rId9"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20865955"/>
      <w:docPartObj>
        <w:docPartGallery w:val="Page Numbers (Bottom of Page)"/>
        <w:docPartUnique/>
      </w:docPartObj>
    </w:sdtPr>
    <w:sdtEndPr/>
    <w:sdtContent>
      <w:p w:rsidR="0044524F" w:rsidRDefault="00415535" w:rsidP="00415535">
        <w:pPr>
          <w:pStyle w:val="ae"/>
        </w:pPr>
        <w:r>
          <w:fldChar w:fldCharType="begin"/>
        </w:r>
        <w:r>
          <w:instrText>PAGE   \* MERGEFORMAT</w:instrText>
        </w:r>
        <w:r>
          <w:fldChar w:fldCharType="separate"/>
        </w:r>
        <w:r w:rsidR="006F75BA" w:rsidRPr="006F75BA">
          <w:rPr>
            <w:noProof/>
            <w:lang w:val="zh-CN" w:eastAsia="zh-CN"/>
          </w:rPr>
          <w:t>6</w:t>
        </w:r>
        <w:r>
          <w:fldChar w:fldCharType="end"/>
        </w:r>
      </w:p>
    </w:sdtContent>
  </w:sdt>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xmlns:w14="http://schemas.microsoft.com/office/word/2010/wordml" w:id="1">
    <w:p>
      <w:pPr>
        <w:pStyle w:val="Normal"/>
        <w:jc w:val="both"/>
        <w:pBdr>
          <w:bottom w:val="none" w:sz="0" w:space="0" w:color="000000"/>
          <w:top w:val="none" w:sz="0" w:space="0" w:color="000000"/>
          <w:left w:val="none" w:sz="0" w:space="0" w:color="000000"/>
          <w:right w:val="none" w:sz="0" w:space="0" w:color="000000"/>
        </w:pBdr>
        <w:spacing w:after="0" w:before="0" w:line="240"/>
        <w:ind w:firstLine="0" w:left="0" w:right="0"/>
      </w:pPr>
      <w:r>
        <w:rPr>
          <w:rFonts/>
          <w:vertAlign w:val="superscript"/>
        </w:rPr>
        <w:footnoteRef/>
      </w:r>
      <w:r>
        <w:rPr>
          <w:rFonts w:ascii="Arial" w:hAnsi="Arial" w:eastAsia="Arial" w:cs="Arial"/>
          <w:i w:val="false"/>
          <w:b w:val="false"/>
          <w:u w:val="none"/>
          <w:sz w:val="16"/>
          <w:szCs w:val="16"/>
          <w:color w:val="000000"/>
        </w:rPr>
        <w:t xml:space="preserve">基金项目：国家自然科学基金面上项目“对国有企业高杠杆的控制权网络解析”（71874145）；国家自然科学基金青年项目“上市公司产品竞争与股票市场定价：机制与实证研究”（71903154）。</w:t>
      </w:r>
    </w:p>
    <w:p>
      <w:pPr>
        <w:pStyle w:val="Normal"/>
        <w:jc w:val="both"/>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作者简介：薛英杰（通讯作者），西南财经大学博士研究生，主要从事金融市场、资产定价研究，联系方式yingjiexuesuwfe@163.com；汪勇，西南财经大学副教授，博士，主要从事公司金融、资产定价研究；尹玉刚，西南财经大学副教授，博士，主要从事公司金融、实证资产定价研究。</w:t>
      </w:r>
    </w:p>
  </w:footnote>
</w:footnotes>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15:restartNumberingAfterBreak="0" w:abstractNumId="0">
    <w:nsid w:val="FFFFFF7C"/>
    <w:multiLevelType w:val="singleLevel"/>
    <w:tmpl w:val="76D07C9A"/>
    <w:lvl w:ilvl="0">
      <w:start w:val="1"/>
      <w:numFmt w:val="decimal"/>
      <w:lvlText w:val="%1."/>
      <w:lvlJc w:val="left"/>
      <w:pPr>
        <w:tabs>
          <w:tab w:pos="2040" w:val="num"/>
        </w:tabs>
        <w:ind w:hanging="360" w:hangingChars="200" w:left="2040" w:leftChars="800"/>
      </w:pPr>
    </w:lvl>
  </w:abstractNum>
  <w:abstractNum w15:restartNumberingAfterBreak="0" w:abstractNumId="1">
    <w:nsid w:val="FFFFFF7D"/>
    <w:multiLevelType w:val="singleLevel"/>
    <w:tmpl w:val="209A22F8"/>
    <w:lvl w:ilvl="0">
      <w:start w:val="1"/>
      <w:numFmt w:val="decimal"/>
      <w:lvlText w:val="%1."/>
      <w:lvlJc w:val="left"/>
      <w:pPr>
        <w:tabs>
          <w:tab w:pos="1620" w:val="num"/>
        </w:tabs>
        <w:ind w:hanging="360" w:hangingChars="200" w:left="1620" w:leftChars="600"/>
      </w:pPr>
    </w:lvl>
  </w:abstractNum>
  <w:abstractNum w15:restartNumberingAfterBreak="0" w:abstractNumId="2">
    <w:nsid w:val="FFFFFF7E"/>
    <w:multiLevelType w:val="singleLevel"/>
    <w:tmpl w:val="66149032"/>
    <w:lvl w:ilvl="0">
      <w:start w:val="1"/>
      <w:numFmt w:val="decimal"/>
      <w:lvlText w:val="%1."/>
      <w:lvlJc w:val="left"/>
      <w:pPr>
        <w:tabs>
          <w:tab w:pos="1200" w:val="num"/>
        </w:tabs>
        <w:ind w:hanging="360" w:hangingChars="200" w:left="1200" w:leftChars="400"/>
      </w:pPr>
    </w:lvl>
  </w:abstractNum>
  <w:abstractNum w15:restartNumberingAfterBreak="0" w:abstractNumId="3">
    <w:nsid w:val="FFFFFF7F"/>
    <w:multiLevelType w:val="singleLevel"/>
    <w:tmpl w:val="4EAA68A0"/>
    <w:lvl w:ilvl="0">
      <w:start w:val="1"/>
      <w:numFmt w:val="decimal"/>
      <w:lvlText w:val="%1."/>
      <w:lvlJc w:val="left"/>
      <w:pPr>
        <w:tabs>
          <w:tab w:pos="780" w:val="num"/>
        </w:tabs>
        <w:ind w:hanging="360" w:hangingChars="200" w:left="780" w:leftChars="200"/>
      </w:pPr>
    </w:lvl>
  </w:abstractNum>
  <w:abstractNum w15:restartNumberingAfterBreak="0" w:abstractNumId="4">
    <w:nsid w:val="FFFFFF80"/>
    <w:multiLevelType w:val="singleLevel"/>
    <w:tmpl w:val="41A85D3A"/>
    <w:lvl w:ilvl="0">
      <w:start w:val="1"/>
      <w:numFmt w:val="bullet"/>
      <w:lvlText w:val=""/>
      <w:lvlJc w:val="left"/>
      <w:pPr>
        <w:tabs>
          <w:tab w:pos="2040" w:val="num"/>
        </w:tabs>
        <w:ind w:hanging="360" w:hangingChars="200" w:left="2040" w:leftChars="800"/>
      </w:pPr>
      <w:rPr>
        <w:rFonts w:ascii="Wingdings" w:hAnsi="Wingdings" w:hint="default"/>
      </w:rPr>
    </w:lvl>
  </w:abstractNum>
  <w:abstractNum w15:restartNumberingAfterBreak="0" w:abstractNumId="5">
    <w:nsid w:val="FFFFFF81"/>
    <w:multiLevelType w:val="singleLevel"/>
    <w:tmpl w:val="B186FB74"/>
    <w:lvl w:ilvl="0">
      <w:start w:val="1"/>
      <w:numFmt w:val="bullet"/>
      <w:lvlText w:val=""/>
      <w:lvlJc w:val="left"/>
      <w:pPr>
        <w:tabs>
          <w:tab w:pos="1620" w:val="num"/>
        </w:tabs>
        <w:ind w:hanging="360" w:hangingChars="200" w:left="1620" w:leftChars="600"/>
      </w:pPr>
      <w:rPr>
        <w:rFonts w:ascii="Wingdings" w:hAnsi="Wingdings" w:hint="default"/>
      </w:rPr>
    </w:lvl>
  </w:abstractNum>
  <w:abstractNum w15:restartNumberingAfterBreak="0" w:abstractNumId="6">
    <w:nsid w:val="FFFFFF82"/>
    <w:multiLevelType w:val="singleLevel"/>
    <w:tmpl w:val="7E82DC94"/>
    <w:lvl w:ilvl="0">
      <w:start w:val="1"/>
      <w:numFmt w:val="bullet"/>
      <w:lvlText w:val=""/>
      <w:lvlJc w:val="left"/>
      <w:pPr>
        <w:tabs>
          <w:tab w:pos="1200" w:val="num"/>
        </w:tabs>
        <w:ind w:hanging="360" w:hangingChars="200" w:left="1200" w:leftChars="400"/>
      </w:pPr>
      <w:rPr>
        <w:rFonts w:ascii="Wingdings" w:hAnsi="Wingdings" w:hint="default"/>
      </w:rPr>
    </w:lvl>
  </w:abstractNum>
  <w:abstractNum w15:restartNumberingAfterBreak="0" w:abstractNumId="7">
    <w:nsid w:val="FFFFFF83"/>
    <w:multiLevelType w:val="singleLevel"/>
    <w:tmpl w:val="FDD45FEE"/>
    <w:lvl w:ilvl="0">
      <w:start w:val="1"/>
      <w:numFmt w:val="bullet"/>
      <w:lvlText w:val=""/>
      <w:lvlJc w:val="left"/>
      <w:pPr>
        <w:tabs>
          <w:tab w:pos="780" w:val="num"/>
        </w:tabs>
        <w:ind w:hanging="360" w:hangingChars="200" w:left="780" w:leftChars="200"/>
      </w:pPr>
      <w:rPr>
        <w:rFonts w:ascii="Wingdings" w:hAnsi="Wingdings" w:hint="default"/>
      </w:rPr>
    </w:lvl>
  </w:abstractNum>
  <w:abstractNum w15:restartNumberingAfterBreak="0" w:abstractNumId="8">
    <w:nsid w:val="FFFFFF88"/>
    <w:multiLevelType w:val="singleLevel"/>
    <w:tmpl w:val="8B4A1ECE"/>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883043D6"/>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0000A990"/>
    <w:multiLevelType w:val="multilevel"/>
    <w:tmpl w:val="B6FC5034"/>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647C334F"/>
    <w:multiLevelType w:val="hybridMultilevel"/>
    <w:tmpl w:val="414EAEA4"/>
    <w:lvl w:ilvl="0" w:tplc="6E1A619A">
      <w:start w:val="1"/>
      <w:numFmt w:val="decimal"/>
      <w:pStyle w:val="a"/>
      <w:lvlText w:val="[%1]"/>
      <w:lvlJc w:val="left"/>
      <w:pPr>
        <w:ind w:hanging="420" w:left="420"/>
      </w:pPr>
      <w:rPr>
        <w:rFonts w:hint="eastAsia"/>
      </w:rPr>
    </w:lvl>
    <w:lvl w:ilvl="1" w:tentative="1" w:tplc="04090019">
      <w:start w:val="1"/>
      <w:numFmt w:val="lowerLetter"/>
      <w:lvlText w:val="%2)"/>
      <w:lvlJc w:val="left"/>
      <w:pPr>
        <w:ind w:hanging="420" w:left="840"/>
      </w:pPr>
    </w:lvl>
    <w:lvl w:ilvl="2" w:tentative="1" w:tplc="0409001B">
      <w:start w:val="1"/>
      <w:numFmt w:val="lowerRoman"/>
      <w:lvlText w:val="%3."/>
      <w:lvlJc w:val="right"/>
      <w:pPr>
        <w:ind w:hanging="420" w:left="1260"/>
      </w:pPr>
    </w:lvl>
    <w:lvl w:ilvl="3" w:tentative="1" w:tplc="0409000F">
      <w:start w:val="1"/>
      <w:numFmt w:val="decimal"/>
      <w:lvlText w:val="%4."/>
      <w:lvlJc w:val="left"/>
      <w:pPr>
        <w:ind w:hanging="420" w:left="1680"/>
      </w:pPr>
    </w:lvl>
    <w:lvl w:ilvl="4" w:tentative="1" w:tplc="04090019">
      <w:start w:val="1"/>
      <w:numFmt w:val="lowerLetter"/>
      <w:lvlText w:val="%5)"/>
      <w:lvlJc w:val="left"/>
      <w:pPr>
        <w:ind w:hanging="420" w:left="2100"/>
      </w:pPr>
    </w:lvl>
    <w:lvl w:ilvl="5" w:tentative="1" w:tplc="0409001B">
      <w:start w:val="1"/>
      <w:numFmt w:val="lowerRoman"/>
      <w:lvlText w:val="%6."/>
      <w:lvlJc w:val="right"/>
      <w:pPr>
        <w:ind w:hanging="420" w:left="2520"/>
      </w:pPr>
    </w:lvl>
    <w:lvl w:ilvl="6" w:tentative="1" w:tplc="0409000F">
      <w:start w:val="1"/>
      <w:numFmt w:val="decimal"/>
      <w:lvlText w:val="%7."/>
      <w:lvlJc w:val="left"/>
      <w:pPr>
        <w:ind w:hanging="420" w:left="2940"/>
      </w:pPr>
    </w:lvl>
    <w:lvl w:ilvl="7" w:tentative="1" w:tplc="04090019">
      <w:start w:val="1"/>
      <w:numFmt w:val="lowerLetter"/>
      <w:lvlText w:val="%8)"/>
      <w:lvlJc w:val="left"/>
      <w:pPr>
        <w:ind w:hanging="420" w:left="3360"/>
      </w:pPr>
    </w:lvl>
    <w:lvl w:ilvl="8" w:tentative="1" w:tplc="0409001B">
      <w:start w:val="1"/>
      <w:numFmt w:val="lowerRoman"/>
      <w:lvlText w:val="%9."/>
      <w:lvlJc w:val="right"/>
      <w:pPr>
        <w:ind w:hanging="420" w:left="37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 w:numId="12">
    <w:abstractNumId w:val="1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Right/>
    <m:intLim m:val="subSup"/>
    <m:naryLim m:val="undOvr"/>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cstheme="minorBidi" w:eastAsiaTheme="minorEastAsia" w:hAnsiTheme="minorHAnsi"/>
        <w:sz w:val="21"/>
        <w:szCs w:val="21"/>
        <w:lang w:bidi="ar-SA" w:eastAsia="en-US" w:val="en-US"/>
      </w:rPr>
    </w:rPrDefault>
    <w:pPrDefault>
      <w:pPr>
        <w:spacing w:after="200"/>
        <w:jc w:val="center"/>
      </w:pPr>
    </w:pPrDefault>
  </w:docDefaults>
  <w:latentStyles w:count="371"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a0" w:type="paragraph">
    <w:name w:val="Normal"/>
    <w:qFormat/>
    <w:rsid w:val="002A605C"/>
  </w:style>
  <w:style w:styleId="1" w:type="paragraph">
    <w:name w:val="heading 1"/>
    <w:basedOn w:val="a0"/>
    <w:next w:val="a1"/>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2" w:type="paragraph">
    <w:name w:val="heading 2"/>
    <w:basedOn w:val="a0"/>
    <w:next w:val="a1"/>
    <w:uiPriority w:val="9"/>
    <w:unhideWhenUsed/>
    <w:qFormat/>
    <w:rsid w:val="002D08C4"/>
    <w:pPr>
      <w:keepNext/>
      <w:keepLines/>
      <w:spacing w:after="0" w:before="600" w:line="360" w:lineRule="auto"/>
      <w:outlineLvl w:val="1"/>
    </w:pPr>
    <w:rPr>
      <w:rFonts w:ascii="Times New Roman" w:cstheme="majorBidi" w:eastAsiaTheme="majorEastAsia" w:hAnsi="Times New Roman"/>
      <w:b/>
      <w:bCs/>
      <w:sz w:val="28"/>
      <w:szCs w:val="28"/>
    </w:rPr>
  </w:style>
  <w:style w:styleId="3" w:type="paragraph">
    <w:name w:val="heading 3"/>
    <w:basedOn w:val="a0"/>
    <w:next w:val="a1"/>
    <w:uiPriority w:val="9"/>
    <w:unhideWhenUsed/>
    <w:qFormat/>
    <w:rsid w:val="008207DB"/>
    <w:pPr>
      <w:keepNext/>
      <w:keepLines/>
      <w:spacing w:after="0" w:before="200"/>
      <w:jc w:val="left"/>
      <w:outlineLvl w:val="2"/>
    </w:pPr>
    <w:rPr>
      <w:rFonts w:ascii="Times New Roman" w:cstheme="majorBidi" w:eastAsia="宋体" w:hAnsi="Times New Roman"/>
      <w:b/>
      <w:bCs/>
    </w:rPr>
  </w:style>
  <w:style w:styleId="4" w:type="paragraph">
    <w:name w:val="heading 4"/>
    <w:basedOn w:val="a0"/>
    <w:next w:val="a1"/>
    <w:uiPriority w:val="9"/>
    <w:unhideWhenUsed/>
    <w:qFormat/>
    <w:rsid w:val="008207DB"/>
    <w:pPr>
      <w:keepNext/>
      <w:keepLines/>
      <w:spacing w:after="0" w:before="200"/>
      <w:jc w:val="left"/>
      <w:outlineLvl w:val="3"/>
    </w:pPr>
    <w:rPr>
      <w:rFonts w:ascii="Times New Roman" w:cstheme="majorBidi" w:eastAsia="宋体" w:hAnsi="Times New Roman"/>
      <w:b/>
      <w:bCs/>
    </w:rPr>
  </w:style>
  <w:style w:styleId="5" w:type="paragraph">
    <w:name w:val="heading 5"/>
    <w:basedOn w:val="a0"/>
    <w:next w:val="a1"/>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6" w:type="paragraph">
    <w:name w:val="heading 6"/>
    <w:basedOn w:val="a0"/>
    <w:next w:val="a1"/>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7" w:type="paragraph">
    <w:name w:val="heading 7"/>
    <w:basedOn w:val="a0"/>
    <w:next w:val="a1"/>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8" w:type="paragraph">
    <w:name w:val="heading 8"/>
    <w:basedOn w:val="a0"/>
    <w:next w:val="a1"/>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9" w:type="paragraph">
    <w:name w:val="heading 9"/>
    <w:basedOn w:val="a0"/>
    <w:next w:val="a1"/>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2" w:type="character">
    <w:name w:val="Default Paragraph Font"/>
    <w:uiPriority w:val="1"/>
    <w:semiHidden/>
    <w:unhideWhenUsed/>
  </w:style>
  <w:style w:default="1" w:styleId="a3" w:type="table">
    <w:name w:val="Normal Table"/>
    <w:uiPriority w:val="99"/>
    <w:semiHidden/>
    <w:unhideWhenUsed/>
    <w:tblPr>
      <w:tblInd w:type="dxa" w:w="0"/>
      <w:tblCellMar>
        <w:top w:type="dxa" w:w="0"/>
        <w:left w:type="dxa" w:w="108"/>
        <w:bottom w:type="dxa" w:w="0"/>
        <w:right w:type="dxa" w:w="108"/>
      </w:tblCellMar>
    </w:tblPr>
  </w:style>
  <w:style w:default="1" w:styleId="a4" w:type="numbering">
    <w:name w:val="No List"/>
    <w:uiPriority w:val="99"/>
    <w:semiHidden/>
    <w:unhideWhenUsed/>
  </w:style>
  <w:style w:styleId="a1" w:type="paragraph">
    <w:name w:val="Body Text"/>
    <w:basedOn w:val="a0"/>
    <w:link w:val="Char"/>
    <w:qFormat/>
    <w:rsid w:val="00340917"/>
    <w:pPr>
      <w:spacing w:after="180" w:before="180" w:line="360" w:lineRule="auto"/>
      <w:ind w:firstLine="200" w:firstLineChars="200"/>
      <w:jc w:val="both"/>
    </w:pPr>
    <w:rPr>
      <w:rFonts w:ascii="Times New Roman" w:eastAsia="宋体" w:hAnsi="Times New Roman"/>
    </w:rPr>
  </w:style>
  <w:style w:customStyle="1" w:styleId="FirstParagraph" w:type="paragraph">
    <w:name w:val="First Paragraph"/>
    <w:basedOn w:val="a1"/>
    <w:next w:val="a1"/>
    <w:qFormat/>
    <w:rsid w:val="006D7E81"/>
  </w:style>
  <w:style w:customStyle="1" w:styleId="Compact" w:type="paragraph">
    <w:name w:val="Compact"/>
    <w:basedOn w:val="a1"/>
    <w:autoRedefine/>
    <w:qFormat/>
    <w:rsid w:val="00340917"/>
    <w:pPr>
      <w:spacing w:after="36" w:before="36" w:line="240" w:lineRule="auto"/>
      <w:ind w:firstLine="360"/>
      <w:textAlignment w:val="center"/>
    </w:pPr>
    <w:rPr>
      <w:sz w:val="18"/>
      <w:szCs w:val="20"/>
      <w:lang w:eastAsia="zh-CN"/>
    </w:rPr>
  </w:style>
  <w:style w:styleId="a5" w:type="paragraph">
    <w:name w:val="Title"/>
    <w:basedOn w:val="a0"/>
    <w:next w:val="a1"/>
    <w:qFormat/>
    <w:rsid w:val="00F06D30"/>
    <w:pPr>
      <w:keepNext/>
      <w:keepLines/>
      <w:spacing w:after="120" w:before="240"/>
    </w:pPr>
    <w:rPr>
      <w:rFonts w:ascii="Times New Roman" w:cstheme="majorBidi" w:eastAsia="宋体" w:hAnsi="Times New Roman"/>
      <w:b/>
      <w:bCs/>
      <w:sz w:val="44"/>
      <w:szCs w:val="36"/>
    </w:rPr>
  </w:style>
  <w:style w:styleId="a6" w:type="paragraph">
    <w:name w:val="Subtitle"/>
    <w:basedOn w:val="a5"/>
    <w:next w:val="a1"/>
    <w:qFormat/>
    <w:rsid w:val="00F06D30"/>
    <w:pPr>
      <w:spacing w:after="600"/>
    </w:pPr>
    <w:rPr>
      <w:sz w:val="28"/>
      <w:szCs w:val="30"/>
    </w:rPr>
  </w:style>
  <w:style w:customStyle="1" w:styleId="Author" w:type="paragraph">
    <w:name w:val="Author"/>
    <w:next w:val="a1"/>
    <w:qFormat/>
    <w:rsid w:val="00167045"/>
    <w:pPr>
      <w:keepNext/>
      <w:keepLines/>
    </w:pPr>
    <w:rPr>
      <w:rFonts w:eastAsia="宋体"/>
    </w:rPr>
  </w:style>
  <w:style w:styleId="a7" w:type="paragraph">
    <w:name w:val="Date"/>
    <w:next w:val="a1"/>
    <w:qFormat/>
    <w:pPr>
      <w:keepNext/>
      <w:keepLines/>
    </w:pPr>
  </w:style>
  <w:style w:customStyle="1" w:styleId="Abstract" w:type="paragraph">
    <w:name w:val="Abstract"/>
    <w:basedOn w:val="a0"/>
    <w:next w:val="a1"/>
    <w:qFormat/>
    <w:pPr>
      <w:keepNext/>
      <w:keepLines/>
      <w:spacing w:after="300" w:before="300"/>
    </w:pPr>
    <w:rPr>
      <w:sz w:val="20"/>
      <w:szCs w:val="20"/>
    </w:rPr>
  </w:style>
  <w:style w:styleId="a" w:type="paragraph">
    <w:name w:val="Bibliography"/>
    <w:basedOn w:val="a0"/>
    <w:qFormat/>
    <w:rsid w:val="006F75BA"/>
    <w:pPr>
      <w:numPr>
        <w:numId w:val="12"/>
      </w:numPr>
      <w:spacing w:after="0" w:line="360" w:lineRule="auto"/>
      <w:jc w:val="both"/>
    </w:pPr>
    <w:rPr>
      <w:rFonts w:ascii="Times New Roman" w:eastAsia="宋体" w:hAnsi="Times New Roman"/>
      <w:sz w:val="18"/>
    </w:rPr>
  </w:style>
  <w:style w:styleId="a8" w:type="paragraph">
    <w:name w:val="Block Text"/>
    <w:basedOn w:val="a1"/>
    <w:next w:val="a1"/>
    <w:uiPriority w:val="9"/>
    <w:unhideWhenUsed/>
    <w:qFormat/>
    <w:rsid w:val="00645AD2"/>
    <w:pPr>
      <w:spacing w:after="100" w:before="100"/>
      <w:ind w:left="482" w:right="482"/>
    </w:pPr>
    <w:rPr>
      <w:rFonts w:eastAsia="楷体"/>
    </w:rPr>
  </w:style>
  <w:style w:styleId="a9" w:type="paragraph">
    <w:name w:val="footnote text"/>
    <w:basedOn w:val="a0"/>
    <w:uiPriority w:val="9"/>
    <w:unhideWhenUsed/>
    <w:qFormat/>
    <w:rsid w:val="00101D25"/>
    <w:pPr>
      <w:spacing w:after="0"/>
      <w:jc w:val="left"/>
    </w:pPr>
    <w:rPr>
      <w:rFonts w:ascii="Times New Roman" w:eastAsia="宋体" w:hAnsi="Times New Roman"/>
      <w:sz w:val="15"/>
    </w:rPr>
  </w:style>
  <w:style w:customStyle="1" w:styleId="Table" w:type="table">
    <w:name w:val="Table"/>
    <w:semiHidden/>
    <w:unhideWhenUsed/>
    <w:qFormat/>
    <w:rsid w:val="00B9034A"/>
    <w:rPr>
      <w:sz w:val="15"/>
      <w:szCs w:val="20"/>
      <w:lang w:eastAsia="zh-CN"/>
    </w:rPr>
    <w:tblPr>
      <w:jc w:val="center"/>
      <w:tblInd w:type="dxa" w:w="0"/>
      <w:tblBorders>
        <w:top w:color="auto" w:space="0" w:sz="4" w:val="single"/>
        <w:bottom w:color="auto" w:space="0" w:sz="4" w:val="single"/>
      </w:tblBorders>
      <w:tblCellMar>
        <w:top w:type="dxa" w:w="0"/>
        <w:left w:type="dxa" w:w="108"/>
        <w:bottom w:type="dxa" w:w="0"/>
        <w:right w:type="dxa" w:w="108"/>
      </w:tblCellMar>
    </w:tblPr>
    <w:trPr>
      <w:jc w:val="center"/>
    </w:trPr>
    <w:tcPr>
      <w:vAlign w:val="center"/>
    </w:tc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0"/>
    <w:next w:val="Definition"/>
    <w:pPr>
      <w:keepNext/>
      <w:keepLines/>
      <w:spacing w:after="0"/>
    </w:pPr>
    <w:rPr>
      <w:b/>
    </w:rPr>
  </w:style>
  <w:style w:customStyle="1" w:styleId="Definition" w:type="paragraph">
    <w:name w:val="Definition"/>
    <w:basedOn w:val="a0"/>
  </w:style>
  <w:style w:styleId="aa" w:type="paragraph">
    <w:name w:val="caption"/>
    <w:basedOn w:val="a0"/>
    <w:link w:val="Char0"/>
    <w:pPr>
      <w:spacing w:after="120"/>
    </w:pPr>
    <w:rPr>
      <w:i/>
    </w:rPr>
  </w:style>
  <w:style w:customStyle="1" w:styleId="TableCaption" w:type="paragraph">
    <w:name w:val="Table Caption"/>
    <w:basedOn w:val="aa"/>
    <w:rsid w:val="00865EBA"/>
    <w:pPr>
      <w:keepNext/>
    </w:pPr>
    <w:rPr>
      <w:rFonts w:ascii="Times New Roman" w:eastAsia="宋体" w:hAnsi="Times New Roman"/>
      <w:b/>
      <w:i w:val="0"/>
    </w:rPr>
  </w:style>
  <w:style w:customStyle="1" w:styleId="ImageCaption" w:type="paragraph">
    <w:name w:val="Image Caption"/>
    <w:basedOn w:val="aa"/>
    <w:autoRedefine/>
    <w:qFormat/>
    <w:rsid w:val="00487541"/>
    <w:rPr>
      <w:rFonts w:ascii="Times New Roman" w:eastAsia="宋体" w:hAnsi="Times New Roman"/>
      <w:b/>
      <w:i w:val="0"/>
    </w:rPr>
  </w:style>
  <w:style w:customStyle="1" w:styleId="Figure" w:type="paragraph">
    <w:name w:val="Figure"/>
    <w:basedOn w:val="a0"/>
  </w:style>
  <w:style w:customStyle="1" w:styleId="CaptionedFigure" w:type="paragraph">
    <w:name w:val="Captioned Figure"/>
    <w:basedOn w:val="Figure"/>
    <w:rsid w:val="008B16E8"/>
    <w:pPr>
      <w:keepNext/>
    </w:pPr>
  </w:style>
  <w:style w:customStyle="1" w:styleId="Char0" w:type="character">
    <w:name w:val="题注 Char"/>
    <w:basedOn w:val="a2"/>
    <w:link w:val="aa"/>
  </w:style>
  <w:style w:customStyle="1" w:styleId="VerbatimChar" w:type="character">
    <w:name w:val="Verbatim Char"/>
    <w:basedOn w:val="Char0"/>
    <w:link w:val="SourceCode"/>
    <w:rPr>
      <w:rFonts w:ascii="Consolas" w:hAnsi="Consolas"/>
      <w:sz w:val="22"/>
    </w:rPr>
  </w:style>
  <w:style w:customStyle="1" w:styleId="SectionNumber" w:type="character">
    <w:name w:val="Section Number"/>
    <w:basedOn w:val="Char0"/>
  </w:style>
  <w:style w:styleId="ab" w:type="character">
    <w:name w:val="footnote reference"/>
    <w:basedOn w:val="Char0"/>
    <w:rPr>
      <w:vertAlign w:val="superscript"/>
    </w:rPr>
  </w:style>
  <w:style w:styleId="ac" w:type="character">
    <w:name w:val="Hyperlink"/>
    <w:basedOn w:val="Char0"/>
    <w:rPr>
      <w:color w:themeColor="accent1" w:val="4F81BD"/>
    </w:rPr>
  </w:style>
  <w:style w:styleId="TOC" w:type="paragraph">
    <w:name w:val="TOC Heading"/>
    <w:basedOn w:val="1"/>
    <w:next w:val="a1"/>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a0"/>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Char" w:type="character">
    <w:name w:val="正文文本 Char"/>
    <w:basedOn w:val="a2"/>
    <w:link w:val="a1"/>
    <w:rsid w:val="00340917"/>
    <w:rPr>
      <w:rFonts w:ascii="Times New Roman" w:eastAsia="宋体" w:hAnsi="Times New Roman"/>
      <w:sz w:val="21"/>
    </w:rPr>
  </w:style>
  <w:style w:styleId="ad" w:type="paragraph">
    <w:name w:val="header"/>
    <w:basedOn w:val="a0"/>
    <w:link w:val="Char1"/>
    <w:unhideWhenUsed/>
    <w:rsid w:val="009C414D"/>
    <w:pPr>
      <w:pBdr>
        <w:bottom w:color="auto" w:space="1" w:sz="6" w:val="single"/>
      </w:pBdr>
      <w:tabs>
        <w:tab w:pos="4153" w:val="center"/>
        <w:tab w:pos="8306" w:val="right"/>
      </w:tabs>
      <w:snapToGrid w:val="0"/>
    </w:pPr>
    <w:rPr>
      <w:sz w:val="18"/>
      <w:szCs w:val="18"/>
    </w:rPr>
  </w:style>
  <w:style w:customStyle="1" w:styleId="Char1" w:type="character">
    <w:name w:val="页眉 Char"/>
    <w:basedOn w:val="a2"/>
    <w:link w:val="ad"/>
    <w:rsid w:val="009C414D"/>
    <w:rPr>
      <w:sz w:val="18"/>
      <w:szCs w:val="18"/>
    </w:rPr>
  </w:style>
  <w:style w:styleId="ae" w:type="paragraph">
    <w:name w:val="footer"/>
    <w:basedOn w:val="a0"/>
    <w:link w:val="Char2"/>
    <w:uiPriority w:val="99"/>
    <w:unhideWhenUsed/>
    <w:rsid w:val="009C414D"/>
    <w:pPr>
      <w:tabs>
        <w:tab w:pos="4153" w:val="center"/>
        <w:tab w:pos="8306" w:val="right"/>
      </w:tabs>
      <w:snapToGrid w:val="0"/>
    </w:pPr>
    <w:rPr>
      <w:sz w:val="18"/>
      <w:szCs w:val="18"/>
    </w:rPr>
  </w:style>
  <w:style w:customStyle="1" w:styleId="Char2" w:type="character">
    <w:name w:val="页脚 Char"/>
    <w:basedOn w:val="a2"/>
    <w:link w:val="ae"/>
    <w:uiPriority w:val="99"/>
    <w:rsid w:val="009C414D"/>
    <w:rPr>
      <w:sz w:val="18"/>
      <w:szCs w:val="18"/>
    </w:rPr>
  </w:style>
  <w:style w:styleId="af" w:type="table">
    <w:name w:val="Table Theme"/>
    <w:basedOn w:val="a3"/>
    <w:semiHidden/>
    <w:unhideWhenUsed/>
    <w:rsid w:val="00B9034A"/>
    <w:rPr>
      <w:sz w:val="18"/>
    </w:rPr>
    <w:tblPr>
      <w:jc w:val="cente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rPr>
      <w:jc w:val="center"/>
    </w:trPr>
    <w:tcPr>
      <w:vAlign w:val="cente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1.xml"/>
<Relationship Id="rId41" Type="http://schemas.openxmlformats.org/officeDocument/2006/relationships/hyperlink" Target="https://doi.org/10.1016/bs.hesbe.2018.07.001" TargetMode="External"/>
<Relationship Id="rId50" Type="http://schemas.openxmlformats.org/officeDocument/2006/relationships/hyperlink" Target="https://doi.org/10.1016/j.jfineco.2011.09.002" TargetMode="External"/>
<Relationship Id="rId47" Type="http://schemas.openxmlformats.org/officeDocument/2006/relationships/hyperlink" Target="https://doi.org/10.1016/j.jfineco.2021.05.014" TargetMode="External"/>
<Relationship Id="rId52" Type="http://schemas.openxmlformats.org/officeDocument/2006/relationships/hyperlink" Target="https://doi.org/10.1093/rfs/hhv063" TargetMode="External"/>
<Relationship Id="rId43" Type="http://schemas.openxmlformats.org/officeDocument/2006/relationships/hyperlink" Target="https://doi.org/10.1093/rof/rfx010" TargetMode="External"/>
<Relationship Id="rId45" Type="http://schemas.openxmlformats.org/officeDocument/2006/relationships/hyperlink" Target="https://doi.org/10.1111/j.1540-6261.1994.tb02455.x" TargetMode="External"/>
<Relationship Id="rId38" Type="http://schemas.openxmlformats.org/officeDocument/2006/relationships/hyperlink" Target="https://doi.org/10.1111/jofi.12618" TargetMode="External"/>
<Relationship Id="rId49" Type="http://schemas.openxmlformats.org/officeDocument/2006/relationships/hyperlink" Target="https://www.sciencedirect.com/science/article/pii/S0304405X11001991" TargetMode="External"/>
<Relationship Id="rId40" Type="http://schemas.openxmlformats.org/officeDocument/2006/relationships/hyperlink" Target="https://www.sciencedirect.com/science/article/pii/S2352239918300010" TargetMode="External"/>
<Relationship Id="rId53" Type="http://schemas.openxmlformats.org/officeDocument/2006/relationships/image" Target="media/file1a64290457f0.png"/>
<Relationship Id="rId54" Type="http://schemas.openxmlformats.org/officeDocument/2006/relationships/image" Target="media/file1a6436d37b4e.png"/>
</Relationships>

</file>

<file path=word/_rels/footnotes.xml.rels><?xml version="1.0" encoding="UTF-8" standalone="yes"?>

<Relationships  xmlns="http://schemas.openxmlformats.org/package/2006/relationships">
<Relationship Id="rId41" Type="http://schemas.openxmlformats.org/officeDocument/2006/relationships/hyperlink" Target="https://doi.org/10.1016/bs.hesbe.2018.07.001" TargetMode="External"/>
<Relationship Id="rId50" Type="http://schemas.openxmlformats.org/officeDocument/2006/relationships/hyperlink" Target="https://doi.org/10.1016/j.jfineco.2011.09.002" TargetMode="External"/>
<Relationship Id="rId47" Type="http://schemas.openxmlformats.org/officeDocument/2006/relationships/hyperlink" Target="https://doi.org/10.1016/j.jfineco.2021.05.014" TargetMode="External"/>
<Relationship Id="rId52" Type="http://schemas.openxmlformats.org/officeDocument/2006/relationships/hyperlink" Target="https://doi.org/10.1093/rfs/hhv063" TargetMode="External"/>
<Relationship Id="rId43" Type="http://schemas.openxmlformats.org/officeDocument/2006/relationships/hyperlink" Target="https://doi.org/10.1093/rof/rfx010" TargetMode="External"/>
<Relationship Id="rId45" Type="http://schemas.openxmlformats.org/officeDocument/2006/relationships/hyperlink" Target="https://doi.org/10.1111/j.1540-6261.1994.tb02455.x" TargetMode="External"/>
<Relationship Id="rId38" Type="http://schemas.openxmlformats.org/officeDocument/2006/relationships/hyperlink" Target="https://doi.org/10.1111/jofi.12618" TargetMode="External"/>
<Relationship Id="rId49" Type="http://schemas.openxmlformats.org/officeDocument/2006/relationships/hyperlink" Target="https://www.sciencedirect.com/science/article/pii/S0304405X11001991" TargetMode="External"/>
<Relationship Id="rId40" Type="http://schemas.openxmlformats.org/officeDocument/2006/relationships/hyperlink" Target="https://www.sciencedirect.com/science/article/pii/S235223991830001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6</Pages>
  <Words>858</Words>
  <Characters>4895</Characters>
  <Application>Microsoft Office Word</Application>
  <DocSecurity>0</DocSecurity>
  <Lines>40</Lines>
  <Paragraphs>11</Paragraphs>
  <ScaleCrop>false</ScaleCrop>
  <Company/>
  <LinksUpToDate>false</LinksUpToDate>
  <CharactersWithSpaces>5742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ETF持股增加了定价效率吗？</dc:title>
  <dc:creator/>
  <cp:keywords/>
  <dcterms:created xsi:type="dcterms:W3CDTF">2022-09-23T06:00:22Z</dcterms:created>
  <dcterms:modified xsi:type="dcterms:W3CDTF">2022-09-23T14:00:26Z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reference.bib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csl">
    <vt:lpwstr>china-national-standard-gb-t-7714-2015-author-date.csl</vt:lpwstr>
  </property>
  <property fmtid="{D5CDD505-2E9C-101B-9397-08002B2CF9AE}" pid="15" name="eqLabels">
    <vt:lpwstr>arabic</vt:lpwstr>
  </property>
  <property fmtid="{D5CDD505-2E9C-101B-9397-08002B2CF9AE}" pid="16" name="eqnBlockInlineMath">
    <vt:lpwstr>False</vt:lpwstr>
  </property>
  <property fmtid="{D5CDD505-2E9C-101B-9397-08002B2CF9AE}" pid="17" name="eqnBlockTemplate">
    <vt:lpwstr>ti</vt:lpwstr>
  </property>
  <property fmtid="{D5CDD505-2E9C-101B-9397-08002B2CF9AE}" pid="18" name="eqnIndexTemplate">
    <vt:lpwstr>(i)</vt:lpwstr>
  </property>
  <property fmtid="{D5CDD505-2E9C-101B-9397-08002B2CF9AE}" pid="19" name="eqnInlineTemplate">
    <vt:lpwstr>eequationNumberTeX{i}</vt:lpwstr>
  </property>
  <property fmtid="{D5CDD505-2E9C-101B-9397-08002B2CF9AE}" pid="20" name="eqnPrefix">
    <vt:lpwstr/>
  </property>
  <property fmtid="{D5CDD505-2E9C-101B-9397-08002B2CF9AE}" pid="21" name="eqnPrefixTemplate">
    <vt:lpwstr>p i</vt:lpwstr>
  </property>
  <property fmtid="{D5CDD505-2E9C-101B-9397-08002B2CF9AE}" pid="22" name="equationNumberTeX">
    <vt:lpwstr>\qquad</vt:lpwstr>
  </property>
  <property fmtid="{D5CDD505-2E9C-101B-9397-08002B2CF9AE}" pid="23" name="figLabels">
    <vt:lpwstr>arabic</vt:lpwstr>
  </property>
  <property fmtid="{D5CDD505-2E9C-101B-9397-08002B2CF9AE}" pid="24" name="figPrefix">
    <vt:lpwstr/>
  </property>
  <property fmtid="{D5CDD505-2E9C-101B-9397-08002B2CF9AE}" pid="25" name="figPrefixTemplate">
    <vt:lpwstr>p i</vt:lpwstr>
  </property>
  <property fmtid="{D5CDD505-2E9C-101B-9397-08002B2CF9AE}" pid="26" name="figureTemplate">
    <vt:lpwstr>figureTitle ititleDelim t</vt:lpwstr>
  </property>
  <property fmtid="{D5CDD505-2E9C-101B-9397-08002B2CF9AE}" pid="27" name="figureTitle">
    <vt:lpwstr>Figure</vt:lpwstr>
  </property>
  <property fmtid="{D5CDD505-2E9C-101B-9397-08002B2CF9AE}" pid="28" name="lastDelim">
    <vt:lpwstr>, </vt:lpwstr>
  </property>
  <property fmtid="{D5CDD505-2E9C-101B-9397-08002B2CF9AE}" pid="29" name="linkReferences">
    <vt:lpwstr>False</vt:lpwstr>
  </property>
  <property fmtid="{D5CDD505-2E9C-101B-9397-08002B2CF9AE}" pid="30" name="listingTemplate">
    <vt:lpwstr>listingTitle ititleDelim t</vt:lpwstr>
  </property>
  <property fmtid="{D5CDD505-2E9C-101B-9397-08002B2CF9AE}" pid="31" name="listingTitle">
    <vt:lpwstr>Listing</vt:lpwstr>
  </property>
  <property fmtid="{D5CDD505-2E9C-101B-9397-08002B2CF9AE}" pid="32" name="listings">
    <vt:lpwstr>False</vt:lpwstr>
  </property>
  <property fmtid="{D5CDD505-2E9C-101B-9397-08002B2CF9AE}" pid="33" name="lofTitle">
    <vt:lpwstr>List of Figures</vt:lpwstr>
  </property>
  <property fmtid="{D5CDD505-2E9C-101B-9397-08002B2CF9AE}" pid="34" name="lolTitle">
    <vt:lpwstr>List of Listings</vt:lpwstr>
  </property>
  <property fmtid="{D5CDD505-2E9C-101B-9397-08002B2CF9AE}" pid="35" name="lotTitle">
    <vt:lpwstr>List of Tables</vt:lpwstr>
  </property>
  <property fmtid="{D5CDD505-2E9C-101B-9397-08002B2CF9AE}" pid="36" name="lstLabels">
    <vt:lpwstr>arabic</vt:lpwstr>
  </property>
  <property fmtid="{D5CDD505-2E9C-101B-9397-08002B2CF9AE}" pid="37" name="lstPrefix">
    <vt:lpwstr/>
  </property>
  <property fmtid="{D5CDD505-2E9C-101B-9397-08002B2CF9AE}" pid="38" name="lstPrefixTemplate">
    <vt:lpwstr>p i</vt:lpwstr>
  </property>
  <property fmtid="{D5CDD505-2E9C-101B-9397-08002B2CF9AE}" pid="39" name="nameInLink">
    <vt:lpwstr>False</vt:lpwstr>
  </property>
  <property fmtid="{D5CDD505-2E9C-101B-9397-08002B2CF9AE}" pid="40" name="numberSections">
    <vt:lpwstr>False</vt:lpwstr>
  </property>
  <property fmtid="{D5CDD505-2E9C-101B-9397-08002B2CF9AE}" pid="41" name="output">
    <vt:lpwstr/>
  </property>
  <property fmtid="{D5CDD505-2E9C-101B-9397-08002B2CF9AE}" pid="42" name="pairDelim">
    <vt:lpwstr>, </vt:lpwstr>
  </property>
  <property fmtid="{D5CDD505-2E9C-101B-9397-08002B2CF9AE}" pid="43" name="rangeDelim">
    <vt:lpwstr>-</vt:lpwstr>
  </property>
  <property fmtid="{D5CDD505-2E9C-101B-9397-08002B2CF9AE}" pid="44" name="refDelim">
    <vt:lpwstr>, </vt:lpwstr>
  </property>
  <property fmtid="{D5CDD505-2E9C-101B-9397-08002B2CF9AE}" pid="45" name="refIndexTemplate">
    <vt:lpwstr>isuf</vt:lpwstr>
  </property>
  <property fmtid="{D5CDD505-2E9C-101B-9397-08002B2CF9AE}" pid="46" name="secHeaderDelim">
    <vt:lpwstr> </vt:lpwstr>
  </property>
  <property fmtid="{D5CDD505-2E9C-101B-9397-08002B2CF9AE}" pid="47" name="secHeaderTemplate">
    <vt:lpwstr>isecHeaderDelim[n]t</vt:lpwstr>
  </property>
  <property fmtid="{D5CDD505-2E9C-101B-9397-08002B2CF9AE}" pid="48" name="secLabels">
    <vt:lpwstr>arabic</vt:lpwstr>
  </property>
  <property fmtid="{D5CDD505-2E9C-101B-9397-08002B2CF9AE}" pid="49" name="secPrefix">
    <vt:lpwstr/>
  </property>
  <property fmtid="{D5CDD505-2E9C-101B-9397-08002B2CF9AE}" pid="50" name="secPrefixTemplate">
    <vt:lpwstr>p i</vt:lpwstr>
  </property>
  <property fmtid="{D5CDD505-2E9C-101B-9397-08002B2CF9AE}" pid="51" name="sectionsDepth">
    <vt:lpwstr>0</vt:lpwstr>
  </property>
  <property fmtid="{D5CDD505-2E9C-101B-9397-08002B2CF9AE}" pid="52" name="subfigGrid">
    <vt:lpwstr>False</vt:lpwstr>
  </property>
  <property fmtid="{D5CDD505-2E9C-101B-9397-08002B2CF9AE}" pid="53" name="subfigLabels">
    <vt:lpwstr>alpha a</vt:lpwstr>
  </property>
  <property fmtid="{D5CDD505-2E9C-101B-9397-08002B2CF9AE}" pid="54" name="subfigureChildTemplate">
    <vt:lpwstr>i</vt:lpwstr>
  </property>
  <property fmtid="{D5CDD505-2E9C-101B-9397-08002B2CF9AE}" pid="55" name="subfigureRefIndexTemplate">
    <vt:lpwstr>isuf (s)</vt:lpwstr>
  </property>
  <property fmtid="{D5CDD505-2E9C-101B-9397-08002B2CF9AE}" pid="56" name="subfigureTemplate">
    <vt:lpwstr>figureTitle ititleDelim t. ccs</vt:lpwstr>
  </property>
  <property fmtid="{D5CDD505-2E9C-101B-9397-08002B2CF9AE}" pid="57" name="subtitle">
    <vt:lpwstr>——基于中国A股市场的实证</vt:lpwstr>
  </property>
  <property fmtid="{D5CDD505-2E9C-101B-9397-08002B2CF9AE}" pid="58" name="tableEqns">
    <vt:lpwstr>False</vt:lpwstr>
  </property>
  <property fmtid="{D5CDD505-2E9C-101B-9397-08002B2CF9AE}" pid="59" name="tableTemplate">
    <vt:lpwstr>tableTitle ititleDelim t</vt:lpwstr>
  </property>
  <property fmtid="{D5CDD505-2E9C-101B-9397-08002B2CF9AE}" pid="60" name="tableTitle">
    <vt:lpwstr>Table</vt:lpwstr>
  </property>
  <property fmtid="{D5CDD505-2E9C-101B-9397-08002B2CF9AE}" pid="61" name="tblLabels">
    <vt:lpwstr>arabic</vt:lpwstr>
  </property>
  <property fmtid="{D5CDD505-2E9C-101B-9397-08002B2CF9AE}" pid="62" name="tblPrefix">
    <vt:lpwstr/>
  </property>
  <property fmtid="{D5CDD505-2E9C-101B-9397-08002B2CF9AE}" pid="63" name="tblPrefixTemplate">
    <vt:lpwstr>p i</vt:lpwstr>
  </property>
  <property fmtid="{D5CDD505-2E9C-101B-9397-08002B2CF9AE}" pid="64" name="titleDelim">
    <vt:lpwstr>:</vt:lpwstr>
  </property>
</Properties>
</file>