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856" w14:textId="69C50F73" w:rsidR="00B00CC0" w:rsidRDefault="00B00CC0" w:rsidP="00B00CC0">
      <w:pPr>
        <w:spacing w:after="0" w:line="265" w:lineRule="auto"/>
        <w:ind w:right="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D8C710F" wp14:editId="0C1A8A52">
            <wp:simplePos x="0" y="0"/>
            <wp:positionH relativeFrom="column">
              <wp:posOffset>-46270</wp:posOffset>
            </wp:positionH>
            <wp:positionV relativeFrom="paragraph">
              <wp:posOffset>34</wp:posOffset>
            </wp:positionV>
            <wp:extent cx="2438399" cy="812800"/>
            <wp:effectExtent l="0" t="0" r="0" b="0"/>
            <wp:wrapSquare wrapText="bothSides"/>
            <wp:docPr id="649" name="Picture 649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 descr="A close-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6"/>
        </w:rPr>
        <w:t xml:space="preserve">Colorado School of Public Health </w:t>
      </w:r>
    </w:p>
    <w:p w14:paraId="0F35E139" w14:textId="70024DD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Fitzsimons Building, 4th Floor </w:t>
      </w:r>
    </w:p>
    <w:p w14:paraId="210E036D" w14:textId="4234419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13001 E. 17th Place </w:t>
      </w:r>
    </w:p>
    <w:p w14:paraId="31A63D85" w14:textId="7777777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Mail Stop B119 </w:t>
      </w:r>
    </w:p>
    <w:p w14:paraId="5192F7C0" w14:textId="77777777" w:rsidR="00B00CC0" w:rsidRDefault="00B00CC0" w:rsidP="00B00CC0">
      <w:pPr>
        <w:spacing w:after="750" w:line="265" w:lineRule="auto"/>
        <w:ind w:right="12"/>
        <w:jc w:val="right"/>
      </w:pPr>
      <w:r>
        <w:rPr>
          <w:color w:val="333333"/>
          <w:sz w:val="16"/>
        </w:rPr>
        <w:t>Aurora, CO 80045</w:t>
      </w:r>
      <w:r>
        <w:rPr>
          <w:sz w:val="16"/>
        </w:rPr>
        <w:t xml:space="preserve"> </w:t>
      </w:r>
    </w:p>
    <w:p w14:paraId="00A6C33B" w14:textId="1DF884B1" w:rsidR="00B00CC0" w:rsidRDefault="00920183" w:rsidP="00B00CC0">
      <w:pPr>
        <w:spacing w:after="0" w:line="259" w:lineRule="auto"/>
        <w:ind w:left="0" w:right="0" w:firstLine="0"/>
        <w:jc w:val="center"/>
      </w:pPr>
      <w:r>
        <w:t>June</w:t>
      </w:r>
      <w:r w:rsidR="00B00CC0">
        <w:t xml:space="preserve"> </w:t>
      </w:r>
      <w:r>
        <w:t>5</w:t>
      </w:r>
      <w:r w:rsidR="00B00CC0">
        <w:t xml:space="preserve">th, 2024 </w:t>
      </w:r>
    </w:p>
    <w:p w14:paraId="1AAC9CAD" w14:textId="77777777" w:rsidR="00B00CC0" w:rsidRDefault="00B00CC0" w:rsidP="00B00CC0">
      <w:pPr>
        <w:spacing w:after="0" w:line="259" w:lineRule="auto"/>
        <w:ind w:left="0" w:right="0" w:firstLine="0"/>
      </w:pPr>
    </w:p>
    <w:p w14:paraId="34F3CFEF" w14:textId="5DCDAD1E" w:rsidR="00B00CC0" w:rsidRDefault="00B00CC0" w:rsidP="00B00CC0">
      <w:pPr>
        <w:spacing w:after="0" w:line="259" w:lineRule="auto"/>
        <w:ind w:left="0" w:right="0" w:firstLine="0"/>
      </w:pPr>
      <w:r>
        <w:t xml:space="preserve">Dear editors, </w:t>
      </w:r>
    </w:p>
    <w:p w14:paraId="189C50D4" w14:textId="77777777" w:rsidR="00B00CC0" w:rsidRPr="00A0486B" w:rsidRDefault="00B00CC0" w:rsidP="00B00CC0">
      <w:pPr>
        <w:spacing w:after="0" w:line="259" w:lineRule="auto"/>
        <w:ind w:left="0" w:right="0" w:firstLine="0"/>
        <w:jc w:val="left"/>
        <w:rPr>
          <w:szCs w:val="22"/>
        </w:rPr>
      </w:pPr>
      <w:r>
        <w:t xml:space="preserve"> </w:t>
      </w:r>
    </w:p>
    <w:p w14:paraId="3FD596CE" w14:textId="4039411C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 w:rsidRPr="00A0486B">
        <w:rPr>
          <w:szCs w:val="22"/>
        </w:rPr>
        <w:t xml:space="preserve">It is with great pleasure that I submit the manuscript entitled </w:t>
      </w:r>
      <w:r>
        <w:rPr>
          <w:szCs w:val="22"/>
        </w:rPr>
        <w:t>“</w:t>
      </w:r>
      <w:r w:rsidR="00920183" w:rsidRPr="00920183">
        <w:rPr>
          <w:szCs w:val="22"/>
        </w:rPr>
        <w:t>Comparing estimators of discriminative performance of time-to-event models</w:t>
      </w:r>
      <w:r>
        <w:rPr>
          <w:color w:val="000000" w:themeColor="text1"/>
          <w:szCs w:val="22"/>
        </w:rPr>
        <w:t xml:space="preserve">” for consideration of publication in the </w:t>
      </w:r>
      <w:r w:rsidR="00761563">
        <w:rPr>
          <w:color w:val="000000" w:themeColor="text1"/>
          <w:szCs w:val="22"/>
        </w:rPr>
        <w:t>W</w:t>
      </w:r>
      <w:r>
        <w:rPr>
          <w:color w:val="000000" w:themeColor="text1"/>
          <w:szCs w:val="22"/>
        </w:rPr>
        <w:t>NAR/IMS/Graybill special issue of Journal of Data Science.</w:t>
      </w:r>
    </w:p>
    <w:p w14:paraId="00072E40" w14:textId="77777777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2E85FB1C" w14:textId="2DDFDEF4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current work, not currently published elsewhere, explores the validity of evaluation metrics of </w:t>
      </w:r>
      <w:r w:rsidR="00920183">
        <w:rPr>
          <w:color w:val="000000" w:themeColor="text1"/>
          <w:szCs w:val="22"/>
        </w:rPr>
        <w:t>discriminative</w:t>
      </w:r>
      <w:r>
        <w:rPr>
          <w:color w:val="000000" w:themeColor="text1"/>
          <w:szCs w:val="22"/>
        </w:rPr>
        <w:t xml:space="preserve"> performance of time-to-even models, including time-dependent AUC and concordance. Specifically, we </w:t>
      </w:r>
      <w:r w:rsidRPr="00B00CC0">
        <w:rPr>
          <w:color w:val="000000" w:themeColor="text1"/>
          <w:szCs w:val="22"/>
        </w:rPr>
        <w:t xml:space="preserve">identify </w:t>
      </w:r>
      <w:r w:rsidR="006B7ED0" w:rsidRPr="006B7ED0">
        <w:rPr>
          <w:color w:val="000000" w:themeColor="text1"/>
          <w:szCs w:val="22"/>
        </w:rPr>
        <w:t>the conditions under which various estimators of discrimination in time-to-event models are appropriate</w:t>
      </w:r>
      <w:r>
        <w:rPr>
          <w:color w:val="000000" w:themeColor="text1"/>
          <w:szCs w:val="22"/>
        </w:rPr>
        <w:t xml:space="preserve">. We believe these findings can prevent investigators from being misguided by inappropriate </w:t>
      </w:r>
      <w:r w:rsidR="001C02B1">
        <w:rPr>
          <w:color w:val="000000" w:themeColor="text1"/>
          <w:szCs w:val="22"/>
        </w:rPr>
        <w:t>evaluation measures in many practical tasks, such as model selection</w:t>
      </w:r>
      <w:r w:rsidR="00920183">
        <w:rPr>
          <w:color w:val="000000" w:themeColor="text1"/>
          <w:szCs w:val="22"/>
        </w:rPr>
        <w:t xml:space="preserve"> and assessment</w:t>
      </w:r>
      <w:r w:rsidR="001C02B1">
        <w:rPr>
          <w:color w:val="000000" w:themeColor="text1"/>
          <w:szCs w:val="22"/>
        </w:rPr>
        <w:t xml:space="preserve">. </w:t>
      </w:r>
    </w:p>
    <w:p w14:paraId="64FF1AF1" w14:textId="77777777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5F35EBF9" w14:textId="08B724A6" w:rsidR="00B00CC0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Both</w:t>
      </w:r>
      <w:r w:rsidR="00B00CC0">
        <w:rPr>
          <w:color w:val="000000" w:themeColor="text1"/>
          <w:szCs w:val="22"/>
        </w:rPr>
        <w:t xml:space="preserve"> authors contributed to (1) the conception of the problem and the proposed methods presented; and (2) drafting or revising the work for statistical and/or subject matter content. Each author has read the manuscript and approved its submission to</w:t>
      </w:r>
      <w:r w:rsidR="00761563">
        <w:rPr>
          <w:color w:val="000000" w:themeColor="text1"/>
          <w:szCs w:val="22"/>
        </w:rPr>
        <w:t xml:space="preserve"> JDS</w:t>
      </w:r>
      <w:r w:rsidR="00B00CC0">
        <w:rPr>
          <w:color w:val="000000" w:themeColor="text1"/>
          <w:szCs w:val="22"/>
        </w:rPr>
        <w:t>.</w:t>
      </w:r>
      <w:r>
        <w:rPr>
          <w:color w:val="000000" w:themeColor="text1"/>
          <w:szCs w:val="22"/>
        </w:rPr>
        <w:t xml:space="preserve"> </w:t>
      </w:r>
      <w:r w:rsidR="00B00CC0">
        <w:rPr>
          <w:color w:val="000000" w:themeColor="text1"/>
          <w:szCs w:val="22"/>
        </w:rPr>
        <w:t xml:space="preserve">There are no conflicts of interest to disclose for this work. </w:t>
      </w:r>
    </w:p>
    <w:p w14:paraId="00D5B929" w14:textId="77777777" w:rsidR="001C02B1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34333506" w14:textId="6A132714" w:rsidR="001C02B1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We also suggest the following reviewers for this manuscript: </w:t>
      </w:r>
    </w:p>
    <w:p w14:paraId="77979794" w14:textId="612C121F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r w:rsidRPr="006B7ED0">
        <w:rPr>
          <w:color w:val="000000" w:themeColor="text1"/>
          <w:szCs w:val="22"/>
        </w:rPr>
        <w:t>Mei-Cheng Wang</w:t>
      </w:r>
      <w:r>
        <w:rPr>
          <w:color w:val="000000" w:themeColor="text1"/>
          <w:szCs w:val="22"/>
        </w:rPr>
        <w:t xml:space="preserve"> (</w:t>
      </w:r>
      <w:r w:rsidRPr="006B7ED0">
        <w:rPr>
          <w:color w:val="000000" w:themeColor="text1"/>
          <w:szCs w:val="22"/>
        </w:rPr>
        <w:t>mcwang@jhu.edu</w:t>
      </w:r>
      <w:r>
        <w:rPr>
          <w:color w:val="000000" w:themeColor="text1"/>
          <w:szCs w:val="22"/>
        </w:rPr>
        <w:t>)</w:t>
      </w:r>
    </w:p>
    <w:p w14:paraId="356F567B" w14:textId="352E22EC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Yifei</w:t>
      </w:r>
      <w:proofErr w:type="spellEnd"/>
      <w:r>
        <w:rPr>
          <w:color w:val="000000" w:themeColor="text1"/>
          <w:szCs w:val="22"/>
        </w:rPr>
        <w:t xml:space="preserve"> Sun (</w:t>
      </w:r>
      <w:r w:rsidRPr="006B7ED0">
        <w:rPr>
          <w:color w:val="000000" w:themeColor="text1"/>
          <w:szCs w:val="22"/>
        </w:rPr>
        <w:t>ys3072@cumc.columbia.edu</w:t>
      </w:r>
      <w:r>
        <w:rPr>
          <w:color w:val="000000" w:themeColor="text1"/>
          <w:szCs w:val="22"/>
        </w:rPr>
        <w:t>)</w:t>
      </w:r>
    </w:p>
    <w:p w14:paraId="0D11F654" w14:textId="738B48B8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Frank E. Harrell (</w:t>
      </w:r>
      <w:r w:rsidRPr="006B7ED0">
        <w:rPr>
          <w:color w:val="000000" w:themeColor="text1"/>
          <w:szCs w:val="22"/>
        </w:rPr>
        <w:t>f.harrell@vumc.org</w:t>
      </w:r>
      <w:r>
        <w:rPr>
          <w:color w:val="000000" w:themeColor="text1"/>
          <w:szCs w:val="22"/>
        </w:rPr>
        <w:t>)</w:t>
      </w:r>
    </w:p>
    <w:p w14:paraId="78CA1056" w14:textId="77777777" w:rsidR="00761563" w:rsidRPr="00761563" w:rsidRDefault="00761563" w:rsidP="00761563">
      <w:pPr>
        <w:spacing w:line="259" w:lineRule="auto"/>
        <w:ind w:left="0" w:firstLine="0"/>
        <w:rPr>
          <w:color w:val="000000" w:themeColor="text1"/>
          <w:szCs w:val="22"/>
        </w:rPr>
      </w:pPr>
    </w:p>
    <w:p w14:paraId="57670BFB" w14:textId="5D7C8E4E" w:rsidR="00B00CC0" w:rsidRDefault="00B00CC0" w:rsidP="00761563">
      <w:pPr>
        <w:spacing w:after="0" w:line="259" w:lineRule="auto"/>
        <w:ind w:left="0" w:right="0" w:firstLine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On behalf of my co-author, I thank you for your consideration of this manuscript for publication. Please address all correspondence to me at </w:t>
      </w:r>
      <w:r w:rsidR="001C02B1">
        <w:rPr>
          <w:color w:val="000000" w:themeColor="text1"/>
          <w:szCs w:val="22"/>
        </w:rPr>
        <w:t>ying.jin@cuanschutz.edu</w:t>
      </w:r>
    </w:p>
    <w:p w14:paraId="022721C9" w14:textId="725AD432" w:rsidR="001C02B1" w:rsidRPr="00A0486B" w:rsidRDefault="001C02B1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27438A68" w14:textId="77777777" w:rsidR="00B00CC0" w:rsidRDefault="00B00CC0" w:rsidP="00B00CC0">
      <w:pPr>
        <w:ind w:left="-5" w:right="-12"/>
      </w:pPr>
    </w:p>
    <w:p w14:paraId="2B4A4219" w14:textId="74A9DB16" w:rsidR="00761563" w:rsidRDefault="00761563" w:rsidP="00761563">
      <w:pPr>
        <w:spacing w:after="0" w:line="259" w:lineRule="auto"/>
        <w:ind w:left="0" w:right="0" w:firstLine="0"/>
        <w:jc w:val="left"/>
      </w:pPr>
      <w:r>
        <w:t>Sincerely,</w:t>
      </w:r>
    </w:p>
    <w:p w14:paraId="3CCA6793" w14:textId="77777777" w:rsidR="00761563" w:rsidRDefault="00761563" w:rsidP="00761563">
      <w:pPr>
        <w:spacing w:after="0" w:line="259" w:lineRule="auto"/>
        <w:ind w:left="0" w:right="0" w:firstLine="0"/>
        <w:jc w:val="left"/>
      </w:pPr>
    </w:p>
    <w:p w14:paraId="251DE3B5" w14:textId="4D6C48A3" w:rsidR="00761563" w:rsidRDefault="00761563" w:rsidP="00761563">
      <w:pPr>
        <w:spacing w:after="0" w:line="259" w:lineRule="auto"/>
        <w:ind w:left="0" w:right="0" w:firstLine="0"/>
        <w:jc w:val="left"/>
      </w:pPr>
      <w:r>
        <w:t>Ying Jin</w:t>
      </w:r>
    </w:p>
    <w:sectPr w:rsidR="00761563" w:rsidSect="009807A6">
      <w:pgSz w:w="12240" w:h="15840"/>
      <w:pgMar w:top="1440" w:right="1786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CF4"/>
    <w:multiLevelType w:val="hybridMultilevel"/>
    <w:tmpl w:val="48FA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E24"/>
    <w:multiLevelType w:val="hybridMultilevel"/>
    <w:tmpl w:val="264C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14E3"/>
    <w:multiLevelType w:val="hybridMultilevel"/>
    <w:tmpl w:val="0E02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17154">
    <w:abstractNumId w:val="2"/>
  </w:num>
  <w:num w:numId="2" w16cid:durableId="243996156">
    <w:abstractNumId w:val="1"/>
  </w:num>
  <w:num w:numId="3" w16cid:durableId="76523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0C"/>
    <w:rsid w:val="00083CDD"/>
    <w:rsid w:val="001C02B1"/>
    <w:rsid w:val="0026401B"/>
    <w:rsid w:val="004D09B7"/>
    <w:rsid w:val="005E0E7E"/>
    <w:rsid w:val="006B7ED0"/>
    <w:rsid w:val="007300A5"/>
    <w:rsid w:val="00761563"/>
    <w:rsid w:val="00800D0C"/>
    <w:rsid w:val="00830DAE"/>
    <w:rsid w:val="00920183"/>
    <w:rsid w:val="009807A6"/>
    <w:rsid w:val="00B00CC0"/>
    <w:rsid w:val="00E2048C"/>
    <w:rsid w:val="00F1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AF9E"/>
  <w15:chartTrackingRefBased/>
  <w15:docId w15:val="{E69F64BB-920B-4A4E-823D-9CAE8FE4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C0"/>
    <w:pPr>
      <w:spacing w:after="1" w:line="248" w:lineRule="auto"/>
      <w:ind w:left="10" w:right="1" w:hanging="10"/>
      <w:jc w:val="both"/>
    </w:pPr>
    <w:rPr>
      <w:rFonts w:ascii="Arial" w:eastAsia="Arial" w:hAnsi="Arial" w:cs="Arial"/>
      <w:color w:val="000000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D0C"/>
    <w:pPr>
      <w:keepNext/>
      <w:keepLines/>
      <w:spacing w:before="360" w:after="80" w:line="240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0C"/>
    <w:pPr>
      <w:keepNext/>
      <w:keepLines/>
      <w:spacing w:before="160" w:after="80" w:line="240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0C"/>
    <w:pPr>
      <w:keepNext/>
      <w:keepLines/>
      <w:spacing w:before="160" w:after="80" w:line="240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0C"/>
    <w:pPr>
      <w:keepNext/>
      <w:keepLines/>
      <w:spacing w:before="80" w:after="40" w:line="240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0C"/>
    <w:pPr>
      <w:keepNext/>
      <w:keepLines/>
      <w:spacing w:before="80" w:after="40" w:line="240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0C"/>
    <w:pPr>
      <w:keepNext/>
      <w:keepLines/>
      <w:spacing w:before="40" w:after="0" w:line="240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0C"/>
    <w:pPr>
      <w:keepNext/>
      <w:keepLines/>
      <w:spacing w:before="40" w:after="0" w:line="240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0C"/>
    <w:pPr>
      <w:keepNext/>
      <w:keepLines/>
      <w:spacing w:after="0" w:line="240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0C"/>
    <w:pPr>
      <w:keepNext/>
      <w:keepLines/>
      <w:spacing w:after="0" w:line="240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0C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0C"/>
    <w:pPr>
      <w:numPr>
        <w:ilvl w:val="1"/>
      </w:numPr>
      <w:spacing w:after="160" w:line="240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0C"/>
    <w:pPr>
      <w:spacing w:before="160" w:after="160" w:line="240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0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0C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0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2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</cp:revision>
  <cp:lastPrinted>2024-06-05T16:42:00Z</cp:lastPrinted>
  <dcterms:created xsi:type="dcterms:W3CDTF">2024-06-05T16:42:00Z</dcterms:created>
  <dcterms:modified xsi:type="dcterms:W3CDTF">2024-06-05T16:42:00Z</dcterms:modified>
</cp:coreProperties>
</file>