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2022/4/26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10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大数据分析与处理（下）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1）掌握实现数据探索、数据预处理、聚类分析算法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2）熟悉关联规则算法的应用和实现方法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3）了解sklearn、tensorflow、keras等相关库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（1）数据探索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（2）数据预处理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（3）聚类分析算法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（4）关联规则算法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（5）分类算法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（1）k-means算法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（2）数据清洗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（3）Apriori算法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（4）C4.5算法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（1）生成关联规则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（2）构建FP树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1.数据集读取和预处理应主义的问题。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2.调用库函数，实现k-means算法。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3.C4.0和C4.5的区别。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本节课以“变向”为主线，让学生在相互“追逐”的游戏中获得身体变向的脚步动作。让学生自定目标，在目标的统领下合作学习，分别达成自己的目标，这样就能激发学生的学习动机。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