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2022/5/24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14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大数据应用（下）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1）了解大数据的应用领域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2）掌握基于大数据的深度学习模型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3）数据大数据技术下的驱动模式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4）培育自主探索、敬业、专注的工匠精神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（1）大数据在教育领域的应用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（2）大数据在互联网领域的应用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（3）大数据在金融领域的应用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（4）大数据在通信领域的应用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（5）大数据应用的未来发展趋势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（1）基于大数据的云教学平台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（2）大数据模型的学习情景及知识构建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（3）基于大数据的云平台的构建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（4）协同过滤算法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（1）基于大数据的云平台的构建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（2）协同过滤算法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1.大数据应用未来的发展趋势。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2.智能推荐系统的组成部分。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3.协同过滤算法的核心思想。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学生展示的时候教师引导学生提问，加强了学生之间的互动，充分调动了学生学习的进取性，更体现了教师“导”的作用。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24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