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2022/3/29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6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大数据采集与存储（下）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1）了解分布式村健系统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2）熟悉HDFS关键技术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3）掌握云存储、数据仓库、数据湖和数据库的区别与联系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4）熟悉数据中心的概念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5）培育自主探索、敬业、专注的工匠精神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（1）分布式文件系统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（2）HDFS概述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（3）云存储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（4）数据仓库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（1）分布式存储系统的结构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（2）NameNode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（3）DataNode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（4）数据仓库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（1）数据仓库与数据库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（2）流式数据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（3）HDFS的容错机制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1.什么是云存储？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2.数据仓库与数据湖的区别。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3.数据仓库的概念。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上课过程中，每一个环节过渡非常流畅，学生提问积极。课堂联系知识面覆盖面广，且联系紧凑，提升学生对本课程知识理解的同时，能够有效地提高动手能力。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3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29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