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2022/4/5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7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大数据管理（上）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1）了解数据收集、数据存储、数据治理、数据组织以及管理和支付大型数据存储库的策略、过程和技术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2）掌握数据模型的管理和架构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3）熟悉大数据管理和传统数据管理的区别与联系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（1）数据管理概述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（2）数据模型管理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（3）主数据的管理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（1）数据管理的概念和步骤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（2）数据模型的要素和类型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（3）共享数据与核心数据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（1）数据结构、数据操作及数据约束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（2）分布式系统数据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1.阐述数据管理技术的发展阶段。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2.数据模型的类型。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3.核心数据的存储要求。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教学中为了锻炼同学们自我组织能力、自我管理能力，为了有目的、有组织、有计划地教学，满足所有同学的兴趣和需要。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