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 w:line="288" w:lineRule="auto" w:before="720"/>
        <w:jc w:val="center"/>
        <w:pBdr>
          <w:bottom w:val="single" w:sz="6" w:space="4" w:color="1B4F8A"/>
        </w:pBdr>
      </w:pPr>
      <w:r>
        <w:rPr>
          <w:rFonts w:ascii="Arial" w:hAnsi="Arial" w:eastAsia="微软雅黑"/>
          <w:b/>
          <w:color w:val="0D2C54"/>
          <w:sz w:val="44"/>
        </w:rPr>
        <w:t>注册电气工程师（供配电）— 不同基础学员复习建议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888888"/>
          <w:sz w:val="18"/>
        </w:rPr>
        <w:t xml:space="preserve">**版本**：V1.0 | **日期**：2026-06-22 | **适用**：基础考试 + 专业考试  </w:t>
      </w: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/>
          <w:color w:val="C0392B"/>
          <w:sz w:val="19"/>
        </w:rPr>
        <w:t>**标注**：AI初稿 | 考试政策以官方最新版为准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一、学员分层标准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判定标准</w:t>
            </w:r>
          </w:p>
        </w:tc>
        <w:tc>
          <w:tcPr>
            <w:tcW w:type="dxa" w:w="3009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典型画像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**零基础**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非电气专业 / 毕业多年知识遗忘 / 模考基础＜60分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跨行备考、土木/机械转电气</w:t>
            </w:r>
          </w:p>
        </w:tc>
      </w:tr>
      <w:tr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**中等基础**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电气相关专业 / 基础能用但不成体系 / 模考基础60-90分</w:t>
            </w:r>
          </w:p>
        </w:tc>
        <w:tc>
          <w:tcPr>
            <w:tcW w:type="dxa" w:w="3009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电气专业毕业3-5年、设计院初级工程师</w:t>
            </w:r>
          </w:p>
        </w:tc>
      </w:tr>
      <w:tr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**冲刺拔高**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电气专业扎实 / 有项目经验 / 模考基础≥90分</w:t>
            </w:r>
          </w:p>
        </w:tc>
        <w:tc>
          <w:tcPr>
            <w:tcW w:type="dxa" w:w="3009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设计院骨干、电力系统从业者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二、基础考试 — 三层复习方案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2.1 时间总规划</w:t>
      </w:r>
    </w:p>
    <w:p>
      <w:pPr>
        <w:spacing w:after="120" w:line="372" w:lineRule="auto" w:before="0"/>
        <w:ind w:left="567"/>
        <w:shd w:fill="F8F8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总周期：5-7个月（零基础）/ 3-4个月（中等）/ 1-2个月（冲刺）</w:t>
        <w:br/>
        <w:t>作息建议：每天2-3小时（工作日1.5h + 周末4h）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`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2.2 零基础方案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目标</w:t>
      </w:r>
      <w:r>
        <w:rPr>
          <w:rFonts w:ascii="Arial" w:hAnsi="Arial" w:eastAsia="等线"/>
          <w:b w:val="0"/>
          <w:color w:val="2D2D2D"/>
          <w:sz w:val="21"/>
        </w:rPr>
        <w:t>：基础考试132分过线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阶段一：扫盲期（第1-8周）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重点攻克：电路与电磁场（18题×2分=36分！）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学习方法：先看视频课建立感性认识 → 再读教材 → 做基础题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科目优先级：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1. 电路与电磁场（36分，核心中的核心）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2. 电气工程基础（30题×2分=60分，半壁江山）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3. 高等数学（24分，必须拿稳）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4. 模拟电子+数字电子（24分）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5. 材料力学（15分）+ 理论力学（13分）+ 流体力学（12分）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6. 计算机基础（10分）+ 电工电子技术（12分）+ 工程经济（10分）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7. 普通物理（12分）+ 普通化学（12分）+ 法律法规（6分）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/>
          <w:color w:val="C0392B"/>
          <w:sz w:val="19"/>
        </w:rPr>
        <w:t>• ⚠️ 放弃策略：理论力学、流体力学、化学可战略性降低投入，保住基础分即可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阶段二：强化期（第9-16周）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逐章刷题：每题必看解析，标注错因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重点刷：电路分析计算题、三相电路、一阶动态电路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开始做年份真题，记录每科目得分率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阶段三：冲刺期（第17-20周）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近5年真题3遍以上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错题本复盘：电路计算题高错误类型重点补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模拟考试环境，掐时间做完整套卷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关键提醒</w:t>
      </w:r>
      <w:r>
        <w:rPr>
          <w:rFonts w:ascii="Arial" w:hAnsi="Arial" w:eastAsia="等线"/>
          <w:b w:val="0"/>
          <w:color w:val="2D2D2D"/>
          <w:sz w:val="21"/>
        </w:rPr>
        <w:t>：零基础学员最容易放弃"电气工程基础"的电机学部分。电机学确实难，但30题60分你不能全丢！至少拿20分（做对10题）。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2.3 中等基础方案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目标</w:t>
      </w:r>
      <w:r>
        <w:rPr>
          <w:rFonts w:ascii="Arial" w:hAnsi="Arial" w:eastAsia="等线"/>
          <w:b w:val="0"/>
          <w:color w:val="2D2D2D"/>
          <w:sz w:val="21"/>
        </w:rPr>
        <w:t>：基础考试160+分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阶段一：补漏期（第1-4周）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诊断薄弱点：做2套真题，统计各科目正确率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重点补：模拟电子（放大电路分析）、数字电子（时序逻辑）、材料力学（应力分析）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阶段二：系统化期（第5-10周）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电路分析：戴维南/诺顿定理综合应用、正弦稳态电路相量法、三相电路功率计算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电机学：变压器等效电路、异步电动机T-s曲线、同步发电机并网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电力系统：标幺值计算、潮流计算基础、短路电流计算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阶段三：冲刺期（第11-14周）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刷近5年真题，目标正确率80%+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整理"秒杀公式"：常见电路等效变换、三相功率公式变体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2.4 冲刺拔高方案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目标</w:t>
      </w:r>
      <w:r>
        <w:rPr>
          <w:rFonts w:ascii="Arial" w:hAnsi="Arial" w:eastAsia="等线"/>
          <w:b w:val="0"/>
          <w:color w:val="2D2D2D"/>
          <w:sz w:val="21"/>
        </w:rPr>
        <w:t>：基础考试180+分，同步预习专业考试内容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策略</w:t>
      </w:r>
      <w:r>
        <w:rPr>
          <w:rFonts w:ascii="Arial" w:hAnsi="Arial" w:eastAsia="等线"/>
          <w:b w:val="0"/>
          <w:color w:val="2D2D2D"/>
          <w:sz w:val="21"/>
        </w:rPr>
        <w:t>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2周快速过一遍基础考点查漏补缺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重点时间分配给**专业考试预备**：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提前读《供配电系统设计规范》GB50052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提前读《低压配电设计规范》GB50054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提前练短路电流计算（专业案例核心）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三、专业考试（供配电）— 三层复习方案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3.1 核心策略</w:t>
      </w:r>
    </w:p>
    <w:p>
      <w:pPr>
        <w:spacing w:after="120" w:line="372" w:lineRule="auto" w:before="0"/>
        <w:ind w:left="567"/>
        <w:shd w:fill="F8F8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专业考试 = 知识题（200分/120过线）+ 案例题（100分/60过线）</w:t>
        <w:br/>
        <w:t>开卷考试！规范带齐 = 成功一半！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`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3.2 零基础方案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阶段一：体系搭建（第1-6周）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逐章通读规范，每章做笔记：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安全（8-10分）：重点记电击防护措施、等电位联结要求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负荷分级及计算（10-15分）：必须会算！需要系数法、二项式法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供配电系统（15-20分）：接线方式、无功补偿、谐波抑制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短路电流计算（15-20分）：标幺值法、有名值法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设备选择（10-15分）：按正常工作条件选、按短路条件校验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防雷与接地（15分）：建筑物防雷分类、接地电阻计算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照明（10-15分）：照度计算（利用系数法）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电气传动（8-10分）：电动机起动、调速、制动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建筑智能化（5-8分）：火灾报警、综合布线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阶段二：刷题期（第7-14周）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先做知识题（单选+多选，相对简单）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再攻案例题（需要计算+规范翻阅能力）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每道案例题标注引用规范编号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阶段三：冲刺期（第15-18周）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近5年专业真题2遍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整理"规范速查表"：每本规范的关键页码标注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模拟开卷考试：训练快速翻规范的能力（这是关键！）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3.3 中等基础方案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阶段一：规范精读（第1-4周）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重点规范逐条过：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1. GB50052 供配电系统设计规范（15-20分）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2. GB50054 低压配电设计规范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3. GB50057 建筑物防雷设计规范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4. GB50059 35-110kV变电所设计规范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5. GB50060 3kV-110kV高压配电装置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6. GB50217 电力工程电缆设计规范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7. GB50034 建筑照明设计标准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阶段二：案例突破（第5-10周）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案例题四大拦路虎：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1. 短路电流计算（标幺值法、对称分量法）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2. 负荷计算（需要系数法、利用系数法）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3. 照度计算（利用系数法、逐点计算法）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4. 接地电阻计算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每类做20题以上直到熟练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阶段三：套卷演练（第11-14周）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完整模拟：第一天知识题、第二天案例题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训练答题节奏：案例题时间非常紧张！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3.4 冲刺拔高方案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策略</w:t>
      </w:r>
      <w:r>
        <w:rPr>
          <w:rFonts w:ascii="Arial" w:hAnsi="Arial" w:eastAsia="等线"/>
          <w:b w:val="0"/>
          <w:color w:val="2D2D2D"/>
          <w:sz w:val="21"/>
        </w:rPr>
        <w:t>：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案例题刷量优先：做近8年全部案例真题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整理"踩分点清单"：每道案例题的得分关键步骤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规范标注技巧：用标签纸标注高频条款页码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关注新规范变化（旧规范废止、新规范实施）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四、共用复习技巧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4.1 规范管理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打印规范或用正版纸质书（考试只能带纸质）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建议用标签贴标注关键条款：比如"GB50052-3.0.2 二级负荷供电要求"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整理一份《规范速查索引表》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4.2 错题管理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每道错题标注三种信息：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错误原因（概念混淆/计算失误/规范不熟/审题不细）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对应知识点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 xml:space="preserve">  - 正确解题步骤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4.3 时间管理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知识题：每道单选≤1.5分钟，多选≤2分钟</w:t>
      </w:r>
    </w:p>
    <w:p>
      <w:pPr>
        <w:spacing w:after="120" w:line="372" w:lineRule="auto" w:before="0"/>
        <w:ind w:left="680"/>
        <w:jc w:val="left"/>
      </w:pPr>
      <w:r>
        <w:rPr>
          <w:rFonts w:ascii="Arial" w:hAnsi="Arial" w:eastAsia="等线"/>
          <w:b w:val="0"/>
          <w:color w:val="2D2D2D"/>
          <w:sz w:val="21"/>
        </w:rPr>
        <w:t>• 案例题：每道≤6分钟（25题×6分=150分钟，剩下30分钟检查）</w:t>
      </w:r>
    </w:p>
    <w:p>
      <w:pPr>
        <w:pStyle w:val="Heading3"/>
        <w:spacing w:after="160" w:line="312" w:lineRule="auto" w:before="400"/>
        <w:jc w:val="left"/>
      </w:pPr>
      <w:r>
        <w:rPr>
          <w:rFonts w:ascii="Arial" w:hAnsi="Arial" w:eastAsia="微软雅黑"/>
          <w:b/>
          <w:color w:val="2E75B6"/>
          <w:sz w:val="25"/>
        </w:rPr>
        <w:t>4.4 推荐的复习顺序</w:t>
      </w:r>
    </w:p>
    <w:p>
      <w:pPr>
        <w:spacing w:after="120" w:line="372" w:lineRule="auto" w:before="0"/>
        <w:ind w:left="567"/>
        <w:shd w:fill="F8F8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电路与电磁场 → 电气工程基础 → 模拟+数字电子</w:t>
        <w:br/>
        <w:t>→ 安全 → 负荷计算 → 供配电系统 → 短路电流 → 设备选择</w:t>
        <w:br/>
        <w:t>→ 电缆 → 继电保护 → 防雷接地 → 照明 → 电气传动 → 智能化</w:t>
      </w:r>
    </w:p>
    <w:p>
      <w:pPr>
        <w:spacing w:after="120" w:line="372" w:lineRule="auto" w:before="0"/>
        <w:jc w:val="left"/>
      </w:pPr>
      <w:r>
        <w:rPr>
          <w:rFonts w:ascii="Arial" w:hAnsi="Arial" w:eastAsia="等线"/>
          <w:b w:val="0"/>
          <w:color w:val="2D2D2D"/>
          <w:sz w:val="21"/>
        </w:rPr>
        <w:t>`</w:t>
      </w: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pStyle w:val="Heading2"/>
        <w:spacing w:after="240" w:line="312" w:lineRule="auto" w:before="560"/>
        <w:jc w:val="left"/>
        <w:pBdr>
          <w:left w:val="single" w:sz="18" w:space="8" w:color="2E75B6"/>
        </w:pBdr>
      </w:pPr>
      <w:r>
        <w:rPr>
          <w:rFonts w:ascii="Arial" w:hAnsi="Arial" w:eastAsia="微软雅黑"/>
          <w:b/>
          <w:color w:val="1B4F8A"/>
          <w:sz w:val="30"/>
        </w:rPr>
        <w:t>五、三轮复习法（通用型）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用时占比</w:t>
            </w:r>
          </w:p>
        </w:tc>
        <w:tc>
          <w:tcPr>
            <w:tcW w:type="dxa" w:w="2256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/>
                <w:color w:val="FFFFFF"/>
                <w:sz w:val="20"/>
              </w:rPr>
            </w:r>
            <w:r>
              <w:rPr>
                <w:rFonts w:ascii="Arial" w:hAnsi="Arial" w:eastAsia="等线"/>
                <w:b/>
                <w:color w:val="FFFFFF"/>
                <w:sz w:val="20"/>
              </w:rPr>
              <w:t>核心动作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第一轮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建立框架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40%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通读教材/规范，做章节练习，不追求正确率</w:t>
            </w:r>
          </w:p>
        </w:tc>
      </w:tr>
      <w:tr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第二轮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强化重点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35%</w:t>
            </w:r>
          </w:p>
        </w:tc>
        <w:tc>
          <w:tcPr>
            <w:tcW w:type="dxa" w:w="2256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分专题突破高频考点，做年份真题，整理错题</w:t>
            </w:r>
          </w:p>
        </w:tc>
      </w:tr>
      <w:tr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left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第三轮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冲刺模拟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25%</w:t>
            </w:r>
          </w:p>
        </w:tc>
        <w:tc>
          <w:tcPr>
            <w:tcW w:type="dxa" w:w="2256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312" w:lineRule="auto" w:before="40" w:after="40"/>
              <w:jc w:val="center"/>
            </w:pPr>
            <w:r>
              <w:rPr>
                <w:rFonts w:eastAsia="等线" w:ascii="Arial" w:hAnsi="Arial"/>
                <w:b w:val="0"/>
                <w:color w:val="2D2D2D"/>
                <w:sz w:val="19"/>
              </w:rPr>
            </w:r>
            <w:r>
              <w:rPr>
                <w:rFonts w:ascii="Arial" w:hAnsi="Arial" w:eastAsia="等线"/>
                <w:b w:val="0"/>
                <w:color w:val="2D2D2D"/>
                <w:sz w:val="19"/>
              </w:rPr>
              <w:t>限时模拟，错题清零，规范速查训练</w:t>
            </w:r>
          </w:p>
        </w:tc>
      </w:tr>
    </w:tbl>
    <w:p>
      <w:pPr>
        <w:spacing w:line="372" w:lineRule="auto" w:before="0" w:after="120"/>
        <w:jc w:val="left"/>
      </w:pPr>
    </w:p>
    <w:p>
      <w:pPr>
        <w:spacing w:before="0" w:after="120" w:line="372" w:lineRule="auto"/>
        <w:pBdr>
          <w:bottom w:val="single" w:sz="6" w:space="1" w:color="CCCCCC"/>
        </w:pBdr>
        <w:jc w:val="left"/>
      </w:pPr>
    </w:p>
    <w:p>
      <w:pPr>
        <w:spacing w:after="120" w:line="372" w:lineRule="auto" w:before="0"/>
        <w:ind w:left="680"/>
        <w:shd w:fill="F0F4F8" w:val="clear"/>
        <w:jc w:val="left"/>
      </w:pPr>
      <w:r>
        <w:rPr>
          <w:rFonts w:ascii="Arial" w:hAnsi="Arial" w:eastAsia="等线"/>
          <w:b w:val="0"/>
          <w:color w:val="2D2D2D"/>
          <w:sz w:val="21"/>
        </w:rPr>
        <w:t>📌 **猴哥备注**：本建议可作为学员服务文案素材，或课程顾问话术参考。建议配合「高频考点与易错点」文档使用。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等线" w:ascii="Arial" w:hAnsi="Arial"/>
        <w:b w:val="0"/>
        <w:color w:val="88888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eastAsia="等线" w:ascii="Arial" w:hAnsi="Arial"/>
        <w:b w:val="0"/>
        <w:color w:val="88888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0D0D0"/>
      </w:pBdr>
    </w:pPr>
    <w:r>
      <w:rPr>
        <w:rFonts w:eastAsia="等线" w:ascii="Arial" w:hAnsi="Arial"/>
        <w:b w:val="0"/>
        <w:color w:val="888888"/>
        <w:sz w:val="16"/>
      </w:rPr>
      <w:t>供配电 · 分基础复习建议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