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FFC17">
      <w:pPr>
        <w:spacing w:after="300"/>
        <w:jc w:val="center"/>
      </w:pPr>
      <w:bookmarkStart w:id="0" w:name="_GoBack"/>
      <w:bookmarkEnd w:id="0"/>
      <w:r>
        <w:rPr>
          <w:rFonts w:ascii="楷体" w:hAnsi="楷体" w:eastAsia="楷体" w:cs="楷体"/>
          <w:b/>
          <w:bCs/>
          <w:sz w:val="28"/>
          <w:szCs w:val="28"/>
        </w:rPr>
        <w:t>某水库工程设计报告</w:t>
      </w:r>
    </w:p>
    <w:p w14:paraId="2F2C87E2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第一章 工程概况</w:t>
      </w:r>
    </w:p>
    <w:p w14:paraId="4B0F776F">
      <w:pPr>
        <w:spacing w:after="100"/>
      </w:pPr>
      <w:r>
        <w:rPr>
          <w:rFonts w:ascii="仿宋" w:hAnsi="仿宋" w:eastAsia="仿宋" w:cs="仿宋"/>
          <w:sz w:val="21"/>
          <w:szCs w:val="21"/>
        </w:rPr>
        <w:t>某水库位于某省某市某县境内，是一座以灌溉为主，兼顾防洪、发电、养殖等综合利用的中型水库工程。水库坝址以上控制流域面积256平方公里，主河道长度45公里，河道平均比降3.2‰。</w:t>
      </w:r>
    </w:p>
    <w:p w14:paraId="149F298E">
      <w:pPr>
        <w:spacing w:after="100"/>
        <w:jc w:val="left"/>
      </w:pPr>
      <w:r>
        <w:rPr>
          <w:rFonts w:ascii="楷体" w:hAnsi="楷体" w:eastAsia="楷体" w:cs="楷体"/>
          <w:sz w:val="21"/>
          <w:szCs w:val="21"/>
        </w:rPr>
        <w:t>工程主要由大坝、溢洪道、输水隧洞、电站厂房等建筑物组成。大坝为粘土心墙堆石坝，最大坝高68.5m，坝顶长度320m，坝顶宽度8m。溢洪道布置在左岸，为开敞式溢洪道，设计泄洪流量1200立方米每秒。</w:t>
      </w:r>
    </w:p>
    <w:p w14:paraId="465738FC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1.1 地质条件</w:t>
      </w:r>
    </w:p>
    <w:p w14:paraId="7A9156C1">
      <w:pPr>
        <w:spacing w:after="100"/>
      </w:pPr>
      <w:r>
        <w:rPr>
          <w:rFonts w:ascii="楷体" w:hAnsi="楷体" w:eastAsia="楷体" w:cs="楷体"/>
          <w:sz w:val="20"/>
          <w:szCs w:val="20"/>
        </w:rPr>
        <w:t>坝址区地层主要为侏罗系砂岩、泥岩，第四系覆盖层主要为冲积层和残坡积层。坝基岩体以Ⅲ类为主，局部为Ⅳ类。左岸边坡稳定性较好，右岸存在小型滑坡体，需进行处理。</w:t>
      </w:r>
    </w:p>
    <w:p w14:paraId="20D435D5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1.2 水文气象</w:t>
      </w:r>
    </w:p>
    <w:p w14:paraId="35A8CDD4">
      <w:pPr>
        <w:spacing w:after="100"/>
      </w:pPr>
      <w:r>
        <w:rPr>
          <w:rFonts w:ascii="仿宋" w:hAnsi="仿宋" w:eastAsia="仿宋" w:cs="仿宋"/>
          <w:sz w:val="20"/>
          <w:szCs w:val="20"/>
        </w:rPr>
        <w:t>本流域属亚热带季风气候区，多年平均气温16.8℃，多年平均降水量1250mm，降水主要集中在5-9月，占全年降水量的70%以上。多年平均蒸发量850mm，多年平均风速2.5m/s。</w:t>
      </w:r>
    </w:p>
    <w:p w14:paraId="00906AFB">
      <w:pPr>
        <w:spacing w:before="200"/>
        <w:jc w:val="center"/>
      </w:pPr>
      <w:r>
        <w:drawing>
          <wp:inline distT="0" distB="0" distL="0" distR="0">
            <wp:extent cx="3333750" cy="2095500"/>
            <wp:effectExtent l="0" t="0" r="0" b="0"/>
            <wp:docPr id="1" name="图1" descr="水库工程地理位置示意图" title="工程位置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水库工程地理位置示意图" title="工程位置示意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3A58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图1 工程位置示意图</w:t>
      </w:r>
    </w:p>
    <w:p w14:paraId="74A0ED52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第二章 枢纽布置</w:t>
      </w:r>
    </w:p>
    <w:p w14:paraId="4B96FEF2">
      <w:pPr>
        <w:spacing w:after="100"/>
      </w:pPr>
      <w:r>
        <w:rPr>
          <w:rFonts w:ascii="楷体" w:hAnsi="楷体" w:eastAsia="楷体" w:cs="楷体"/>
          <w:sz w:val="20"/>
          <w:szCs w:val="20"/>
        </w:rPr>
        <w:t>根据地形地质条件，经多方案比选，推荐坝型为粘土心墙堆石坝。枢纽布置采用坝身泄洪、右岸引水的布置方式。溢洪道布置在左岸坝肩，输水隧洞布置在右岸，电站厂房布置在输水隧洞出口。</w:t>
      </w:r>
    </w:p>
    <w:p w14:paraId="1F6D3D91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2.1 大坝设计</w:t>
      </w:r>
    </w:p>
    <w:p w14:paraId="616C0504">
      <w:pPr>
        <w:spacing w:after="100"/>
      </w:pPr>
      <w:r>
        <w:rPr>
          <w:rFonts w:ascii="仿宋" w:hAnsi="仿宋" w:eastAsia="仿宋" w:cs="仿宋"/>
          <w:sz w:val="20"/>
          <w:szCs w:val="20"/>
        </w:rPr>
        <w:t>大坝为粘土心墙堆石坝，坝顶高程585.00m，最大坝高68.5m，坝顶长度320m，坝顶宽度8m。上游坝坡1:1.8，下游坝坡1:1.6。粘土心墙顶宽3m，上下游坡比均为1:0.2。</w:t>
      </w:r>
    </w:p>
    <w:p w14:paraId="1C2291FF">
      <w:pPr>
        <w:spacing w:before="200" w:after="100"/>
        <w:jc w:val="center"/>
      </w:pPr>
      <w:r>
        <w:rPr>
          <w:rFonts w:ascii="仿宋" w:hAnsi="仿宋" w:eastAsia="仿宋" w:cs="仿宋"/>
          <w:sz w:val="21"/>
          <w:szCs w:val="21"/>
        </w:rPr>
        <w:t>表1 大坝主要工程特性表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549"/>
        <w:gridCol w:w="420"/>
        <w:gridCol w:w="1020"/>
      </w:tblGrid>
      <w:tr w14:paraId="6AB49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440969A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3B6FA7EF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2B023C2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</w:tcPr>
          <w:p w14:paraId="073442C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备注</w:t>
            </w:r>
          </w:p>
        </w:tc>
      </w:tr>
      <w:tr w14:paraId="6F402A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7E2034">
            <w:r>
              <w:rPr>
                <w:rFonts w:ascii="楷体" w:hAnsi="楷体" w:eastAsia="楷体" w:cs="楷体"/>
                <w:sz w:val="20"/>
                <w:szCs w:val="20"/>
              </w:rPr>
              <w:t>坝高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1B385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32A485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68.5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872646"/>
        </w:tc>
      </w:tr>
      <w:tr w14:paraId="69F3E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E881FF">
            <w:r>
              <w:rPr>
                <w:rFonts w:ascii="楷体" w:hAnsi="楷体" w:eastAsia="楷体" w:cs="楷体"/>
                <w:sz w:val="20"/>
                <w:szCs w:val="20"/>
              </w:rPr>
              <w:t>坝顶长度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BA184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F2EE3D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9BAB83"/>
        </w:tc>
      </w:tr>
      <w:tr w14:paraId="3D27A6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7223F">
            <w:r>
              <w:rPr>
                <w:rFonts w:ascii="楷体" w:hAnsi="楷体" w:eastAsia="楷体" w:cs="楷体"/>
                <w:sz w:val="20"/>
                <w:szCs w:val="20"/>
              </w:rPr>
              <w:t>坝顶宽度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4258DF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26F2AB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28398A"/>
        </w:tc>
      </w:tr>
      <w:tr w14:paraId="6C732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D4CF2">
            <w:r>
              <w:rPr>
                <w:rFonts w:ascii="楷体" w:hAnsi="楷体" w:eastAsia="楷体" w:cs="楷体"/>
                <w:sz w:val="20"/>
                <w:szCs w:val="20"/>
              </w:rPr>
              <w:t>总库容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DEB0B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万m³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2DB862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5680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D39CD4">
            <w:r>
              <w:rPr>
                <w:rFonts w:ascii="楷体" w:hAnsi="楷体" w:eastAsia="楷体" w:cs="楷体"/>
                <w:sz w:val="20"/>
                <w:szCs w:val="20"/>
              </w:rPr>
              <w:t>正常蓄水位</w:t>
            </w:r>
          </w:p>
        </w:tc>
      </w:tr>
      <w:tr w14:paraId="3A229B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0E3B8">
            <w:r>
              <w:rPr>
                <w:rFonts w:ascii="楷体" w:hAnsi="楷体" w:eastAsia="楷体" w:cs="楷体"/>
                <w:sz w:val="20"/>
                <w:szCs w:val="20"/>
              </w:rPr>
              <w:t>装机容量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07AE9F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MW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B001AA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12.5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46EC2D">
            <w:r>
              <w:rPr>
                <w:rFonts w:ascii="楷体" w:hAnsi="楷体" w:eastAsia="楷体" w:cs="楷体"/>
                <w:sz w:val="20"/>
                <w:szCs w:val="20"/>
              </w:rPr>
              <w:t>3台机组</w:t>
            </w:r>
          </w:p>
        </w:tc>
      </w:tr>
    </w:tbl>
    <w:p w14:paraId="06BF0DA8">
      <w:pPr>
        <w:spacing w:before="300" w:after="150"/>
      </w:pPr>
      <w:r>
        <w:rPr>
          <w:rFonts w:ascii="仿宋" w:hAnsi="仿宋" w:eastAsia="仿宋" w:cs="仿宋"/>
          <w:b/>
          <w:bCs/>
          <w:sz w:val="21"/>
          <w:szCs w:val="21"/>
        </w:rPr>
        <w:t>2.1.1 坝体结构</w:t>
      </w:r>
    </w:p>
    <w:p w14:paraId="36CE2AA7">
      <w:pPr>
        <w:spacing w:after="100"/>
      </w:pPr>
      <w:r>
        <w:rPr>
          <w:rFonts w:ascii="楷体" w:hAnsi="楷体" w:eastAsia="楷体" w:cs="楷体"/>
          <w:sz w:val="20"/>
          <w:szCs w:val="20"/>
        </w:rPr>
        <w:t>坝体由粘土心墙、反滤层、过渡层、堆石体等组成。粘土心墙采用当地粘土料，渗透系数小于1×10⁻⁵cm/s。反滤层采用砂砾料，过渡层采用洞渣料，堆石体采用开挖石料。</w:t>
      </w:r>
    </w:p>
    <w:p w14:paraId="7F284BFB">
      <w:pPr>
        <w:spacing w:before="250" w:after="100"/>
      </w:pPr>
      <w:r>
        <w:rPr>
          <w:rFonts w:ascii="宋体" w:hAnsi="宋体" w:eastAsia="宋体" w:cs="宋体"/>
          <w:b w:val="0"/>
          <w:bCs w:val="0"/>
          <w:sz w:val="20"/>
          <w:szCs w:val="20"/>
        </w:rPr>
        <w:t>2.1.1.1 粘土心墙</w:t>
      </w:r>
    </w:p>
    <w:p w14:paraId="13F6B86A">
      <w:pPr>
        <w:spacing w:after="100"/>
      </w:pPr>
      <w:r>
        <w:rPr>
          <w:rFonts w:ascii="仿宋" w:hAnsi="仿宋" w:eastAsia="仿宋" w:cs="仿宋"/>
          <w:sz w:val="20"/>
          <w:szCs w:val="20"/>
        </w:rPr>
        <w:t>粘土心墙位于坝体中部，顶宽3m，上下游坡比均为1:0.2。心墙底部设混凝土垫层，厚度0.5m。心墙与两岸岸坡接触面设置混凝土齿墙，齿墙深度1.5m。</w:t>
      </w:r>
    </w:p>
    <w:p w14:paraId="78BC49DE">
      <w:pPr>
        <w:spacing w:before="200"/>
        <w:jc w:val="center"/>
      </w:pPr>
      <w:r>
        <w:drawing>
          <wp:inline distT="0" distB="0" distL="0" distR="0">
            <wp:extent cx="3810000" cy="1857375"/>
            <wp:effectExtent l="0" t="0" r="0" b="0"/>
            <wp:docPr id="2" name="图2" descr="粘土心墙堆石坝典型剖面图" title="大坝剖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粘土心墙堆石坝典型剖面图" title="大坝剖面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F541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图2 大坝典型剖面图</w:t>
      </w:r>
    </w:p>
    <w:p w14:paraId="7E7EA85A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2.2 溢洪道设计</w:t>
      </w:r>
    </w:p>
    <w:p w14:paraId="62C9F99D">
      <w:pPr>
        <w:spacing w:after="100"/>
      </w:pPr>
      <w:r>
        <w:rPr>
          <w:rFonts w:ascii="楷体" w:hAnsi="楷体" w:eastAsia="楷体" w:cs="楷体"/>
          <w:sz w:val="20"/>
          <w:szCs w:val="20"/>
        </w:rPr>
        <w:t>溢洪道布置在左岸坝肩，为开敞式溢洪道，由进水渠、控制段、泄槽、消能工等组成。设计泄洪流量1200立方米每秒，校核泄洪流量1800立方米每秒。溢流堰采用WES型实用堰，堰顶高程575.00m，堰顶净宽30m。</w:t>
      </w:r>
    </w:p>
    <w:p w14:paraId="12D0E7F6">
      <w:pPr>
        <w:spacing w:before="250" w:after="100"/>
      </w:pPr>
      <w:r>
        <w:rPr>
          <w:rFonts w:ascii="仿宋" w:hAnsi="仿宋" w:eastAsia="仿宋" w:cs="仿宋"/>
          <w:b/>
          <w:bCs/>
          <w:sz w:val="21"/>
          <w:szCs w:val="21"/>
        </w:rPr>
        <w:t>2.2.1 进水渠</w:t>
      </w:r>
    </w:p>
    <w:p w14:paraId="0C6B56FD">
      <w:pPr>
        <w:spacing w:after="100"/>
      </w:pPr>
      <w:r>
        <w:rPr>
          <w:rFonts w:ascii="宋体" w:hAnsi="宋体" w:eastAsia="宋体" w:cs="宋体"/>
          <w:sz w:val="20"/>
          <w:szCs w:val="20"/>
        </w:rPr>
        <w:t>进水渠长度150m，底宽由60m渐变至30m，底坡i=0.01。渠底采用混凝土衬砌，厚度0.3m。两岸边坡采用混凝土护坡，护坡厚度0.2m。进水渠与库区连接平顺，保证水流平稳进入控制段。</w:t>
      </w:r>
    </w:p>
    <w:p w14:paraId="648B5DBD">
      <w:pPr>
        <w:spacing w:before="400" w:after="200"/>
      </w:pPr>
      <w:r>
        <w:rPr>
          <w:rFonts w:ascii="宋体" w:hAnsi="宋体" w:eastAsia="宋体" w:cs="宋体"/>
          <w:b/>
          <w:bCs/>
          <w:sz w:val="24"/>
          <w:szCs w:val="24"/>
        </w:rPr>
        <w:t>第三章 施工组织设计</w:t>
      </w:r>
    </w:p>
    <w:p w14:paraId="714563F1">
      <w:pPr>
        <w:spacing w:after="100"/>
      </w:pPr>
      <w:r>
        <w:rPr>
          <w:rFonts w:ascii="楷体" w:hAnsi="楷体" w:eastAsia="楷体" w:cs="楷体"/>
          <w:sz w:val="20"/>
          <w:szCs w:val="20"/>
        </w:rPr>
        <w:t>工程施工总工期为36个月，其中准备期6个月，主体工程施工期26个月，完建期4个月。高峰施工强度：土石方开挖30万立方米每月，混凝土浇筑2.5万立方米每月。</w:t>
      </w:r>
    </w:p>
    <w:p w14:paraId="36900DFD">
      <w:pPr>
        <w:spacing w:before="200" w:after="100"/>
        <w:jc w:val="center"/>
      </w:pPr>
      <w:r>
        <w:rPr>
          <w:rFonts w:ascii="仿宋" w:hAnsi="仿宋" w:eastAsia="仿宋" w:cs="仿宋"/>
          <w:sz w:val="21"/>
          <w:szCs w:val="21"/>
        </w:rPr>
        <w:t>表2 施工进度计划表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220"/>
        <w:gridCol w:w="1320"/>
        <w:gridCol w:w="1020"/>
      </w:tblGrid>
      <w:tr w14:paraId="55180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259437C6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施工项目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08A50D88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2C6FFD2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0D0D0"/>
          </w:tcPr>
          <w:p w14:paraId="607D067C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工期（月）</w:t>
            </w:r>
          </w:p>
        </w:tc>
      </w:tr>
      <w:tr w14:paraId="33A033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16780E">
            <w:r>
              <w:rPr>
                <w:rFonts w:ascii="楷体" w:hAnsi="楷体" w:eastAsia="楷体" w:cs="楷体"/>
                <w:sz w:val="20"/>
                <w:szCs w:val="20"/>
              </w:rPr>
              <w:t>导流洞施工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2AD7A0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B4FCBA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FB92A1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6</w:t>
            </w:r>
          </w:p>
        </w:tc>
      </w:tr>
      <w:tr w14:paraId="0A68A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31B61">
            <w:r>
              <w:rPr>
                <w:rFonts w:ascii="楷体" w:hAnsi="楷体" w:eastAsia="楷体" w:cs="楷体"/>
                <w:sz w:val="20"/>
                <w:szCs w:val="20"/>
              </w:rPr>
              <w:t>坝基开挖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7CFEA2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第1年7月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3A2A76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第2年3月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82EA2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9</w:t>
            </w:r>
          </w:p>
        </w:tc>
      </w:tr>
      <w:tr w14:paraId="26C4D8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4C79D6">
            <w:r>
              <w:rPr>
                <w:rFonts w:ascii="楷体" w:hAnsi="楷体" w:eastAsia="楷体" w:cs="楷体"/>
                <w:sz w:val="20"/>
                <w:szCs w:val="20"/>
              </w:rPr>
              <w:t>大坝填筑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1654DC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第2年4月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138994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A1D6C9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17</w:t>
            </w:r>
          </w:p>
        </w:tc>
      </w:tr>
      <w:tr w14:paraId="4C0A16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ECDA98">
            <w:r>
              <w:rPr>
                <w:rFonts w:ascii="楷体" w:hAnsi="楷体" w:eastAsia="楷体" w:cs="楷体"/>
                <w:sz w:val="20"/>
                <w:szCs w:val="20"/>
              </w:rPr>
              <w:t>机组安装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9FCA1B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85C7F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第3年12月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AC98EE">
            <w:pPr>
              <w:jc w:val="center"/>
            </w:pPr>
            <w:r>
              <w:rPr>
                <w:rFonts w:ascii="楷体" w:hAnsi="楷体" w:eastAsia="楷体" w:cs="楷体"/>
                <w:sz w:val="20"/>
                <w:szCs w:val="20"/>
              </w:rPr>
              <w:t>7</w:t>
            </w:r>
          </w:p>
        </w:tc>
      </w:tr>
    </w:tbl>
    <w:p w14:paraId="36C0BCAD">
      <w:pPr>
        <w:spacing w:before="300" w:after="150"/>
      </w:pPr>
      <w:r>
        <w:rPr>
          <w:rFonts w:ascii="宋体" w:hAnsi="宋体" w:eastAsia="宋体" w:cs="宋体"/>
          <w:b/>
          <w:bCs/>
          <w:sz w:val="21"/>
          <w:szCs w:val="21"/>
        </w:rPr>
        <w:t>3.1 施工导流</w:t>
      </w:r>
    </w:p>
    <w:p w14:paraId="7F3D9841">
      <w:pPr>
        <w:spacing w:after="100"/>
      </w:pPr>
      <w:r>
        <w:rPr>
          <w:rFonts w:ascii="仿宋" w:hAnsi="仿宋" w:eastAsia="仿宋" w:cs="仿宋"/>
          <w:sz w:val="20"/>
          <w:szCs w:val="20"/>
        </w:rPr>
        <w:t>施工导流采用隧洞导流方式，导流洞布置在右岸，洞径6m，洞长450m。导流标准采用10年一遇洪水，相应流量450立方米每秒。上游围堰采用土石围堰，堰高25m。</w:t>
      </w:r>
    </w:p>
    <w:p w14:paraId="5EB45CE4">
      <w:pPr>
        <w:spacing w:before="200"/>
        <w:jc w:val="center"/>
      </w:pPr>
      <w:r>
        <w:drawing>
          <wp:inline distT="0" distB="0" distL="0" distR="0">
            <wp:extent cx="3619500" cy="1552575"/>
            <wp:effectExtent l="0" t="0" r="0" b="0"/>
            <wp:docPr id="3" name="图3" descr="施工导流方案平面布置图" title="施工导流布置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" descr="施工导流方案平面布置图" title="施工导流布置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E49">
      <w:pPr>
        <w:spacing w:after="200"/>
        <w:jc w:val="center"/>
      </w:pPr>
      <w:r>
        <w:rPr>
          <w:rFonts w:ascii="宋体" w:hAnsi="宋体" w:eastAsia="宋体" w:cs="宋体"/>
          <w:sz w:val="21"/>
          <w:szCs w:val="21"/>
        </w:rPr>
        <w:t>图3 施工导流布置图</w:t>
      </w:r>
    </w:p>
    <w:p w14:paraId="12CFD72F">
      <w:pPr>
        <w:spacing w:before="200" w:after="100"/>
      </w:pPr>
      <w:r>
        <w:rPr>
          <w:rFonts w:ascii="楷体" w:hAnsi="楷体" w:eastAsia="楷体" w:cs="楷体"/>
          <w:sz w:val="20"/>
          <w:szCs w:val="20"/>
        </w:rPr>
        <w:t>综上所述，本工程设计方案技术可行、经济合理，建议按推荐方案组织实施。</w:t>
      </w:r>
    </w:p>
    <w:sectPr>
      <w:headerReference r:id="rId3" w:type="default"/>
      <w:footerReference r:id="rId4" w:type="default"/>
      <w:pgSz w:w="11906" w:h="16838"/>
      <w:pgMar w:top="1000" w:right="800" w:bottom="10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1474B">
    <w:pPr>
      <w:jc w:val="right"/>
    </w:pPr>
    <w:r>
      <w:rPr>
        <w:rFonts w:ascii="宋体" w:hAnsi="宋体" w:eastAsia="宋体" w:cs="宋体"/>
        <w:sz w:val="20"/>
        <w:szCs w:val="20"/>
      </w:rP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 w:cs="宋体"/>
        <w:sz w:val="20"/>
        <w:szCs w:val="20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98EEE">
    <w:pPr>
      <w:jc w:val="left"/>
    </w:pPr>
    <w:r>
      <w:rPr>
        <w:rFonts w:ascii="楷体" w:hAnsi="楷体" w:eastAsia="楷体" w:cs="楷体"/>
        <w:sz w:val="18"/>
        <w:szCs w:val="18"/>
      </w:rPr>
      <w:t>某水库工程设计报告  第X章  工程概况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DEC2B1"/>
    <w:rsid w:val="D33769DB"/>
    <w:rsid w:val="EBFB53CC"/>
    <w:rsid w:val="EEB787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29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2026-04-10T05:55:00Z</dcterms:created>
  <dc:creator>Un-named</dc:creator>
  <cp:lastModifiedBy>董莹雪✨</cp:lastModifiedBy>
  <dcterms:modified xsi:type="dcterms:W3CDTF">2026-04-09T14:03:10Z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69EEB349D2576263663ED7699243F223_42</vt:lpwstr>
  </property>
</Properties>
</file>