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8FB1" w14:textId="77777777" w:rsidR="002A1B94" w:rsidRPr="002A1B94" w:rsidRDefault="002A1B94" w:rsidP="002A1B94">
      <w:pPr>
        <w:widowControl/>
        <w:adjustRightInd/>
        <w:snapToGrid/>
        <w:ind w:firstLineChars="0" w:firstLine="0"/>
        <w:jc w:val="center"/>
        <w:rPr>
          <w:rFonts w:ascii="宋体" w:hAnsi="宋体" w:cs="宋体"/>
          <w:color w:val="000000"/>
          <w:kern w:val="0"/>
          <w:sz w:val="28"/>
          <w:szCs w:val="28"/>
        </w:rPr>
      </w:pPr>
      <w:r w:rsidRPr="002A1B94">
        <w:rPr>
          <w:rFonts w:ascii="宋体" w:hAnsi="宋体" w:cs="宋体" w:hint="eastAsia"/>
          <w:color w:val="000000"/>
          <w:kern w:val="0"/>
          <w:sz w:val="28"/>
          <w:szCs w:val="28"/>
        </w:rPr>
        <w:t>利用神经网络</w:t>
      </w:r>
      <w:proofErr w:type="gramStart"/>
      <w:r w:rsidRPr="002A1B94">
        <w:rPr>
          <w:rFonts w:ascii="宋体" w:hAnsi="宋体" w:cs="宋体" w:hint="eastAsia"/>
          <w:color w:val="000000"/>
          <w:kern w:val="0"/>
          <w:sz w:val="28"/>
          <w:szCs w:val="28"/>
        </w:rPr>
        <w:t>预测标普</w:t>
      </w:r>
      <w:proofErr w:type="gramEnd"/>
      <w:r w:rsidRPr="002A1B94">
        <w:rPr>
          <w:rFonts w:cs="Times New Roman"/>
          <w:color w:val="000000"/>
          <w:kern w:val="0"/>
          <w:sz w:val="28"/>
          <w:szCs w:val="28"/>
        </w:rPr>
        <w:t>100</w:t>
      </w:r>
      <w:r w:rsidRPr="002A1B94">
        <w:rPr>
          <w:rFonts w:ascii="宋体" w:hAnsi="宋体" w:cs="宋体" w:hint="eastAsia"/>
          <w:color w:val="000000"/>
          <w:kern w:val="0"/>
          <w:sz w:val="28"/>
          <w:szCs w:val="28"/>
        </w:rPr>
        <w:t>指数隐含波动率</w:t>
      </w:r>
    </w:p>
    <w:p w14:paraId="230B03A3" w14:textId="2F0D117D" w:rsidR="00BD6BB8" w:rsidRDefault="00292AC9" w:rsidP="002A1B94">
      <w:pPr>
        <w:ind w:firstLine="420"/>
      </w:pPr>
      <w:r>
        <w:rPr>
          <w:rFonts w:hint="eastAsia"/>
        </w:rPr>
        <w:t>摘要：</w:t>
      </w:r>
      <w:r w:rsidRPr="00292AC9">
        <w:rPr>
          <w:rFonts w:hint="eastAsia"/>
        </w:rPr>
        <w:t>使用</w:t>
      </w:r>
      <w:r w:rsidRPr="00292AC9">
        <w:rPr>
          <w:rFonts w:hint="eastAsia"/>
        </w:rPr>
        <w:t>Black-Scholes</w:t>
      </w:r>
      <w:r w:rsidRPr="00292AC9">
        <w:rPr>
          <w:rFonts w:hint="eastAsia"/>
        </w:rPr>
        <w:t>模型计算的隐含波动率是目前最流行的估计波动率的方法，交易员认为隐含波动率是发出标的市场价格变动信号的一个重要因素。因此，对未来波动性进行准确预测的能力使交易员能够在预期市场趋势变化的情况下建立适当的战略头寸。利用过去的波动性和其他期权市场因素，开发了一个神经网络来预测未来的波动性。该网络的性能证明了其作为预测工具的价值。</w:t>
      </w:r>
    </w:p>
    <w:p w14:paraId="7EC76A2F" w14:textId="77777777" w:rsidR="00292AC9" w:rsidRDefault="00292AC9" w:rsidP="002A1B94">
      <w:pPr>
        <w:ind w:firstLine="420"/>
      </w:pPr>
      <w:r w:rsidRPr="00292AC9">
        <w:rPr>
          <w:rFonts w:hint="eastAsia"/>
        </w:rPr>
        <w:t>1.</w:t>
      </w:r>
      <w:r w:rsidRPr="00292AC9">
        <w:rPr>
          <w:rFonts w:hint="eastAsia"/>
        </w:rPr>
        <w:t>引言</w:t>
      </w:r>
    </w:p>
    <w:p w14:paraId="2364B31E" w14:textId="48245815" w:rsidR="00292AC9" w:rsidRDefault="00292AC9" w:rsidP="002A1B94">
      <w:pPr>
        <w:ind w:firstLine="420"/>
      </w:pPr>
      <w:r w:rsidRPr="00292AC9">
        <w:rPr>
          <w:rFonts w:hint="eastAsia"/>
        </w:rPr>
        <w:t>在过去十年里，预测金融市场波动性的愿望推动了大量研究</w:t>
      </w:r>
      <w:r w:rsidRPr="00292AC9">
        <w:rPr>
          <w:rFonts w:hint="eastAsia"/>
        </w:rPr>
        <w:t>[l]</w:t>
      </w:r>
      <w:r w:rsidRPr="00292AC9">
        <w:rPr>
          <w:rFonts w:hint="eastAsia"/>
        </w:rPr>
        <w:t>。波动性是一种衡量价格变动的指标，通常用来确定风险，并发出基础市场大幅波动的信号</w:t>
      </w:r>
      <w:r w:rsidRPr="00292AC9">
        <w:rPr>
          <w:rFonts w:hint="eastAsia"/>
        </w:rPr>
        <w:t>[3]</w:t>
      </w:r>
      <w:r w:rsidRPr="00292AC9">
        <w:rPr>
          <w:rFonts w:hint="eastAsia"/>
        </w:rPr>
        <w:t>。研究了波动性和许多其他变量之间的关系，试图理解潜在的过程，以便做出准确的预测</w:t>
      </w:r>
      <w:r w:rsidRPr="00292AC9">
        <w:rPr>
          <w:rFonts w:hint="eastAsia"/>
        </w:rPr>
        <w:t>[4</w:t>
      </w:r>
      <w:r w:rsidRPr="00292AC9">
        <w:rPr>
          <w:rFonts w:hint="eastAsia"/>
        </w:rPr>
        <w:t>，</w:t>
      </w:r>
      <w:r w:rsidRPr="00292AC9">
        <w:rPr>
          <w:rFonts w:hint="eastAsia"/>
        </w:rPr>
        <w:t>7</w:t>
      </w:r>
      <w:r w:rsidRPr="00292AC9">
        <w:rPr>
          <w:rFonts w:hint="eastAsia"/>
        </w:rPr>
        <w:t>，</w:t>
      </w:r>
      <w:r w:rsidRPr="00292AC9">
        <w:rPr>
          <w:rFonts w:hint="eastAsia"/>
        </w:rPr>
        <w:t>11</w:t>
      </w:r>
      <w:r w:rsidRPr="00292AC9">
        <w:rPr>
          <w:rFonts w:hint="eastAsia"/>
        </w:rPr>
        <w:t>，</w:t>
      </w:r>
      <w:r w:rsidRPr="00292AC9">
        <w:rPr>
          <w:rFonts w:hint="eastAsia"/>
        </w:rPr>
        <w:t>14</w:t>
      </w:r>
      <w:r w:rsidRPr="00292AC9">
        <w:rPr>
          <w:rFonts w:hint="eastAsia"/>
        </w:rPr>
        <w:t>，</w:t>
      </w:r>
      <w:r w:rsidRPr="00292AC9">
        <w:rPr>
          <w:rFonts w:hint="eastAsia"/>
        </w:rPr>
        <w:t>18]</w:t>
      </w:r>
      <w:r w:rsidRPr="00292AC9">
        <w:rPr>
          <w:rFonts w:hint="eastAsia"/>
        </w:rPr>
        <w:t>。市场波动的可预测性对于准确评估股票以确定预期市场回报非常重要</w:t>
      </w:r>
      <w:r w:rsidRPr="00292AC9">
        <w:rPr>
          <w:rFonts w:hint="eastAsia"/>
        </w:rPr>
        <w:t>[17]</w:t>
      </w:r>
      <w:r w:rsidRPr="00292AC9">
        <w:rPr>
          <w:rFonts w:hint="eastAsia"/>
        </w:rPr>
        <w:t>。赫尔和怀特</w:t>
      </w:r>
      <w:r w:rsidRPr="00292AC9">
        <w:rPr>
          <w:rFonts w:hint="eastAsia"/>
        </w:rPr>
        <w:t>[12]</w:t>
      </w:r>
      <w:r w:rsidRPr="00292AC9">
        <w:rPr>
          <w:rFonts w:hint="eastAsia"/>
        </w:rPr>
        <w:t>表明，基于波动性变化的市场信息交易可以赚取利润。波动</w:t>
      </w:r>
      <w:proofErr w:type="gramStart"/>
      <w:r w:rsidRPr="00292AC9">
        <w:rPr>
          <w:rFonts w:hint="eastAsia"/>
        </w:rPr>
        <w:t>率预测</w:t>
      </w:r>
      <w:proofErr w:type="gramEnd"/>
      <w:r w:rsidRPr="00292AC9">
        <w:rPr>
          <w:rFonts w:hint="eastAsia"/>
        </w:rPr>
        <w:t>是设计期权和期货最优动态套期保值策略的关键</w:t>
      </w:r>
      <w:r w:rsidRPr="00292AC9">
        <w:rPr>
          <w:rFonts w:hint="eastAsia"/>
        </w:rPr>
        <w:t>[1</w:t>
      </w:r>
      <w:r w:rsidRPr="00292AC9">
        <w:rPr>
          <w:rFonts w:hint="eastAsia"/>
        </w:rPr>
        <w:t>，</w:t>
      </w:r>
      <w:r w:rsidRPr="00292AC9">
        <w:rPr>
          <w:rFonts w:hint="eastAsia"/>
        </w:rPr>
        <w:t>9]</w:t>
      </w:r>
      <w:r w:rsidRPr="00292AC9">
        <w:rPr>
          <w:rFonts w:hint="eastAsia"/>
        </w:rPr>
        <w:t>。期权交易员使用对波动率的估计来预测收盘价，以确定当天早些时候采取的最佳头寸。最近期权交易员利用基于高波动性预测的策略获利的例子发生在</w:t>
      </w:r>
      <w:r w:rsidRPr="00292AC9">
        <w:rPr>
          <w:rFonts w:hint="eastAsia"/>
        </w:rPr>
        <w:t>1993</w:t>
      </w:r>
      <w:r w:rsidRPr="00292AC9">
        <w:rPr>
          <w:rFonts w:hint="eastAsia"/>
        </w:rPr>
        <w:t>年</w:t>
      </w:r>
      <w:r w:rsidRPr="00292AC9">
        <w:rPr>
          <w:rFonts w:hint="eastAsia"/>
        </w:rPr>
        <w:t>8</w:t>
      </w:r>
      <w:r w:rsidRPr="00292AC9">
        <w:rPr>
          <w:rFonts w:hint="eastAsia"/>
        </w:rPr>
        <w:t>月的白银和谷物市场</w:t>
      </w:r>
      <w:r w:rsidRPr="00292AC9">
        <w:rPr>
          <w:rFonts w:hint="eastAsia"/>
        </w:rPr>
        <w:t>[3]</w:t>
      </w:r>
      <w:r w:rsidRPr="00292AC9">
        <w:rPr>
          <w:rFonts w:hint="eastAsia"/>
        </w:rPr>
        <w:t>。本研究的目的是提出一种神经网络，它能准确预测交易员最常用的波动率，特别是用</w:t>
      </w:r>
      <w:r w:rsidRPr="00292AC9">
        <w:rPr>
          <w:rFonts w:hint="eastAsia"/>
        </w:rPr>
        <w:t>Black-Scholes</w:t>
      </w:r>
      <w:r w:rsidRPr="00292AC9">
        <w:rPr>
          <w:rFonts w:hint="eastAsia"/>
        </w:rPr>
        <w:t>公式计算的隐含波动率。神经网络已被证明能够有效地模拟非线性关系，在所有测试的情况下都被证明是预测附近期权波动率的一种有用的方法，因此可以用来制定可靠的预测。这篇论文的组织方式如下。在第</w:t>
      </w:r>
      <w:r w:rsidRPr="00292AC9">
        <w:rPr>
          <w:rFonts w:hint="eastAsia"/>
        </w:rPr>
        <w:t>2</w:t>
      </w:r>
      <w:r w:rsidRPr="00292AC9">
        <w:rPr>
          <w:rFonts w:hint="eastAsia"/>
        </w:rPr>
        <w:t>节中，我们提出了隐含波动率和历史波动率的概念，并说明了每种波动率是如何计算的。接着对神经网络作为预测模型进行了一般性讨论。第</w:t>
      </w:r>
      <w:r w:rsidRPr="00292AC9">
        <w:rPr>
          <w:rFonts w:hint="eastAsia"/>
        </w:rPr>
        <w:t>4</w:t>
      </w:r>
      <w:r w:rsidRPr="00292AC9">
        <w:rPr>
          <w:rFonts w:hint="eastAsia"/>
        </w:rPr>
        <w:t>节介绍了用于开发每个模型的预测的数据集和方法。第</w:t>
      </w:r>
      <w:r w:rsidRPr="00292AC9">
        <w:rPr>
          <w:rFonts w:hint="eastAsia"/>
        </w:rPr>
        <w:t>5</w:t>
      </w:r>
      <w:r w:rsidRPr="00292AC9">
        <w:rPr>
          <w:rFonts w:hint="eastAsia"/>
        </w:rPr>
        <w:t>节详细介绍了波动</w:t>
      </w:r>
      <w:proofErr w:type="gramStart"/>
      <w:r w:rsidRPr="00292AC9">
        <w:rPr>
          <w:rFonts w:hint="eastAsia"/>
        </w:rPr>
        <w:t>率预测</w:t>
      </w:r>
      <w:proofErr w:type="gramEnd"/>
      <w:r w:rsidRPr="00292AC9">
        <w:rPr>
          <w:rFonts w:hint="eastAsia"/>
        </w:rPr>
        <w:t>的神经网络模型的开发。第</w:t>
      </w:r>
      <w:r w:rsidRPr="00292AC9">
        <w:rPr>
          <w:rFonts w:hint="eastAsia"/>
        </w:rPr>
        <w:t>6</w:t>
      </w:r>
      <w:r w:rsidRPr="00292AC9">
        <w:rPr>
          <w:rFonts w:hint="eastAsia"/>
        </w:rPr>
        <w:t>节提供了网络的结果，并将预测与隐含波动</w:t>
      </w:r>
      <w:proofErr w:type="gramStart"/>
      <w:r w:rsidRPr="00292AC9">
        <w:rPr>
          <w:rFonts w:hint="eastAsia"/>
        </w:rPr>
        <w:t>率估计</w:t>
      </w:r>
      <w:proofErr w:type="gramEnd"/>
      <w:r w:rsidRPr="00292AC9">
        <w:rPr>
          <w:rFonts w:hint="eastAsia"/>
        </w:rPr>
        <w:t>进行了比较。第</w:t>
      </w:r>
      <w:r w:rsidRPr="00292AC9">
        <w:rPr>
          <w:rFonts w:hint="eastAsia"/>
        </w:rPr>
        <w:t>7</w:t>
      </w:r>
      <w:r w:rsidRPr="00292AC9">
        <w:rPr>
          <w:rFonts w:hint="eastAsia"/>
        </w:rPr>
        <w:t>节对研究结果进行了讨论，并对未来的研究提出了建议。</w:t>
      </w:r>
    </w:p>
    <w:p w14:paraId="3553F898" w14:textId="03B37795" w:rsidR="00890645" w:rsidRDefault="00945B17" w:rsidP="002A1B94">
      <w:pPr>
        <w:ind w:firstLine="420"/>
      </w:pPr>
      <w:r>
        <w:rPr>
          <w:rFonts w:hint="eastAsia"/>
        </w:rPr>
        <w:t>2</w:t>
      </w:r>
      <w:r>
        <w:rPr>
          <w:rFonts w:hint="eastAsia"/>
        </w:rPr>
        <w:t>、历史波动率与隐含波动率计算</w:t>
      </w:r>
    </w:p>
    <w:p w14:paraId="16FF4D9F" w14:textId="35D5F8B1" w:rsidR="00945B17" w:rsidRDefault="00E50167" w:rsidP="002A1B94">
      <w:pPr>
        <w:ind w:firstLine="420"/>
      </w:pPr>
      <w:r w:rsidRPr="00E50167">
        <w:rPr>
          <w:rFonts w:hint="eastAsia"/>
        </w:rPr>
        <w:t>在期权定价的开创性工作中，</w:t>
      </w:r>
      <w:r w:rsidRPr="00E50167">
        <w:rPr>
          <w:rFonts w:hint="eastAsia"/>
        </w:rPr>
        <w:t>Black</w:t>
      </w:r>
      <w:r w:rsidRPr="00E50167">
        <w:rPr>
          <w:rFonts w:hint="eastAsia"/>
        </w:rPr>
        <w:t>和</w:t>
      </w:r>
      <w:r w:rsidRPr="00E50167">
        <w:rPr>
          <w:rFonts w:hint="eastAsia"/>
        </w:rPr>
        <w:t>Scholes[2]</w:t>
      </w:r>
      <w:r w:rsidRPr="00E50167">
        <w:rPr>
          <w:rFonts w:hint="eastAsia"/>
        </w:rPr>
        <w:t>假设标的资产的价格遵循伊藤过程</w:t>
      </w:r>
    </w:p>
    <w:p w14:paraId="6CB27358" w14:textId="632911B6" w:rsidR="00E50167" w:rsidRPr="00D5253F" w:rsidRDefault="00E50167" w:rsidP="002A1B94">
      <w:pPr>
        <w:ind w:firstLine="420"/>
      </w:pPr>
      <m:oMathPara>
        <m:oMath>
          <m:r>
            <w:rPr>
              <w:rFonts w:ascii="Cambria Math" w:hAnsi="Cambria Math" w:hint="eastAsia"/>
            </w:rPr>
            <m:t>dS</m:t>
          </m:r>
          <m:r>
            <w:rPr>
              <w:rFonts w:ascii="Cambria Math" w:hAnsi="Cambria Math"/>
            </w:rPr>
            <m:t>/S=μ</m:t>
          </m:r>
          <m:r>
            <w:rPr>
              <w:rFonts w:ascii="Cambria Math" w:hAnsi="Cambria Math"/>
            </w:rPr>
            <m:t>dt+σdZ</m:t>
          </m:r>
        </m:oMath>
      </m:oMathPara>
    </w:p>
    <w:p w14:paraId="399950B4" w14:textId="03F583F9" w:rsidR="00D5253F" w:rsidRDefault="00D5253F" w:rsidP="002A1B94">
      <w:pPr>
        <w:ind w:firstLine="420"/>
      </w:pPr>
      <w:r w:rsidRPr="00D5253F">
        <w:rPr>
          <w:rFonts w:hint="eastAsia"/>
        </w:rPr>
        <w:t>其中</w:t>
      </w:r>
      <w:proofErr w:type="spellStart"/>
      <w:r>
        <w:t>d</w:t>
      </w:r>
      <w:r w:rsidRPr="00D5253F">
        <w:rPr>
          <w:rFonts w:hint="eastAsia"/>
        </w:rPr>
        <w:t>S</w:t>
      </w:r>
      <w:proofErr w:type="spellEnd"/>
      <w:r w:rsidRPr="00D5253F">
        <w:rPr>
          <w:rFonts w:hint="eastAsia"/>
        </w:rPr>
        <w:t>/S</w:t>
      </w:r>
      <w:r w:rsidRPr="00D5253F">
        <w:rPr>
          <w:rFonts w:hint="eastAsia"/>
        </w:rPr>
        <w:t>表示收益率，</w:t>
      </w:r>
      <m:oMath>
        <m:r>
          <w:rPr>
            <w:rFonts w:ascii="Cambria Math" w:hAnsi="Cambria Math"/>
          </w:rPr>
          <m:t>μ</m:t>
        </m:r>
      </m:oMath>
      <w:r w:rsidRPr="00D5253F">
        <w:rPr>
          <w:rFonts w:hint="eastAsia"/>
        </w:rPr>
        <w:t>表示瞬时预期收益率，</w:t>
      </w:r>
      <m:oMath>
        <m:r>
          <w:rPr>
            <w:rFonts w:ascii="Cambria Math" w:hAnsi="Cambria Math"/>
          </w:rPr>
          <m:t>σ</m:t>
        </m:r>
      </m:oMath>
      <w:r w:rsidRPr="00D5253F">
        <w:rPr>
          <w:rFonts w:hint="eastAsia"/>
        </w:rPr>
        <w:t>表示预期瞬时波动率，</w:t>
      </w:r>
      <w:r>
        <w:t>Z</w:t>
      </w:r>
      <w:r w:rsidRPr="00D5253F">
        <w:rPr>
          <w:rFonts w:hint="eastAsia"/>
        </w:rPr>
        <w:t>表示标准化维纳过程，</w:t>
      </w:r>
      <w:proofErr w:type="spellStart"/>
      <w:r w:rsidR="00C7757A">
        <w:t>d</w:t>
      </w:r>
      <w:r w:rsidRPr="00D5253F">
        <w:rPr>
          <w:rFonts w:hint="eastAsia"/>
        </w:rPr>
        <w:t>Z</w:t>
      </w:r>
      <w:proofErr w:type="spellEnd"/>
      <w:r w:rsidRPr="00D5253F">
        <w:rPr>
          <w:rFonts w:hint="eastAsia"/>
        </w:rPr>
        <w:t>表示连续时间随机游走。计算看涨期权均衡价格的</w:t>
      </w:r>
      <w:r w:rsidRPr="00D5253F">
        <w:rPr>
          <w:rFonts w:hint="eastAsia"/>
        </w:rPr>
        <w:t>Black-Scholes</w:t>
      </w:r>
      <w:r w:rsidRPr="00D5253F">
        <w:rPr>
          <w:rFonts w:hint="eastAsia"/>
        </w:rPr>
        <w:t>期权定价公式为</w:t>
      </w:r>
    </w:p>
    <w:p w14:paraId="7CD491DD" w14:textId="35232E29" w:rsidR="00C7757A" w:rsidRDefault="00C7757A" w:rsidP="002A1B94">
      <w:pPr>
        <w:ind w:firstLine="420"/>
      </w:pPr>
      <w:r w:rsidRPr="00C7757A">
        <w:drawing>
          <wp:inline distT="0" distB="0" distL="0" distR="0" wp14:anchorId="63A569F5" wp14:editId="692E6D47">
            <wp:extent cx="5274310" cy="1237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37615"/>
                    </a:xfrm>
                    <a:prstGeom prst="rect">
                      <a:avLst/>
                    </a:prstGeom>
                  </pic:spPr>
                </pic:pic>
              </a:graphicData>
            </a:graphic>
          </wp:inline>
        </w:drawing>
      </w:r>
    </w:p>
    <w:p w14:paraId="2C2FBB18" w14:textId="77777777" w:rsidR="00BC0D1D" w:rsidRDefault="00C7757A" w:rsidP="002A1B94">
      <w:pPr>
        <w:ind w:firstLine="420"/>
      </w:pPr>
      <w:r w:rsidRPr="00C7757A">
        <w:rPr>
          <w:rFonts w:hint="eastAsia"/>
        </w:rPr>
        <w:t>其中</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C7757A">
        <w:rPr>
          <w:rFonts w:hint="eastAsia"/>
        </w:rPr>
        <w:t>是标的资产的方差收益率。对于长度为</w:t>
      </w:r>
      <w:r w:rsidRPr="00C7757A">
        <w:rPr>
          <w:rFonts w:hint="eastAsia"/>
        </w:rPr>
        <w:t>t</w:t>
      </w:r>
      <w:r w:rsidRPr="00C7757A">
        <w:rPr>
          <w:rFonts w:hint="eastAsia"/>
        </w:rPr>
        <w:t>的任何时间间隔</w:t>
      </w:r>
      <w:r w:rsidRPr="00C7757A">
        <w:rPr>
          <w:rFonts w:hint="eastAsia"/>
        </w:rPr>
        <w:t>[0</w:t>
      </w:r>
      <w:r w:rsidRPr="00C7757A">
        <w:rPr>
          <w:rFonts w:hint="eastAsia"/>
        </w:rPr>
        <w:t>，</w:t>
      </w:r>
      <w:r w:rsidRPr="00C7757A">
        <w:rPr>
          <w:rFonts w:hint="eastAsia"/>
        </w:rPr>
        <w:t>t]</w:t>
      </w:r>
      <w:r w:rsidRPr="00C7757A">
        <w:rPr>
          <w:rFonts w:hint="eastAsia"/>
        </w:rPr>
        <w:t>，标的资产的收益服从正态分布，方差为</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m:t>
        </m:r>
      </m:oMath>
      <w:r w:rsidRPr="00C7757A">
        <w:rPr>
          <w:rFonts w:hint="eastAsia"/>
        </w:rPr>
        <w:t>。他们的公式将看涨价格</w:t>
      </w:r>
      <w:r w:rsidRPr="00C7757A">
        <w:rPr>
          <w:rFonts w:hint="eastAsia"/>
        </w:rPr>
        <w:t>C</w:t>
      </w:r>
      <w:r w:rsidRPr="00C7757A">
        <w:rPr>
          <w:rFonts w:hint="eastAsia"/>
        </w:rPr>
        <w:t>表示为五个输入的函数</w:t>
      </w:r>
    </w:p>
    <w:p w14:paraId="21AEADEB" w14:textId="2B35D63D" w:rsidR="00C7757A" w:rsidRDefault="00BC0D1D" w:rsidP="00BC0D1D">
      <w:pPr>
        <w:ind w:firstLine="420"/>
        <w:jc w:val="right"/>
      </w:pPr>
      <m:oMath>
        <m:r>
          <w:rPr>
            <w:rFonts w:ascii="Cambria Math" w:hAnsi="Cambria Math"/>
          </w:rPr>
          <m:t>C</m:t>
        </m:r>
        <m:r>
          <w:rPr>
            <w:rFonts w:ascii="Cambria Math" w:hAnsi="Cambria Math" w:hint="eastAsia"/>
          </w:rPr>
          <m:t>=C(</m:t>
        </m:r>
        <m:r>
          <w:rPr>
            <w:rFonts w:ascii="Cambria Math" w:hAnsi="Cambria Math"/>
          </w:rPr>
          <m:t>S</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hint="eastAsia"/>
          </w:rPr>
          <m:t>T</m:t>
        </m:r>
        <m:r>
          <w:rPr>
            <w:rFonts w:ascii="Cambria Math" w:hAnsi="Cambria Math" w:hint="eastAsia"/>
          </w:rPr>
          <m:t>，</m:t>
        </m:r>
        <m:r>
          <w:rPr>
            <w:rFonts w:ascii="Cambria Math" w:hAnsi="Cambria Math"/>
          </w:rPr>
          <m:t>σ</m:t>
        </m:r>
        <m:r>
          <w:rPr>
            <w:rFonts w:ascii="Cambria Math" w:hAnsi="Cambria Math" w:hint="eastAsia"/>
          </w:rPr>
          <m:t>，</m:t>
        </m:r>
        <m:r>
          <w:rPr>
            <w:rFonts w:ascii="Cambria Math" w:hAnsi="Cambria Math" w:hint="eastAsia"/>
          </w:rPr>
          <m:t>r)</m:t>
        </m:r>
      </m:oMath>
      <w:r>
        <w:rPr>
          <w:rFonts w:hint="eastAsia"/>
        </w:rPr>
        <w:t xml:space="preserve"> </w:t>
      </w:r>
      <w:r>
        <w:t xml:space="preserve">                       (5)</w:t>
      </w:r>
    </w:p>
    <w:p w14:paraId="4B68A6CB" w14:textId="69F398E6" w:rsidR="00BC0D1D" w:rsidRDefault="001C2224" w:rsidP="00BC0D1D">
      <w:pPr>
        <w:ind w:right="840" w:firstLine="420"/>
      </w:pPr>
      <w:r w:rsidRPr="001C2224">
        <w:rPr>
          <w:rFonts w:hint="eastAsia"/>
        </w:rPr>
        <w:t>观察</w:t>
      </w:r>
      <w:r>
        <w:rPr>
          <w:rFonts w:hint="eastAsia"/>
        </w:rPr>
        <w:t>公式</w:t>
      </w:r>
      <w:r w:rsidRPr="001C2224">
        <w:rPr>
          <w:rFonts w:hint="eastAsia"/>
        </w:rPr>
        <w:t>(1)</w:t>
      </w:r>
      <w:r>
        <w:rPr>
          <w:rFonts w:hint="eastAsia"/>
        </w:rPr>
        <w:t>的</w:t>
      </w:r>
      <m:oMath>
        <m:r>
          <w:rPr>
            <w:rFonts w:ascii="Cambria Math" w:hAnsi="Cambria Math"/>
          </w:rPr>
          <m:t>μ</m:t>
        </m:r>
      </m:oMath>
      <w:r w:rsidRPr="001C2224">
        <w:rPr>
          <w:rFonts w:hint="eastAsia"/>
        </w:rPr>
        <w:t>没有出现在</w:t>
      </w:r>
      <w:r w:rsidRPr="001C2224">
        <w:rPr>
          <w:rFonts w:hint="eastAsia"/>
        </w:rPr>
        <w:t>(5)</w:t>
      </w:r>
      <w:r w:rsidRPr="001C2224">
        <w:rPr>
          <w:rFonts w:hint="eastAsia"/>
        </w:rPr>
        <w:t>中。文</w:t>
      </w:r>
      <w:r w:rsidRPr="001C2224">
        <w:rPr>
          <w:rFonts w:hint="eastAsia"/>
        </w:rPr>
        <w:t>[13]</w:t>
      </w:r>
      <w:r w:rsidRPr="001C2224">
        <w:rPr>
          <w:rFonts w:hint="eastAsia"/>
        </w:rPr>
        <w:t>或</w:t>
      </w:r>
      <w:r w:rsidRPr="001C2224">
        <w:rPr>
          <w:rFonts w:hint="eastAsia"/>
        </w:rPr>
        <w:t>[15]</w:t>
      </w:r>
      <w:r w:rsidRPr="001C2224">
        <w:rPr>
          <w:rFonts w:hint="eastAsia"/>
        </w:rPr>
        <w:t>所示看涨期权定价公式的数学推导表明，套利要求两个适当设计的投资组合之间的单位风险超额收益必须相等。在这种套利关系中进行必要的替换后，包含</w:t>
      </w:r>
      <m:oMath>
        <m:r>
          <w:rPr>
            <w:rFonts w:ascii="Cambria Math" w:hAnsi="Cambria Math"/>
          </w:rPr>
          <m:t>μ</m:t>
        </m:r>
      </m:oMath>
      <w:r w:rsidRPr="001C2224">
        <w:rPr>
          <w:rFonts w:hint="eastAsia"/>
        </w:rPr>
        <w:t>的术语就会去掉。由于</w:t>
      </w:r>
      <m:oMath>
        <m:r>
          <w:rPr>
            <w:rFonts w:ascii="Cambria Math" w:hAnsi="Cambria Math"/>
          </w:rPr>
          <m:t>μ</m:t>
        </m:r>
      </m:oMath>
      <w:r w:rsidRPr="001C2224">
        <w:rPr>
          <w:rFonts w:hint="eastAsia"/>
        </w:rPr>
        <w:t>现在不在考虑范围内，而且剩余的五个变量中有四个是直接可见的，因此</w:t>
      </w:r>
      <w:r w:rsidRPr="001C2224">
        <w:rPr>
          <w:rFonts w:hint="eastAsia"/>
        </w:rPr>
        <w:t>(5)</w:t>
      </w:r>
      <w:r w:rsidRPr="001C2224">
        <w:rPr>
          <w:rFonts w:hint="eastAsia"/>
        </w:rPr>
        <w:t>中对资产波动率</w:t>
      </w:r>
      <m:oMath>
        <m:r>
          <w:rPr>
            <w:rFonts w:ascii="Cambria Math" w:hAnsi="Cambria Math"/>
          </w:rPr>
          <m:t>σ</m:t>
        </m:r>
      </m:oMath>
      <w:r w:rsidRPr="001C2224">
        <w:rPr>
          <w:rFonts w:hint="eastAsia"/>
        </w:rPr>
        <w:t>的估计成为理论家和交易</w:t>
      </w:r>
      <w:proofErr w:type="gramStart"/>
      <w:r w:rsidRPr="001C2224">
        <w:rPr>
          <w:rFonts w:hint="eastAsia"/>
        </w:rPr>
        <w:t>员关注</w:t>
      </w:r>
      <w:proofErr w:type="gramEnd"/>
      <w:r w:rsidRPr="001C2224">
        <w:rPr>
          <w:rFonts w:hint="eastAsia"/>
        </w:rPr>
        <w:t>的焦点。</w:t>
      </w:r>
    </w:p>
    <w:p w14:paraId="413DA2CB" w14:textId="749B2D85" w:rsidR="0077010F" w:rsidRDefault="0077010F" w:rsidP="00BC0D1D">
      <w:pPr>
        <w:ind w:right="840" w:firstLine="420"/>
      </w:pPr>
    </w:p>
    <w:p w14:paraId="002E371D" w14:textId="08050750" w:rsidR="0077010F" w:rsidRDefault="0077010F" w:rsidP="00BC0D1D">
      <w:pPr>
        <w:ind w:right="840" w:firstLine="420"/>
      </w:pPr>
    </w:p>
    <w:p w14:paraId="43F64F3F" w14:textId="5B4AFB2B" w:rsidR="0077010F" w:rsidRDefault="0077010F" w:rsidP="00BC0D1D">
      <w:pPr>
        <w:ind w:right="840" w:firstLine="420"/>
      </w:pPr>
    </w:p>
    <w:p w14:paraId="669282A0" w14:textId="1DAA2472" w:rsidR="0077010F" w:rsidRDefault="0077010F" w:rsidP="00BC0D1D">
      <w:pPr>
        <w:ind w:right="840" w:firstLine="420"/>
      </w:pPr>
    </w:p>
    <w:p w14:paraId="2344E79B" w14:textId="1D45D244" w:rsidR="0077010F" w:rsidRDefault="0077010F" w:rsidP="00BC0D1D">
      <w:pPr>
        <w:ind w:right="840" w:firstLine="420"/>
      </w:pPr>
      <w:r>
        <w:rPr>
          <w:rFonts w:hint="eastAsia"/>
        </w:rPr>
        <w:t>期权风险中的信息含量——基于对现货的影响</w:t>
      </w:r>
    </w:p>
    <w:p w14:paraId="1AA03B12" w14:textId="487A8355" w:rsidR="00F17C9B" w:rsidRPr="00BC0D1D" w:rsidRDefault="00F17C9B" w:rsidP="00BC0D1D">
      <w:pPr>
        <w:ind w:right="840" w:firstLine="420"/>
        <w:rPr>
          <w:rFonts w:hint="eastAsia"/>
        </w:rPr>
      </w:pPr>
      <w:r>
        <w:rPr>
          <w:rFonts w:hint="eastAsia"/>
        </w:rPr>
        <w:t>非理性信息</w:t>
      </w:r>
    </w:p>
    <w:sectPr w:rsidR="00F17C9B" w:rsidRPr="00BC0D1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E5763" w14:textId="77777777" w:rsidR="007325B5" w:rsidRDefault="007325B5" w:rsidP="002A1B94">
      <w:pPr>
        <w:ind w:firstLine="420"/>
      </w:pPr>
      <w:r>
        <w:separator/>
      </w:r>
    </w:p>
  </w:endnote>
  <w:endnote w:type="continuationSeparator" w:id="0">
    <w:p w14:paraId="4AF9CA8C" w14:textId="77777777" w:rsidR="007325B5" w:rsidRDefault="007325B5" w:rsidP="002A1B9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C786" w14:textId="77777777" w:rsidR="002A1B94" w:rsidRDefault="002A1B9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859A" w14:textId="77777777" w:rsidR="002A1B94" w:rsidRDefault="002A1B9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DADF" w14:textId="77777777" w:rsidR="002A1B94" w:rsidRDefault="002A1B9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58D06" w14:textId="77777777" w:rsidR="007325B5" w:rsidRDefault="007325B5" w:rsidP="002A1B94">
      <w:pPr>
        <w:ind w:firstLine="420"/>
      </w:pPr>
      <w:r>
        <w:separator/>
      </w:r>
    </w:p>
  </w:footnote>
  <w:footnote w:type="continuationSeparator" w:id="0">
    <w:p w14:paraId="3A8FE239" w14:textId="77777777" w:rsidR="007325B5" w:rsidRDefault="007325B5" w:rsidP="002A1B9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EAA8" w14:textId="77777777" w:rsidR="002A1B94" w:rsidRDefault="002A1B9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E2903" w14:textId="77777777" w:rsidR="002A1B94" w:rsidRDefault="002A1B9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8B54" w14:textId="77777777" w:rsidR="002A1B94" w:rsidRDefault="002A1B94">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C9"/>
    <w:rsid w:val="001C2224"/>
    <w:rsid w:val="00292AC9"/>
    <w:rsid w:val="002A1B94"/>
    <w:rsid w:val="003E7A5A"/>
    <w:rsid w:val="00452B48"/>
    <w:rsid w:val="007325B5"/>
    <w:rsid w:val="0077010F"/>
    <w:rsid w:val="007C3938"/>
    <w:rsid w:val="00890645"/>
    <w:rsid w:val="00945B17"/>
    <w:rsid w:val="00965DC9"/>
    <w:rsid w:val="00AF78EB"/>
    <w:rsid w:val="00BC0D1D"/>
    <w:rsid w:val="00BD6BB8"/>
    <w:rsid w:val="00C436AA"/>
    <w:rsid w:val="00C7757A"/>
    <w:rsid w:val="00CF05D7"/>
    <w:rsid w:val="00D5253F"/>
    <w:rsid w:val="00E50167"/>
    <w:rsid w:val="00E57555"/>
    <w:rsid w:val="00F1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E84D9"/>
  <w15:chartTrackingRefBased/>
  <w15:docId w15:val="{3B876DEA-CB95-45B1-A3C0-6F2BB6B4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5D7"/>
    <w:pPr>
      <w:widowControl w:val="0"/>
      <w:adjustRightInd w:val="0"/>
      <w:snapToGrid w:val="0"/>
      <w:ind w:firstLineChars="200" w:firstLine="200"/>
    </w:pPr>
    <w:rPr>
      <w:rFonts w:ascii="Times New Roman" w:eastAsia="宋体" w:hAnsi="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1B9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2A1B94"/>
    <w:rPr>
      <w:rFonts w:ascii="Times New Roman" w:eastAsia="宋体" w:hAnsi="Times New Roman"/>
      <w:sz w:val="18"/>
      <w:szCs w:val="18"/>
    </w:rPr>
  </w:style>
  <w:style w:type="paragraph" w:styleId="a5">
    <w:name w:val="footer"/>
    <w:basedOn w:val="a"/>
    <w:link w:val="a6"/>
    <w:uiPriority w:val="99"/>
    <w:unhideWhenUsed/>
    <w:rsid w:val="002A1B94"/>
    <w:pPr>
      <w:tabs>
        <w:tab w:val="center" w:pos="4153"/>
        <w:tab w:val="right" w:pos="8306"/>
      </w:tabs>
    </w:pPr>
    <w:rPr>
      <w:sz w:val="18"/>
      <w:szCs w:val="18"/>
    </w:rPr>
  </w:style>
  <w:style w:type="character" w:customStyle="1" w:styleId="a6">
    <w:name w:val="页脚 字符"/>
    <w:basedOn w:val="a0"/>
    <w:link w:val="a5"/>
    <w:uiPriority w:val="99"/>
    <w:rsid w:val="002A1B94"/>
    <w:rPr>
      <w:rFonts w:ascii="Times New Roman" w:eastAsia="宋体" w:hAnsi="Times New Roman"/>
      <w:sz w:val="18"/>
      <w:szCs w:val="18"/>
    </w:rPr>
  </w:style>
  <w:style w:type="character" w:styleId="a7">
    <w:name w:val="Placeholder Text"/>
    <w:basedOn w:val="a0"/>
    <w:uiPriority w:val="99"/>
    <w:semiHidden/>
    <w:rsid w:val="00E501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庆倩</dc:creator>
  <cp:keywords/>
  <dc:description/>
  <cp:lastModifiedBy>范 庆倩</cp:lastModifiedBy>
  <cp:revision>4</cp:revision>
  <dcterms:created xsi:type="dcterms:W3CDTF">2021-06-08T07:16:00Z</dcterms:created>
  <dcterms:modified xsi:type="dcterms:W3CDTF">2021-06-08T13:39:00Z</dcterms:modified>
</cp:coreProperties>
</file>