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TH Sarabun New" w:cs="TH Sarabun New" w:eastAsia="TH Sarabun New" w:hAnsi="TH Sarabun New"/>
          <w:b/>
          <w:bCs/>
          <w:i w:val="false"/>
          <w:iCs w:val="false"/>
          <w:sz w:val="36"/>
          <w:szCs w:val="36"/>
        </w:rPr>
        <w:t xml:space="preserve">บทที่ 1</w:t>
      </w:r>
    </w:p>
    <w:p>
      <w:pPr>
        <w:spacing w:after="200"/>
        <w:jc w:val="center"/>
      </w:pPr>
      <w:r>
        <w:rPr>
          <w:rFonts w:ascii="TH Sarabun New" w:cs="TH Sarabun New" w:eastAsia="TH Sarabun New" w:hAnsi="TH Sarabun New"/>
          <w:b/>
          <w:bCs/>
          <w:i w:val="false"/>
          <w:iCs w:val="false"/>
          <w:sz w:val="36"/>
          <w:szCs w:val="36"/>
        </w:rPr>
        <w:t xml:space="preserve">บทนำ</w:t>
      </w:r>
    </w:p>
    <w:p>
      <w:pPr>
        <w:pStyle w:val="Heading2"/>
        <w:spacing w:after="120" w:before="220"/>
      </w:pPr>
      <w:r>
        <w:rPr>
          <w:rFonts w:ascii="TH Sarabun New" w:cs="TH Sarabun New" w:eastAsia="TH Sarabun New" w:hAnsi="TH Sarabun New"/>
          <w:b/>
          <w:bCs/>
          <w:i w:val="false"/>
          <w:iCs w:val="false"/>
          <w:sz w:val="34"/>
          <w:szCs w:val="34"/>
        </w:rPr>
        <w:t xml:space="preserve">ชื่อเรื่องวิจัย (ชั่วคราว)</w:t>
      </w:r>
    </w:p>
    <w:p>
      <w:pPr>
        <w:spacing w:after="60" w:line="360"/>
        <w:jc w:val="both"/>
      </w:pPr>
      <w:r>
        <w:rPr>
          <w:rFonts w:ascii="TH Sarabun New" w:cs="TH Sarabun New" w:eastAsia="TH Sarabun New" w:hAnsi="TH Sarabun New"/>
          <w:b/>
          <w:bCs/>
          <w:i w:val="false"/>
          <w:iCs w:val="false"/>
          <w:sz w:val="32"/>
          <w:szCs w:val="32"/>
        </w:rPr>
        <w:t xml:space="preserve">ประสิทธิผลของรูปแบบบริการแบบบูรณาการเพื่อการเลิกบุหรี่ในสถานศึกษา: การศึกษาแบบทดลองเชิงสุ่มระดับกลุ่ม</w:t>
      </w:r>
    </w:p>
    <w:p>
      <w:pPr>
        <w:spacing w:after="160" w:line="360"/>
        <w:jc w:val="both"/>
      </w:pPr>
      <w:r>
        <w:rPr>
          <w:rFonts w:ascii="TH Sarabun New" w:cs="TH Sarabun New" w:eastAsia="TH Sarabun New" w:hAnsi="TH Sarabun New"/>
          <w:b w:val="false"/>
          <w:bCs w:val="false"/>
          <w:i/>
          <w:iCs/>
          <w:sz w:val="32"/>
          <w:szCs w:val="32"/>
        </w:rPr>
        <w:t xml:space="preserve">Effectiveness of an Integrated Service Model for Smoking Cessation in Educational Institutions: A Cluster Randomized Controlled Trial</w:t>
      </w:r>
    </w:p>
    <w:p>
      <w:pPr>
        <w:pStyle w:val="Heading2"/>
        <w:spacing w:after="120" w:before="220"/>
      </w:pPr>
      <w:r>
        <w:rPr>
          <w:rFonts w:ascii="TH Sarabun New" w:cs="TH Sarabun New" w:eastAsia="TH Sarabun New" w:hAnsi="TH Sarabun New"/>
          <w:b/>
          <w:bCs/>
          <w:i w:val="false"/>
          <w:iCs w:val="false"/>
          <w:sz w:val="34"/>
          <w:szCs w:val="34"/>
        </w:rPr>
        <w:t xml:space="preserve">1.1 ความเป็นมาและความสำคัญของปัญหา</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การสูบบุหรี่และการเสพผลิตภัณฑ์ยาสูบเป็นปัจจัยเสี่ยงทางพฤติกรรมที่สามารถป้องกันได้และเป็นสาเหตุการเสียชีวิตก่อนวัยอันควรอันดับต้นของโลก โดยเป็นปัจจัยเสี่ยงร่วมของโรคไม่ติดต่อเรื้อรังสำคัญหลายกลุ่ม ทั้งมะเร็ง โรคหัวใจและหลอดเลือด โรคปอดอุดกั้นเรื้อรัง และโรคหลอดเลือดสมอง องค์การอนามัยโลกประเมินว่าการเสพยาสูบเป็นสาเหตุการเสียชีวิตมากกว่า 8 ล้านคนต่อปี ซึ่งในจำนวนนี้ประมาณ 1.3 ล้านคนเป็นผู้ไม่สูบบุหรี่ที่ได้รับควันบุหรี่มือสอง (World Health Organization [WHO], 2023) การที่การเสพยาสูบส่วนใหญ่เริ่มต้นในช่วงวัยรุ่นและวัยเรียน ทำให้ประชากรกลุ่มนักเรียนและนักศึกษาในสถานศึกษาเป็นทั้งกลุ่มเสี่ยงต่อการเริ่มสูบและเป็นโอกาสสำคัญของการแทรกแซงเพื่อการเลิกในระยะที่การเสพติดยังไม่ฝังลึก</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ในระดับโลก แม้ความชุกของการเสพยาสูบมีแนวโน้มลดลง แต่ขนาดของปัญหายังคงมหาศาล รายงานแนวโน้มความชุกการเสพยาสูบของ WHO ระบุว่าจำนวนผู้เสพยาสูบทั่วโลกลดลงจาก 1.38 พันล้านคนใน พ.ศ. 2543 (ค.ศ. 2000) เหลือประมาณ 1.2 พันล้านคนใน พ.ศ. 2567 (ค.ศ. 2024) หรือคิดเป็นผู้ใหญ่ราว 1 ใน 5 ทั่วโลกที่ยังคงเสพยาสูบ ความชุกในเพศชายลดลงจากร้อยละ 41.4 เหลือร้อยละ 32.5 และในเพศหญิงลดลงจากร้อยละ 11.0 เหลือร้อยละ 6.6 ระหว่าง พ.ศ. 2553–2567 (WHO, 2025) อย่างไรก็ตาม การลดลงนี้ไม่สม่ำเสมอ และที่น่ากังวลคือ WHO ประเมินเป็นครั้งแรกว่ามีผู้ใช้บุหรี่ไฟฟ้าทั่วโลกมากกว่า 100 ล้านคน ซึ่งสะท้อนการเปลี่ยนรูปแบบการเสพนิโคตินที่กำลังทดแทนหรือเสริมกับบุหรี่มวนแบบเดิม (WHO, 2025)</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ในระดับภูมิภาคเอเชียและภูมิภาคเอเชียตะวันออกเฉียงใต้ของ WHO ซึ่งเคยเป็นพื้นที่ที่มีภาระการเสพยาสูบสูงที่สุดในโลก พบว่าความชุกในเพศชายลดลงเกือบครึ่งหนึ่งจากร้อยละ 70 ใน พ.ศ. 2543 เหลือประมาณร้อยละ 37 ใน พ.ศ. 2567 (WHO, 2025) แม้แนวโน้มโดยรวมดีขึ้น แต่ด้วยฐานประชากรขนาดใหญ่ ภูมิภาคนี้ยังคงมีจำนวนผู้เสพยาสูบสัมบูรณ์สูงมาก และเผชิญความท้าทายใหม่จากการแพร่ระบาดของบุหรี่ไฟฟ้าในกลุ่มเยาวชนอย่างรวดเร็ว ความแตกต่างเชิงพื้นที่ (Place) นี้ชี้ว่ามาตรการที่ได้ผลในบริบทประเทศรายได้สูงอาจไม่สามารถถ่ายโอนมาใช้ได้โดยตรงในบริบทเอเชีย ซึ่งมีระบบบริการ วัฒนธรรม และรูปแบบการเข้าถึงผลิตภัณฑ์ที่แตกต่างกัน</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สำหรับประเทศไทย ข้อมูลจากการสำรวจพฤติกรรมด้านสุขภาพของประชากรโดยสำนักงานสถิติแห่งชาติ พ.ศ. 2564 พบว่าความชุกของการสูบบุหรี่ในประชากรอายุ 15 ปีขึ้นไปอยู่ที่ประมาณร้อยละ 17–19 โดยเพศชายสูงกว่าเพศหญิงอย่างชัดเจน (ชายประมาณร้อยละ 30–38 หญิงประมาณร้อยละ 1–2) คิดเป็นจำนวนผู้สูบบุหรี่ประมาณ 10–11 ล้านคน (สำนักงานสถิติแห่งชาติ, 2564) แม้แนวโน้มความชุกโดยรวมลดลงต่อเนื่องตั้งแต่ พ.ศ. 2548 แต่ภาระทางเศรษฐกิจยังคงสูงมาก โดยมีการประเมินต้นทุนความเจ็บป่วยที่เกิดจากการสูบบุหรี่ในประเทศไทยสูงถึงหลักสองแสนล้านบาทต่อปี ครอบคลุมทั้งค่าใช้จ่ายด้านการรักษาพยาบาลโดยตรงและการสูญเสียผลิตภาพจากการเจ็บป่วยและการเสียชีวิตก่อนวัยอันควร (Bundhamcharoen et al., 2021)</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เมื่อพิจารณาเฉพาะประชากรในสถานศึกษาซึ่งเป็นพื้นที่เป้าหมายของการศึกษานี้ พบว่าปัญหามีลักษณะเฉพาะและกำลังทวีความรุนแรง ผลการสำรวจ Global School-Based Student Health Survey ประเทศไทย พ.ศ. 2564 รายงานความชุกของการสูบบุหรี่ปัจจุบันในวัยรุ่นอายุ 13–17 ปี ที่ร้อยละ 11.5 (95% CI = 9.7–13.5) โดยเพศชายร้อยละ 18.2 และเพศหญิงร้อยละ 5.6 ปัจจัยที่สัมพันธ์กับการสูบบุหรี่อย่างมีนัยสำคัญ ได้แก่ การเป็นเพศชาย การมีผู้สูบบุหรี่อยู่รอบตัว (AOR = 2.21) การดื่มแอลกอฮอล์ (AOR = 3.37) และการใช้กัญชา (AOR = 4.53) (Adebisi et al., 2024) นอกจากนี้ สถานการณ์การใช้บุหรี่ไฟฟ้าในนักเรียนไทยอายุ 13–15 ปี เพิ่มขึ้นอย่างก้าวกระโดดจากร้อยละ 3.35 ใน พ.ศ. 2558 เป็นร้อยละ 17.6 ใน พ.ศ. 2565 แม้จะมีการห้ามจำหน่ายตามกฎหมาย (Global Youth Tobacco Survey Thailand, 2022) การเปลี่ยนแปลงตามช่วงเวลา (Time) พื้นที่ (Place) และคุณลักษณะบุคคล (Person) เช่นนี้ ชี้ว่าปัญหาการเสพยาสูบและนิโคตินในสถานศึกษายังคงเป็นภาระที่ต้องการการแทรกแซงเชิงระบบอย่างเร่งด่วน</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ประเทศไทยได้ดำเนินมาตรการควบคุมยาสูบตามกรอบ MPOWER ขององค์การอนามัยโลก และมีบริการสนับสนุนการเลิกบุหรี่หลายรูปแบบ ทั้งสายเลิกบุหรี่แห่งชาติ (Quitline 1600) เครือข่ายโรงเรียนปลอดบุหรี่ และคลินิกเลิกบุหรี่ในสถานบริการสุขภาพ ในเชิงหลักฐานวิชาการ การทบทวนวรรณกรรมอย่างเป็นระบบและการวิเคราะห์อภิมานล่าสุดในกลุ่มประเทศเอเชียใต้และเอเชียตะวันออกเฉียงใต้ พบว่าการแทรกแซงเพื่อการเลิกบุหรี่แบบไม่ใช้ยาที่จัดในสถานศึกษาช่วยเพิ่มอัตราการเลิกบุหรี่อย่างมีนัยสำคัญเมื่อเทียบกับกลุ่มควบคุม (OR = 2.83; 95% CI = 1.83–4.40) (Mangrio et al., 2025) สอดคล้องกับการวิเคราะห์อภิมานที่พบว่าโปรแกรมในสถานศึกษาลดการเริ่มสูบบุหรี่ได้อย่างมีนัยสำคัญที่ระยะ 6 เดือน (RR = 0.38; 95% CI = 0.23–0.61) และการแทรกแซงแบบผสมผสานหลายองค์ประกอบให้ผลดีที่สุด (Alsahli et al., 2025)</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อย่างไรก็ตาม หลักฐานเดิมมีข้อจำกัดที่สำคัญหลายประการ ประการแรก ผลของการแทรกแซงมักปรากฏชัดในระยะสั้น (น้อยกว่า 3 เดือน) แต่ลดลงหรือหายไปเมื่อติดตามในระยะ 12–36 เดือน สะท้อนปัญหาความยั่งยืนของผล (Alsahli et al., 2025) ประการที่สอง การศึกษาส่วนใหญ่มีขนาดตัวอย่างเล็ก ความแปรปรวนระหว่างการศึกษาสูง (substantial heterogeneity) และมีการยืนยันผลด้วยตัวชี้วัดทางชีวเคมี (biochemical verification) ไม่สม่ำเสมอ ทำให้ความเชื่อมั่นของหลักฐานลดลง (Mangrio et al., 2025) ประการที่สาม การแทรกแซงเดิมส่วนใหญ่มีลักษณะเป็นองค์ประกอบเดี่ยว เช่น การให้สุขศึกษาหรือกิจกรรมโดยเพื่อน ที่ยังไม่ได้บูรณาการการคัดกรอง การบำบัดพฤติกรรม การใช้ยาช่วยเลิกเมื่อจำเป็น การส่งต่อสู่ระบบบริการ และการมีส่วนร่วมของครอบครัวและชุมชนเข้าด้วยกันอย่างเป็นระบบ</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ช่องว่างขององค์ความรู้จึงปรากฏชัดในหลายมิติ กล่าวคือ แม้จะทราบว่าการแทรกแซงในสถานศึกษามีประสิทธิผลในภาพรวม (efficacy) แต่ยังขาดหลักฐานเชิงประจักษ์เกี่ยวกับ </w:t>
      </w:r>
      <w:r>
        <w:rPr>
          <w:rFonts w:ascii="TH Sarabun New" w:cs="TH Sarabun New" w:eastAsia="TH Sarabun New" w:hAnsi="TH Sarabun New"/>
          <w:b/>
          <w:bCs/>
          <w:i w:val="false"/>
          <w:iCs w:val="false"/>
          <w:sz w:val="32"/>
          <w:szCs w:val="32"/>
        </w:rPr>
        <w:t xml:space="preserve">รูปแบบบริการแบบบูรณาการ (integrated service model)</w:t>
      </w:r>
      <w:r>
        <w:rPr>
          <w:rFonts w:ascii="TH Sarabun New" w:cs="TH Sarabun New" w:eastAsia="TH Sarabun New" w:hAnsi="TH Sarabun New"/>
          <w:b w:val="false"/>
          <w:bCs w:val="false"/>
          <w:i w:val="false"/>
          <w:iCs w:val="false"/>
          <w:sz w:val="32"/>
          <w:szCs w:val="32"/>
        </w:rPr>
        <w:t xml:space="preserve"> ที่เชื่อมโยงกลไกการคัดกรอง–บำบัด–ส่งต่อ–ติดตามเข้ากับระบบของสถานศึกษาและระบบบริการสุขภาพในบริบทไทย รวมทั้งขาดหลักฐานด้านการนำไปใช้จริง (implementation) ทั้งด้านการเข้าถึง (reach) ความเป็นไปได้ (feasibility) ความคงอยู่ของผล (sustainability) และความคุ้มค่า ตลอดจนขาดข้อมูลผลลัพธ์ที่ยืนยันด้วยตัวชี้วัดทางชีวเคมีและการติดตามระยะยาว ช่องว่างนี้เป็น </w:t>
      </w:r>
      <w:r>
        <w:rPr>
          <w:rFonts w:ascii="TH Sarabun New" w:cs="TH Sarabun New" w:eastAsia="TH Sarabun New" w:hAnsi="TH Sarabun New"/>
          <w:b/>
          <w:bCs/>
          <w:i w:val="false"/>
          <w:iCs w:val="false"/>
          <w:sz w:val="32"/>
          <w:szCs w:val="32"/>
        </w:rPr>
        <w:t xml:space="preserve">ความจำเป็นที่ยังไม่ได้รับการตอบสนอง (unmet need)</w:t>
      </w:r>
      <w:r>
        <w:rPr>
          <w:rFonts w:ascii="TH Sarabun New" w:cs="TH Sarabun New" w:eastAsia="TH Sarabun New" w:hAnsi="TH Sarabun New"/>
          <w:b w:val="false"/>
          <w:bCs w:val="false"/>
          <w:i w:val="false"/>
          <w:iCs w:val="false"/>
          <w:sz w:val="32"/>
          <w:szCs w:val="32"/>
        </w:rPr>
        <w:t xml:space="preserve"> เนื่องจากบริการที่มีอยู่ยังกระจัดกระจาย ไม่เชื่อมโยงเป็นระบบเดียว และมิได้ออกแบบให้สอดคล้องกับบริบทเฉพาะของสถานศึกษาไทย</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การศึกษานี้จึงมุ่งพัฒนาและประเมินประสิทธิผลของรูปแบบบริการแบบบูรณาการเพื่อการเลิกบุหรี่ในสถานศึกษา ที่ผสานหลักการปรับเปลี่ยนพฤติกรรมตามหลักฐานเชิงประจักษ์ (เช่น การสัมภาษณ์เพื่อสร้างแรงจูงใจ และแนวทาง 5A) เข้ากับการคัดกรอง การให้คำปรึกษา การส่งต่อสู่สายเลิกบุหรี่ 1600 หรือคลินิกเลิกบุหรี่ และการมีส่วนร่วมของครู เพื่อน และครอบครัว ภายใต้กรอบการประเมินทั้งด้านประสิทธิผลและการนำไปใช้ ความแปลกใหม่ (novelty) ของงานมิได้อยู่เพียงการเปลี่ยนพื้นที่ศึกษา แต่อยู่ที่การออกแบบและทดสอบ </w:t>
      </w:r>
      <w:r>
        <w:rPr>
          <w:rFonts w:ascii="TH Sarabun New" w:cs="TH Sarabun New" w:eastAsia="TH Sarabun New" w:hAnsi="TH Sarabun New"/>
          <w:b/>
          <w:bCs/>
          <w:i w:val="false"/>
          <w:iCs w:val="false"/>
          <w:sz w:val="32"/>
          <w:szCs w:val="32"/>
        </w:rPr>
        <w:t xml:space="preserve">รูปแบบบริการเชิงระบบแบบบูรณาการที่วัดผลด้วยการยืนยันทางชีวเคมีและติดตามระยะยาว</w:t>
      </w:r>
      <w:r>
        <w:rPr>
          <w:rFonts w:ascii="TH Sarabun New" w:cs="TH Sarabun New" w:eastAsia="TH Sarabun New" w:hAnsi="TH Sarabun New"/>
          <w:b w:val="false"/>
          <w:bCs w:val="false"/>
          <w:i w:val="false"/>
          <w:iCs w:val="false"/>
          <w:sz w:val="32"/>
          <w:szCs w:val="32"/>
        </w:rPr>
        <w:t xml:space="preserve"> ในบริบทสถานศึกษาไทย ซึ่งจะให้ contribution ทั้งต่อองค์ความรู้ด้านระบาดวิทยาพฤติกรรมและวิทยาการการนำไปปฏิบัติ (implementation science) และต่อการกำหนดนโยบายบริการเลิกบุหรี่ในสถานศึกษาอย่างเป็นรูปธรรม</w:t>
      </w:r>
    </w:p>
    <w:p>
      <w:pPr>
        <w:pStyle w:val="Heading2"/>
        <w:spacing w:after="120" w:before="220"/>
      </w:pPr>
      <w:r>
        <w:rPr>
          <w:rFonts w:ascii="TH Sarabun New" w:cs="TH Sarabun New" w:eastAsia="TH Sarabun New" w:hAnsi="TH Sarabun New"/>
          <w:b/>
          <w:bCs/>
          <w:i w:val="false"/>
          <w:iCs w:val="false"/>
          <w:sz w:val="34"/>
          <w:szCs w:val="34"/>
        </w:rPr>
        <w:t xml:space="preserve">1.2 สรุปภาระปัญหาแบบพีระมิดคว่ำ (Global → Local)</w:t>
      </w:r>
    </w:p>
    <w:p>
      <w:pPr>
        <w:spacing w:after="100" w:line="360"/>
        <w:jc w:val="both"/>
      </w:pPr>
      <w:r>
        <w:rPr>
          <w:rFonts w:ascii="TH Sarabun New" w:cs="TH Sarabun New" w:eastAsia="TH Sarabun New" w:hAnsi="TH Sarabun New"/>
          <w:b w:val="false"/>
          <w:bCs w:val="false"/>
          <w:i w:val="false"/>
          <w:iCs w:val="false"/>
          <w:sz w:val="32"/>
          <w:szCs w:val="32"/>
        </w:rPr>
        <w:t xml:space="preserve">ตารางที่ 1.1 สรุปขนาดของภาระปัญหาการเสพยาสูบตามระดับพื้นที่ ตั้งแต่ระดับโลกจนถึงระดับสถานศึกษา พร้อมตัวชี้วัด ปีของข้อมูล และแหล่งอ้างอิง</w:t>
      </w:r>
    </w:p>
    <w:p>
      <w:pPr>
        <w:spacing w:after="80"/>
        <w:ind w:left="0"/>
      </w:pPr>
      <w:r>
        <w:rPr>
          <w:rFonts w:ascii="TH Sarabun New" w:cs="TH Sarabun New" w:eastAsia="TH Sarabun New" w:hAnsi="TH Sarabun New"/>
          <w:b/>
          <w:bCs/>
          <w:i w:val="false"/>
          <w:iCs w:val="false"/>
          <w:sz w:val="32"/>
          <w:szCs w:val="32"/>
        </w:rPr>
        <w:t xml:space="preserve">ตารางที่ 1.1 </w:t>
      </w:r>
      <w:r>
        <w:rPr>
          <w:rFonts w:ascii="TH Sarabun New" w:cs="TH Sarabun New" w:eastAsia="TH Sarabun New" w:hAnsi="TH Sarabun New"/>
          <w:b/>
          <w:bCs/>
          <w:i w:val="false"/>
          <w:iCs w:val="false"/>
          <w:sz w:val="32"/>
          <w:szCs w:val="32"/>
        </w:rPr>
        <w:t xml:space="preserve">ภาระปัญหาการเสพยาสูบและนิโคตินจำแนกตามระดับพื้นที่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400"/>
        <w:gridCol w:w="1700"/>
      </w:tblGrid>
      <w:tr>
        <w:trPr>
          <w:tblHeader/>
        </w:trPr>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ระดับพื้นที่</w:t>
            </w:r>
          </w:p>
        </w:tc>
        <w:tc>
          <w:tcPr>
            <w:tcW w:type="dxa" w:w="4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ตัวชี้วัดสำคัญ (ค่าประมาณ)</w:t>
            </w:r>
          </w:p>
        </w:tc>
        <w:tc>
          <w:tcPr>
            <w:tcW w:type="dxa" w:w="1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ปีข้อมูล</w:t>
            </w:r>
          </w:p>
        </w:tc>
        <w:tc>
          <w:tcPr>
            <w:tcW w:type="dxa" w:w="17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แหล่งอ้างอิง</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โลก</w:t>
            </w:r>
          </w:p>
        </w:tc>
        <w:tc>
          <w:tcPr>
            <w:tcW w:type="dxa" w:w="4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ผู้เสพยาสูบ ~1.2 พันล้านคน (1 ใน 5 ของผู้ใหญ่); ชาย 32.5% หญิง 6.6%; ผู้ใช้บุหรี่ไฟฟ้า &gt;100 ล้านคน; เสียชีวิต &gt;8 ล้านคน/ปี</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center"/>
            </w:pPr>
            <w:r>
              <w:rPr>
                <w:rFonts w:ascii="TH Sarabun New" w:cs="TH Sarabun New" w:eastAsia="TH Sarabun New" w:hAnsi="TH Sarabun New"/>
                <w:b w:val="false"/>
                <w:bCs w:val="false"/>
                <w:i w:val="false"/>
                <w:iCs w:val="false"/>
                <w:sz w:val="28"/>
                <w:szCs w:val="28"/>
              </w:rPr>
              <w:t xml:space="preserve">2567 (2024)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WHO, 2025; WHO, 2023</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ภูมิภาคเอเชียตะวันออกเฉียงใต้ (WHO)</w:t>
            </w:r>
          </w:p>
        </w:tc>
        <w:tc>
          <w:tcPr>
            <w:tcW w:type="dxa" w:w="4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ความชุกในเพศชายลดลงจาก ~70% (2543) เหลือ ~37% (2567); ยังมีจำนวนผู้เสพสัมบูรณ์สูงจากฐานประชากรใหญ่</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center"/>
            </w:pPr>
            <w:r>
              <w:rPr>
                <w:rFonts w:ascii="TH Sarabun New" w:cs="TH Sarabun New" w:eastAsia="TH Sarabun New" w:hAnsi="TH Sarabun New"/>
                <w:b w:val="false"/>
                <w:bCs w:val="false"/>
                <w:i w:val="false"/>
                <w:iCs w:val="false"/>
                <w:sz w:val="28"/>
                <w:szCs w:val="28"/>
              </w:rPr>
              <w:t xml:space="preserve">2543–2567</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WHO, 2025</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ประเทศไทย (ผู้ใหญ่ 15+)</w:t>
            </w:r>
          </w:p>
        </w:tc>
        <w:tc>
          <w:tcPr>
            <w:tcW w:type="dxa" w:w="4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ความชุก ~17–19%; ผู้สูบ ~10–11 ล้านคน; ต้นทุนความเจ็บป่วยหลักสองแสนล้านบาท/ปี</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center"/>
            </w:pPr>
            <w:r>
              <w:rPr>
                <w:rFonts w:ascii="TH Sarabun New" w:cs="TH Sarabun New" w:eastAsia="TH Sarabun New" w:hAnsi="TH Sarabun New"/>
                <w:b w:val="false"/>
                <w:bCs w:val="false"/>
                <w:i w:val="false"/>
                <w:iCs w:val="false"/>
                <w:sz w:val="28"/>
                <w:szCs w:val="28"/>
              </w:rPr>
              <w:t xml:space="preserve">2564 (2021)</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สำนักงานสถิติแห่งชาติ, 2564; Bundhamcharoen et al., 2021</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สถานศึกษาไทย (วัยรุ่น 13–17)</w:t>
            </w:r>
          </w:p>
        </w:tc>
        <w:tc>
          <w:tcPr>
            <w:tcW w:type="dxa" w:w="4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สูบบุหรี่ปัจจุบัน 11.5% (ชาย 18.2%, หญิง 5.6%); ปัจจัยเสี่ยง: ผู้สูบรอบตัว แอลกอฮอล์ กัญชา</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center"/>
            </w:pPr>
            <w:r>
              <w:rPr>
                <w:rFonts w:ascii="TH Sarabun New" w:cs="TH Sarabun New" w:eastAsia="TH Sarabun New" w:hAnsi="TH Sarabun New"/>
                <w:b w:val="false"/>
                <w:bCs w:val="false"/>
                <w:i w:val="false"/>
                <w:iCs w:val="false"/>
                <w:sz w:val="28"/>
                <w:szCs w:val="28"/>
              </w:rPr>
              <w:t xml:space="preserve">2564 (2021)</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Adebisi et al., 2024</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นักเรียนไทย (13–15)</w:t>
            </w:r>
          </w:p>
        </w:tc>
        <w:tc>
          <w:tcPr>
            <w:tcW w:type="dxa" w:w="4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การใช้บุหรี่ไฟฟ้าเพิ่มจาก 3.35% (2558) เป็น 17.6% (2565) แม้มีการห้ามจำหน่าย</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center"/>
            </w:pPr>
            <w:r>
              <w:rPr>
                <w:rFonts w:ascii="TH Sarabun New" w:cs="TH Sarabun New" w:eastAsia="TH Sarabun New" w:hAnsi="TH Sarabun New"/>
                <w:b w:val="false"/>
                <w:bCs w:val="false"/>
                <w:i w:val="false"/>
                <w:iCs w:val="false"/>
                <w:sz w:val="28"/>
                <w:szCs w:val="28"/>
              </w:rPr>
              <w:t xml:space="preserve">2558–2565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GYTS Thailand, 2022</w:t>
            </w:r>
          </w:p>
        </w:tc>
      </w:tr>
    </w:tbl>
    <w:p>
      <w:pPr>
        <w:spacing w:after="160" w:line="360"/>
        <w:jc w:val="both"/>
      </w:pPr>
      <w:r>
        <w:rPr>
          <w:rFonts w:ascii="TH Sarabun New" w:cs="TH Sarabun New" w:eastAsia="TH Sarabun New" w:hAnsi="TH Sarabun New"/>
          <w:b w:val="false"/>
          <w:bCs w:val="false"/>
          <w:i/>
          <w:iCs/>
          <w:sz w:val="28"/>
          <w:szCs w:val="28"/>
        </w:rPr>
        <w:t xml:space="preserve">หมายเหตุ: ค่าที่รายงานเป็นค่าประมาณจากแหล่งข้อมูลระดับชาติและองค์การระหว่างประเทศ ควรตีความร่วมกับนิยามตัวชี้วัดและช่วงเวลาของแต่ละการสำรวจ</w:t>
      </w:r>
    </w:p>
    <w:p>
      <w:r>
        <w:br w:type="page"/>
      </w:r>
    </w:p>
    <w:p>
      <w:pPr>
        <w:pStyle w:val="Heading2"/>
        <w:spacing w:after="120" w:before="220"/>
      </w:pPr>
      <w:r>
        <w:rPr>
          <w:rFonts w:ascii="TH Sarabun New" w:cs="TH Sarabun New" w:eastAsia="TH Sarabun New" w:hAnsi="TH Sarabun New"/>
          <w:b/>
          <w:bCs/>
          <w:i w:val="false"/>
          <w:iCs w:val="false"/>
          <w:sz w:val="34"/>
          <w:szCs w:val="34"/>
        </w:rPr>
        <w:t xml:space="preserve">1.3 ตารางสังเคราะห์หลักฐานสำคัญ</w:t>
      </w:r>
    </w:p>
    <w:p>
      <w:pPr>
        <w:spacing w:after="80"/>
      </w:pPr>
      <w:r>
        <w:rPr>
          <w:rFonts w:ascii="TH Sarabun New" w:cs="TH Sarabun New" w:eastAsia="TH Sarabun New" w:hAnsi="TH Sarabun New"/>
          <w:b/>
          <w:bCs/>
          <w:i w:val="false"/>
          <w:iCs w:val="false"/>
          <w:sz w:val="32"/>
          <w:szCs w:val="32"/>
        </w:rPr>
        <w:t xml:space="preserve">ตารางที่ 1.2 </w:t>
      </w:r>
      <w:r>
        <w:rPr>
          <w:rFonts w:ascii="TH Sarabun New" w:cs="TH Sarabun New" w:eastAsia="TH Sarabun New" w:hAnsi="TH Sarabun New"/>
          <w:b/>
          <w:bCs/>
          <w:i w:val="false"/>
          <w:iCs w:val="false"/>
          <w:sz w:val="32"/>
          <w:szCs w:val="32"/>
        </w:rPr>
        <w:t xml:space="preserve">สังเคราะห์หลักฐานสำคัญด้านประสิทธิผลของการแทรกแซงเพื่อการเลิก/ป้องกันการสูบบุหรี่ในสถานศึกษา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500"/>
        <w:gridCol w:w="1900"/>
        <w:gridCol w:w="1400"/>
        <w:gridCol w:w="1350"/>
      </w:tblGrid>
      <w:tr>
        <w:trPr>
          <w:tblHeader/>
        </w:trPr>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ผู้แต่ง/ปี</w:t>
            </w:r>
          </w:p>
        </w:tc>
        <w:tc>
          <w:tcPr>
            <w:tcW w:type="dxa" w:w="135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บริบท/Design</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ประชากร/ขนาดตัวอย่าง</w:t>
            </w:r>
          </w:p>
        </w:tc>
        <w:tc>
          <w:tcPr>
            <w:tcW w:type="dxa" w:w="19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Intervention/Outcome</w:t>
            </w:r>
          </w:p>
        </w:tc>
        <w:tc>
          <w:tcPr>
            <w:tcW w:type="dxa" w:w="1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Effect (95% CI)</w:t>
            </w:r>
          </w:p>
        </w:tc>
        <w:tc>
          <w:tcPr>
            <w:tcW w:type="dxa" w:w="135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Gap ที่เหลือ</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Mangrio et al., 2025</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เอเชียใต้/ตอ.เฉียงใต้; SR &amp; meta-analysis (RCT+quasi)</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7 การศึกษา; 1,260 คน; วัยรุ่น</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Non-pharmacological ในสถานศึกษา; อัตราการเลิก (abstinence)</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OR 2.83 (1.83–4.40); ผลเด่นระยะสั้น</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Heterogeneity สูง; กลุ่มตัวอย่างเล็ก; ติดตามสั้น</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Alsahli et al., 2025</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นานาชาติ; SR &amp; meta-analysis ของ RCT</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6 RCT; 10,192 คน; เด็กวัยเรียน</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โปรแกรมสุขศึกษา/ผสมผสาน; การเริ่มสูบ/การเลิก</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RR 0.38 (0.23–0.61) ที่ 6 เดือน</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ผลลดลงที่ 12–36 เดือน; ต้องบูรณาการดิจิทัล/ครอบครัว/ชุมชน</w:t>
            </w:r>
          </w:p>
        </w:tc>
      </w:tr>
      <w:tr>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Adebisi et al., 2024</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ไทย; cross-sectional (GSHS)</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5,545 คน; อายุ 13–17</w:t>
            </w:r>
          </w:p>
        </w:tc>
        <w:tc>
          <w:tcPr>
            <w:tcW w:type="dxa" w:w="19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ความชุกและปัจจัยกำหนดการสูบบุหรี่</w:t>
            </w:r>
          </w:p>
        </w:tc>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ความชุก 11.5%; ผู้สูบรอบตัว AOR 2.21</w:t>
            </w:r>
          </w:p>
        </w:tc>
        <w:tc>
          <w:tcPr>
            <w:tcW w:type="dxa" w:w="135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ไม่มีการทดสอบการแทรกแซง; ข้อมูลภาคตัดขวาง</w:t>
            </w:r>
          </w:p>
        </w:tc>
      </w:tr>
    </w:tbl>
    <w:p>
      <w:pPr>
        <w:spacing w:after="160" w:line="360"/>
        <w:jc w:val="both"/>
      </w:pPr>
      <w:r>
        <w:rPr>
          <w:rFonts w:ascii="TH Sarabun New" w:cs="TH Sarabun New" w:eastAsia="TH Sarabun New" w:hAnsi="TH Sarabun New"/>
          <w:b w:val="false"/>
          <w:bCs w:val="false"/>
          <w:i/>
          <w:iCs/>
          <w:sz w:val="28"/>
          <w:szCs w:val="28"/>
        </w:rPr>
        <w:t xml:space="preserve">หมายเหตุ: SR = systematic review; RCT = randomized controlled trial; OR = odds ratio; RR = risk ratio; AOR = adjusted odds ratio; CI = confidence interval</w:t>
      </w:r>
    </w:p>
    <w:p>
      <w:pPr>
        <w:pStyle w:val="Heading2"/>
        <w:spacing w:after="120" w:before="220"/>
      </w:pPr>
      <w:r>
        <w:rPr>
          <w:rFonts w:ascii="TH Sarabun New" w:cs="TH Sarabun New" w:eastAsia="TH Sarabun New" w:hAnsi="TH Sarabun New"/>
          <w:b/>
          <w:bCs/>
          <w:i w:val="false"/>
          <w:iCs w:val="false"/>
          <w:sz w:val="34"/>
          <w:szCs w:val="34"/>
        </w:rPr>
        <w:t xml:space="preserve">1.4 การสังเคราะห์ปัญหาการวิจัย (Research Problem Synthesis)</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การสังเคราะห์ปัญหาการวิจัยตาม 5 แกน สรุปได้ดังนี้</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ขนาดของปัญหา (Magnitude): </w:t>
      </w:r>
      <w:r>
        <w:rPr>
          <w:rFonts w:ascii="TH Sarabun New" w:cs="TH Sarabun New" w:eastAsia="TH Sarabun New" w:hAnsi="TH Sarabun New"/>
          <w:b w:val="false"/>
          <w:bCs w:val="false"/>
          <w:i w:val="false"/>
          <w:iCs w:val="false"/>
          <w:sz w:val="32"/>
          <w:szCs w:val="32"/>
        </w:rPr>
        <w:t xml:space="preserve">การเสพยาสูบเป็นสาเหตุการเสียชีวิตกว่า 8 ล้านคน/ปีทั่วโลก และวัยรุ่นไทย 13–17 ปีมีความชุกการสูบบุหรี่ร้อยละ 11.5 ขณะที่บุหรี่ไฟฟ้าในนักเรียนเพิ่มขึ้นหลายเท่าตัว</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ความจำเป็นที่ยังไม่ได้รับการตอบสนอง (Unmet need): </w:t>
      </w:r>
      <w:r>
        <w:rPr>
          <w:rFonts w:ascii="TH Sarabun New" w:cs="TH Sarabun New" w:eastAsia="TH Sarabun New" w:hAnsi="TH Sarabun New"/>
          <w:b w:val="false"/>
          <w:bCs w:val="false"/>
          <w:i w:val="false"/>
          <w:iCs w:val="false"/>
          <w:sz w:val="32"/>
          <w:szCs w:val="32"/>
        </w:rPr>
        <w:t xml:space="preserve">บริการเลิกบุหรี่ในสถานศึกษาไทยยังกระจัดกระจาย ไม่บูรณาการการคัดกรอง–บำบัด–ส่งต่อ–ติดตามเข้าเป็นระบบเดียว</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ข้อจำกัดของหลักฐาน (Evidence limitation): </w:t>
      </w:r>
      <w:r>
        <w:rPr>
          <w:rFonts w:ascii="TH Sarabun New" w:cs="TH Sarabun New" w:eastAsia="TH Sarabun New" w:hAnsi="TH Sarabun New"/>
          <w:b w:val="false"/>
          <w:bCs w:val="false"/>
          <w:i w:val="false"/>
          <w:iCs w:val="false"/>
          <w:sz w:val="32"/>
          <w:szCs w:val="32"/>
        </w:rPr>
        <w:t xml:space="preserve">หลักฐานเดิมมีผลระยะสั้น ความแปรปรวนสูง กลุ่มตัวอย่างเล็ก และยืนยันผลทางชีวเคมีไม่สม่ำเสมอ</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แนวทางแก้ด้วยการวิจัย (Research solution): </w:t>
      </w:r>
      <w:r>
        <w:rPr>
          <w:rFonts w:ascii="TH Sarabun New" w:cs="TH Sarabun New" w:eastAsia="TH Sarabun New" w:hAnsi="TH Sarabun New"/>
          <w:b w:val="false"/>
          <w:bCs w:val="false"/>
          <w:i w:val="false"/>
          <w:iCs w:val="false"/>
          <w:sz w:val="32"/>
          <w:szCs w:val="32"/>
        </w:rPr>
        <w:t xml:space="preserve">พัฒนาและทดสอบรูปแบบบริการแบบบูรณาการด้วยการทดลองเชิงสุ่มระดับกลุ่ม พร้อมยืนยันผลด้วย eCO/cotinine และติดตามระยะยาว</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การนำไปใช้ (Translation): </w:t>
      </w:r>
      <w:r>
        <w:rPr>
          <w:rFonts w:ascii="TH Sarabun New" w:cs="TH Sarabun New" w:eastAsia="TH Sarabun New" w:hAnsi="TH Sarabun New"/>
          <w:b w:val="false"/>
          <w:bCs w:val="false"/>
          <w:i w:val="false"/>
          <w:iCs w:val="false"/>
          <w:sz w:val="32"/>
          <w:szCs w:val="32"/>
        </w:rPr>
        <w:t xml:space="preserve">ผลการศึกษาจะนำไปสู่ข้อเสนอเชิงนโยบายสำหรับการจัดบริการเลิกบุหรี่ในสถานศึกษาและลดความเหลื่อมล้ำในการเข้าถึงบริการ</w:t>
      </w:r>
    </w:p>
    <w:p>
      <w:pPr>
        <w:pStyle w:val="Heading2"/>
        <w:spacing w:after="120" w:before="220"/>
      </w:pPr>
      <w:r>
        <w:rPr>
          <w:rFonts w:ascii="TH Sarabun New" w:cs="TH Sarabun New" w:eastAsia="TH Sarabun New" w:hAnsi="TH Sarabun New"/>
          <w:b/>
          <w:bCs/>
          <w:i w:val="false"/>
          <w:iCs w:val="false"/>
          <w:sz w:val="34"/>
          <w:szCs w:val="34"/>
        </w:rPr>
        <w:t xml:space="preserve">1.5 ช่องว่างของการวิจัยจำแนกตามประเภท</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Intervention gap: </w:t>
      </w:r>
      <w:r>
        <w:rPr>
          <w:rFonts w:ascii="TH Sarabun New" w:cs="TH Sarabun New" w:eastAsia="TH Sarabun New" w:hAnsi="TH Sarabun New"/>
          <w:b w:val="false"/>
          <w:bCs w:val="false"/>
          <w:i w:val="false"/>
          <w:iCs w:val="false"/>
          <w:sz w:val="32"/>
          <w:szCs w:val="32"/>
        </w:rPr>
        <w:t xml:space="preserve">การแทรกแซงเดิมส่วนใหญ่เป็นองค์ประกอบเดี่ยว ยังขาดรูปแบบบริการแบบบูรณาการหลายองค์ประกอบที่ครบวงจร</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Implementation gap: </w:t>
      </w:r>
      <w:r>
        <w:rPr>
          <w:rFonts w:ascii="TH Sarabun New" w:cs="TH Sarabun New" w:eastAsia="TH Sarabun New" w:hAnsi="TH Sarabun New"/>
          <w:b w:val="false"/>
          <w:bCs w:val="false"/>
          <w:i w:val="false"/>
          <w:iCs w:val="false"/>
          <w:sz w:val="32"/>
          <w:szCs w:val="32"/>
        </w:rPr>
        <w:t xml:space="preserve">มีหลักฐาน efficacy แต่ยังขาดข้อมูลด้าน reach, feasibility, fidelity และ sustainability ในบริบทสถานศึกษาไทย</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Geographic/contextual gap: </w:t>
      </w:r>
      <w:r>
        <w:rPr>
          <w:rFonts w:ascii="TH Sarabun New" w:cs="TH Sarabun New" w:eastAsia="TH Sarabun New" w:hAnsi="TH Sarabun New"/>
          <w:b w:val="false"/>
          <w:bCs w:val="false"/>
          <w:i w:val="false"/>
          <w:iCs w:val="false"/>
          <w:sz w:val="32"/>
          <w:szCs w:val="32"/>
        </w:rPr>
        <w:t xml:space="preserve">หลักฐานส่วนใหญ่มาจากบริบทต่างประเทศ ไม่สามารถถ่ายโอนมาใช้ในระบบสถานศึกษาและบริการสุขภาพไทยได้โดยตรง</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Measurement gap: </w:t>
      </w:r>
      <w:r>
        <w:rPr>
          <w:rFonts w:ascii="TH Sarabun New" w:cs="TH Sarabun New" w:eastAsia="TH Sarabun New" w:hAnsi="TH Sarabun New"/>
          <w:b w:val="false"/>
          <w:bCs w:val="false"/>
          <w:i w:val="false"/>
          <w:iCs w:val="false"/>
          <w:sz w:val="32"/>
          <w:szCs w:val="32"/>
        </w:rPr>
        <w:t xml:space="preserve">การยืนยันผลด้วยตัวชี้วัดทางชีวเคมี (eCO/cotinine) ยังไม่สม่ำเสมอ ทำให้ประเมินผลลัพธ์คลาดเคลื่อนได้</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Methodological gap: </w:t>
      </w:r>
      <w:r>
        <w:rPr>
          <w:rFonts w:ascii="TH Sarabun New" w:cs="TH Sarabun New" w:eastAsia="TH Sarabun New" w:hAnsi="TH Sarabun New"/>
          <w:b w:val="false"/>
          <w:bCs w:val="false"/>
          <w:i w:val="false"/>
          <w:iCs w:val="false"/>
          <w:sz w:val="32"/>
          <w:szCs w:val="32"/>
        </w:rPr>
        <w:t xml:space="preserve">การศึกษาเดิมมีขนาดตัวอย่างเล็ก การติดตามสั้น และความแปรปรวนสูง ทำให้ความเชื่อมั่นของผลจำกัด</w:t>
      </w:r>
    </w:p>
    <w:p>
      <w:pPr>
        <w:spacing w:after="120" w:line="360"/>
        <w:ind w:firstLine="720"/>
        <w:jc w:val="both"/>
      </w:pPr>
      <w:r>
        <w:rPr>
          <w:rFonts w:ascii="TH Sarabun New" w:cs="TH Sarabun New" w:eastAsia="TH Sarabun New" w:hAnsi="TH Sarabun New"/>
          <w:b w:val="false"/>
          <w:bCs w:val="false"/>
          <w:i w:val="false"/>
          <w:iCs w:val="false"/>
          <w:sz w:val="32"/>
          <w:szCs w:val="32"/>
        </w:rPr>
        <w:t xml:space="preserve">จากช่องว่างข้างต้น สามารถสรุปเป็นข้อโต้แย้งสามขั้นได้ว่า </w:t>
      </w:r>
      <w:r>
        <w:rPr>
          <w:rFonts w:ascii="TH Sarabun New" w:cs="TH Sarabun New" w:eastAsia="TH Sarabun New" w:hAnsi="TH Sarabun New"/>
          <w:b/>
          <w:bCs/>
          <w:i w:val="false"/>
          <w:iCs w:val="false"/>
          <w:sz w:val="32"/>
          <w:szCs w:val="32"/>
        </w:rPr>
        <w:t xml:space="preserve">แม้</w:t>
      </w:r>
      <w:r>
        <w:rPr>
          <w:rFonts w:ascii="TH Sarabun New" w:cs="TH Sarabun New" w:eastAsia="TH Sarabun New" w:hAnsi="TH Sarabun New"/>
          <w:b w:val="false"/>
          <w:bCs w:val="false"/>
          <w:i w:val="false"/>
          <w:iCs w:val="false"/>
          <w:sz w:val="32"/>
          <w:szCs w:val="32"/>
        </w:rPr>
        <w:t xml:space="preserve">หลักฐานเดิมแสดงว่าการแทรกแซงในสถานศึกษาช่วยเพิ่มการเลิกบุหรี่ได้ในระยะสั้น </w:t>
      </w:r>
      <w:r>
        <w:rPr>
          <w:rFonts w:ascii="TH Sarabun New" w:cs="TH Sarabun New" w:eastAsia="TH Sarabun New" w:hAnsi="TH Sarabun New"/>
          <w:b/>
          <w:bCs/>
          <w:i w:val="false"/>
          <w:iCs w:val="false"/>
          <w:sz w:val="32"/>
          <w:szCs w:val="32"/>
        </w:rPr>
        <w:t xml:space="preserve">แต่</w:t>
      </w:r>
      <w:r>
        <w:rPr>
          <w:rFonts w:ascii="TH Sarabun New" w:cs="TH Sarabun New" w:eastAsia="TH Sarabun New" w:hAnsi="TH Sarabun New"/>
          <w:b w:val="false"/>
          <w:bCs w:val="false"/>
          <w:i w:val="false"/>
          <w:iCs w:val="false"/>
          <w:sz w:val="32"/>
          <w:szCs w:val="32"/>
        </w:rPr>
        <w:t xml:space="preserve">ยังมีข้อจำกัดด้านความยั่งยืน การบูรณาการบริการ การยืนยันผลทางชีวเคมี และความเหมาะสมกับบริบทไทย </w:t>
      </w:r>
      <w:r>
        <w:rPr>
          <w:rFonts w:ascii="TH Sarabun New" w:cs="TH Sarabun New" w:eastAsia="TH Sarabun New" w:hAnsi="TH Sarabun New"/>
          <w:b/>
          <w:bCs/>
          <w:i w:val="false"/>
          <w:iCs w:val="false"/>
          <w:sz w:val="32"/>
          <w:szCs w:val="32"/>
        </w:rPr>
        <w:t xml:space="preserve">ดังนั้น</w:t>
      </w:r>
      <w:r>
        <w:rPr>
          <w:rFonts w:ascii="TH Sarabun New" w:cs="TH Sarabun New" w:eastAsia="TH Sarabun New" w:hAnsi="TH Sarabun New"/>
          <w:b w:val="false"/>
          <w:bCs w:val="false"/>
          <w:i w:val="false"/>
          <w:iCs w:val="false"/>
          <w:sz w:val="32"/>
          <w:szCs w:val="32"/>
        </w:rPr>
        <w:t xml:space="preserve">จึงจำเป็นต้องศึกษาประสิทธิผลของรูปแบบบริการแบบบูรณาการเพื่อการเลิกบุหรี่ในสถานศึกษา โดยใช้การทดลองเชิงสุ่มระดับกลุ่มที่มีการยืนยันผลทางชีวเคมีและติดตามระยะยาว</w:t>
      </w:r>
    </w:p>
    <w:p>
      <w:pPr>
        <w:pStyle w:val="Heading2"/>
        <w:spacing w:after="120" w:before="220"/>
      </w:pPr>
      <w:r>
        <w:rPr>
          <w:rFonts w:ascii="TH Sarabun New" w:cs="TH Sarabun New" w:eastAsia="TH Sarabun New" w:hAnsi="TH Sarabun New"/>
          <w:b/>
          <w:bCs/>
          <w:i w:val="false"/>
          <w:iCs w:val="false"/>
          <w:sz w:val="34"/>
          <w:szCs w:val="34"/>
        </w:rPr>
        <w:t xml:space="preserve">1.6 ความแปลกใหม่และการมีส่วนร่วมทางวิชาการระดับปริญญาเอก</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Novelty: </w:t>
      </w:r>
      <w:r>
        <w:rPr>
          <w:rFonts w:ascii="TH Sarabun New" w:cs="TH Sarabun New" w:eastAsia="TH Sarabun New" w:hAnsi="TH Sarabun New"/>
          <w:b w:val="false"/>
          <w:bCs w:val="false"/>
          <w:i w:val="false"/>
          <w:iCs w:val="false"/>
          <w:sz w:val="32"/>
          <w:szCs w:val="32"/>
        </w:rPr>
        <w:t xml:space="preserve">การพัฒนาและทดสอบรูปแบบบริการเชิงระบบแบบบูรณาการ (คัดกรอง–บำบัด–ส่งต่อ–ติดตาม) ที่ออกแบบเฉพาะสำหรับบริบทสถานศึกษาไทย มิใช่เพียงเปลี่ยนพื้นที่ศึกษา</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Theoretical contribution: </w:t>
      </w:r>
      <w:r>
        <w:rPr>
          <w:rFonts w:ascii="TH Sarabun New" w:cs="TH Sarabun New" w:eastAsia="TH Sarabun New" w:hAnsi="TH Sarabun New"/>
          <w:b w:val="false"/>
          <w:bCs w:val="false"/>
          <w:i w:val="false"/>
          <w:iCs w:val="false"/>
          <w:sz w:val="32"/>
          <w:szCs w:val="32"/>
        </w:rPr>
        <w:t xml:space="preserve">ขยายองค์ความรู้ด้านระบาดวิทยาพฤติกรรมและการประยุกต์ทฤษฎีการปรับเปลี่ยนพฤติกรรม (MI, 5A, SCT/TTM) สู่รูปแบบบริการที่วัดผลได้</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Methodological contribution: </w:t>
      </w:r>
      <w:r>
        <w:rPr>
          <w:rFonts w:ascii="TH Sarabun New" w:cs="TH Sarabun New" w:eastAsia="TH Sarabun New" w:hAnsi="TH Sarabun New"/>
          <w:b w:val="false"/>
          <w:bCs w:val="false"/>
          <w:i w:val="false"/>
          <w:iCs w:val="false"/>
          <w:sz w:val="32"/>
          <w:szCs w:val="32"/>
        </w:rPr>
        <w:t xml:space="preserve">ใช้ cluster RCT ร่วมกับการยืนยันผลทางชีวเคมีและการวิเคราะห์แบบหลายระดับ ซึ่งเพิ่มความเข้มงวดเชิงระเบียบวิธีเหนือกว่างานเดิม</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Policy/practice contribution: </w:t>
      </w:r>
      <w:r>
        <w:rPr>
          <w:rFonts w:ascii="TH Sarabun New" w:cs="TH Sarabun New" w:eastAsia="TH Sarabun New" w:hAnsi="TH Sarabun New"/>
          <w:b w:val="false"/>
          <w:bCs w:val="false"/>
          <w:i w:val="false"/>
          <w:iCs w:val="false"/>
          <w:sz w:val="32"/>
          <w:szCs w:val="32"/>
        </w:rPr>
        <w:t xml:space="preserve">ให้ข้อเสนอเชิงนโยบายและแนวปฏิบัติที่นำไปขยายผลในระบบสถานศึกษาและบริการสุขภาพได้จริง</w:t>
      </w:r>
    </w:p>
    <w:p>
      <w:pPr>
        <w:pStyle w:val="Heading2"/>
        <w:spacing w:after="120" w:before="220"/>
      </w:pPr>
      <w:r>
        <w:rPr>
          <w:rFonts w:ascii="TH Sarabun New" w:cs="TH Sarabun New" w:eastAsia="TH Sarabun New" w:hAnsi="TH Sarabun New"/>
          <w:b/>
          <w:bCs/>
          <w:i w:val="false"/>
          <w:iCs w:val="false"/>
          <w:sz w:val="34"/>
          <w:szCs w:val="34"/>
        </w:rPr>
        <w:t xml:space="preserve">1.7 คำถามวิจัย</w:t>
      </w:r>
    </w:p>
    <w:p>
      <w:pPr>
        <w:pStyle w:val="ListParagraph"/>
        <w:numPr>
          <w:ilvl w:val="0"/>
          <w:numId w:val="3"/>
        </w:numPr>
        <w:spacing w:after="60" w:line="340"/>
        <w:jc w:val="both"/>
      </w:pPr>
      <w:r>
        <w:rPr>
          <w:rFonts w:ascii="TH Sarabun New" w:cs="TH Sarabun New" w:eastAsia="TH Sarabun New" w:hAnsi="TH Sarabun New"/>
          <w:b/>
          <w:bCs/>
          <w:i w:val="false"/>
          <w:iCs w:val="false"/>
          <w:sz w:val="32"/>
          <w:szCs w:val="32"/>
        </w:rPr>
        <w:t xml:space="preserve">คำถามหลัก: </w:t>
      </w:r>
      <w:r>
        <w:rPr>
          <w:rFonts w:ascii="TH Sarabun New" w:cs="TH Sarabun New" w:eastAsia="TH Sarabun New" w:hAnsi="TH Sarabun New"/>
          <w:b w:val="false"/>
          <w:bCs w:val="false"/>
          <w:i w:val="false"/>
          <w:iCs w:val="false"/>
          <w:sz w:val="32"/>
          <w:szCs w:val="32"/>
        </w:rPr>
        <w:t xml:space="preserve">รูปแบบบริการแบบบูรณาการเพื่อการเลิกบุหรี่ในสถานศึกษามีประสิทธิผลในการเพิ่มอัตราการเลิกบุหรี่ (ยืนยันด้วยตัวชี้วัดทางชีวเคมี) เมื่อเทียบกับบริการตามปกติหรือไม่ เพียงใด</w:t>
      </w:r>
    </w:p>
    <w:p>
      <w:pPr>
        <w:pStyle w:val="ListParagraph"/>
        <w:numPr>
          <w:ilvl w:val="0"/>
          <w:numId w:val="3"/>
        </w:numPr>
        <w:spacing w:after="60" w:line="340"/>
        <w:jc w:val="both"/>
      </w:pPr>
      <w:r>
        <w:rPr>
          <w:rFonts w:ascii="TH Sarabun New" w:cs="TH Sarabun New" w:eastAsia="TH Sarabun New" w:hAnsi="TH Sarabun New"/>
          <w:b/>
          <w:bCs/>
          <w:i w:val="false"/>
          <w:iCs w:val="false"/>
          <w:sz w:val="32"/>
          <w:szCs w:val="32"/>
        </w:rPr>
        <w:t xml:space="preserve">คำถามรอง: </w:t>
      </w:r>
      <w:r>
        <w:rPr>
          <w:rFonts w:ascii="TH Sarabun New" w:cs="TH Sarabun New" w:eastAsia="TH Sarabun New" w:hAnsi="TH Sarabun New"/>
          <w:b w:val="false"/>
          <w:bCs w:val="false"/>
          <w:i w:val="false"/>
          <w:iCs w:val="false"/>
          <w:sz w:val="32"/>
          <w:szCs w:val="32"/>
        </w:rPr>
        <w:t xml:space="preserve">รูปแบบบริการดังกล่าวส่งผลต่อความตั้งใจเลิก ความมั่นใจในการเลิก จำนวนมวนที่สูบ และการนำไปใช้จริง (reach, feasibility, fidelity) อย่างไร</w:t>
      </w:r>
    </w:p>
    <w:p>
      <w:pPr>
        <w:pStyle w:val="Heading2"/>
        <w:spacing w:after="120" w:before="220"/>
      </w:pPr>
      <w:r>
        <w:rPr>
          <w:rFonts w:ascii="TH Sarabun New" w:cs="TH Sarabun New" w:eastAsia="TH Sarabun New" w:hAnsi="TH Sarabun New"/>
          <w:b/>
          <w:bCs/>
          <w:i w:val="false"/>
          <w:iCs w:val="false"/>
          <w:sz w:val="34"/>
          <w:szCs w:val="34"/>
        </w:rPr>
        <w:t xml:space="preserve">1.8 วัตถุประสงค์การวิจัย</w:t>
      </w:r>
    </w:p>
    <w:p>
      <w:pPr>
        <w:pStyle w:val="Heading3"/>
        <w:spacing w:after="80" w:before="160"/>
        <w:ind w:left="360"/>
      </w:pPr>
      <w:r>
        <w:rPr>
          <w:rFonts w:ascii="TH Sarabun New" w:cs="TH Sarabun New" w:eastAsia="TH Sarabun New" w:hAnsi="TH Sarabun New"/>
          <w:b/>
          <w:bCs/>
          <w:i w:val="false"/>
          <w:iCs w:val="false"/>
          <w:sz w:val="32"/>
          <w:szCs w:val="32"/>
        </w:rPr>
        <w:t xml:space="preserve">วัตถุประสงค์หลัก</w:t>
      </w:r>
    </w:p>
    <w:p>
      <w:pPr>
        <w:pStyle w:val="ListParagraph"/>
        <w:numPr>
          <w:ilvl w:val="0"/>
          <w:numId w:val="4"/>
        </w:numPr>
        <w:spacing w:after="60" w:line="340"/>
        <w:jc w:val="both"/>
      </w:pPr>
      <w:r>
        <w:rPr>
          <w:rFonts w:ascii="TH Sarabun New" w:cs="TH Sarabun New" w:eastAsia="TH Sarabun New" w:hAnsi="TH Sarabun New"/>
          <w:b w:val="false"/>
          <w:bCs w:val="false"/>
          <w:i w:val="false"/>
          <w:iCs w:val="false"/>
          <w:sz w:val="32"/>
          <w:szCs w:val="32"/>
        </w:rPr>
        <w:t xml:space="preserve">เพื่อประเมินประสิทธิผลของรูปแบบบริการแบบบูรณาการเพื่อการเลิกบุหรี่ในสถานศึกษาต่ออัตราการเลิกบุหรี่ที่ยืนยันด้วยตัวชี้วัดทางชีวเคมี ณ 6 เดือน เทียบกับกลุ่มบริการตามปกติ</w:t>
      </w:r>
    </w:p>
    <w:p>
      <w:pPr>
        <w:pStyle w:val="Heading3"/>
        <w:spacing w:after="80" w:before="160"/>
        <w:ind w:left="360"/>
      </w:pPr>
      <w:r>
        <w:rPr>
          <w:rFonts w:ascii="TH Sarabun New" w:cs="TH Sarabun New" w:eastAsia="TH Sarabun New" w:hAnsi="TH Sarabun New"/>
          <w:b/>
          <w:bCs/>
          <w:i w:val="false"/>
          <w:iCs w:val="false"/>
          <w:sz w:val="32"/>
          <w:szCs w:val="32"/>
        </w:rPr>
        <w:t xml:space="preserve">วัตถุประสงค์รอง</w:t>
      </w:r>
    </w:p>
    <w:p>
      <w:pPr>
        <w:pStyle w:val="ListParagraph"/>
        <w:numPr>
          <w:ilvl w:val="0"/>
          <w:numId w:val="5"/>
        </w:numPr>
        <w:spacing w:after="60" w:line="340"/>
        <w:jc w:val="both"/>
      </w:pPr>
      <w:r>
        <w:rPr>
          <w:rFonts w:ascii="TH Sarabun New" w:cs="TH Sarabun New" w:eastAsia="TH Sarabun New" w:hAnsi="TH Sarabun New"/>
          <w:b w:val="false"/>
          <w:bCs w:val="false"/>
          <w:i w:val="false"/>
          <w:iCs w:val="false"/>
          <w:sz w:val="32"/>
          <w:szCs w:val="32"/>
        </w:rPr>
        <w:t xml:space="preserve">เพื่อเปรียบเทียบอัตราการเลิกบุหรี่แบบรายงานตนเอง ความตั้งใจและความมั่นใจในการเลิก และจำนวนมวนที่สูบระหว่างสองกลุ่ม</w:t>
      </w:r>
    </w:p>
    <w:p>
      <w:pPr>
        <w:pStyle w:val="ListParagraph"/>
        <w:numPr>
          <w:ilvl w:val="0"/>
          <w:numId w:val="5"/>
        </w:numPr>
        <w:spacing w:after="60" w:line="340"/>
        <w:jc w:val="both"/>
      </w:pPr>
      <w:r>
        <w:rPr>
          <w:rFonts w:ascii="TH Sarabun New" w:cs="TH Sarabun New" w:eastAsia="TH Sarabun New" w:hAnsi="TH Sarabun New"/>
          <w:b w:val="false"/>
          <w:bCs w:val="false"/>
          <w:i w:val="false"/>
          <w:iCs w:val="false"/>
          <w:sz w:val="32"/>
          <w:szCs w:val="32"/>
        </w:rPr>
        <w:t xml:space="preserve">เพื่อประเมินการนำรูปแบบบริการไปใช้ในมิติการเข้าถึง (reach) ความเป็นไปได้ (feasibility) และความครบถ้วนของการดำเนินการ (fidelity)</w:t>
      </w:r>
    </w:p>
    <w:p>
      <w:pPr>
        <w:pStyle w:val="ListParagraph"/>
        <w:numPr>
          <w:ilvl w:val="0"/>
          <w:numId w:val="5"/>
        </w:numPr>
        <w:spacing w:after="60" w:line="340"/>
        <w:jc w:val="both"/>
      </w:pPr>
      <w:r>
        <w:rPr>
          <w:rFonts w:ascii="TH Sarabun New" w:cs="TH Sarabun New" w:eastAsia="TH Sarabun New" w:hAnsi="TH Sarabun New"/>
          <w:b w:val="false"/>
          <w:bCs w:val="false"/>
          <w:i w:val="false"/>
          <w:iCs w:val="false"/>
          <w:sz w:val="32"/>
          <w:szCs w:val="32"/>
        </w:rPr>
        <w:t xml:space="preserve">เพื่อวิเคราะห์ปัจจัยที่สัมพันธ์กับความสำเร็จในการเลิกบุหรี่ในกลุ่มผู้เข้าร่วม</w:t>
      </w:r>
    </w:p>
    <w:p>
      <w:pPr>
        <w:pStyle w:val="Heading2"/>
        <w:spacing w:after="120" w:before="220"/>
      </w:pPr>
      <w:r>
        <w:rPr>
          <w:rFonts w:ascii="TH Sarabun New" w:cs="TH Sarabun New" w:eastAsia="TH Sarabun New" w:hAnsi="TH Sarabun New"/>
          <w:b/>
          <w:bCs/>
          <w:i w:val="false"/>
          <w:iCs w:val="false"/>
          <w:sz w:val="34"/>
          <w:szCs w:val="34"/>
        </w:rPr>
        <w:t xml:space="preserve">1.9 สมมติฐานการวิจัย</w:t>
      </w:r>
    </w:p>
    <w:p>
      <w:pPr>
        <w:spacing w:after="120" w:line="360"/>
        <w:jc w:val="both"/>
      </w:pPr>
      <w:r>
        <w:rPr>
          <w:rFonts w:ascii="TH Sarabun New" w:cs="TH Sarabun New" w:eastAsia="TH Sarabun New" w:hAnsi="TH Sarabun New"/>
          <w:b w:val="false"/>
          <w:bCs w:val="false"/>
          <w:i w:val="false"/>
          <w:iCs w:val="false"/>
          <w:sz w:val="32"/>
          <w:szCs w:val="32"/>
        </w:rPr>
        <w:t xml:space="preserve">H</w:t>
      </w:r>
      <w:r>
        <w:rPr>
          <w:rFonts w:ascii="TH Sarabun New" w:cs="TH Sarabun New" w:eastAsia="TH Sarabun New" w:hAnsi="TH Sarabun New"/>
          <w:b w:val="false"/>
          <w:bCs w:val="false"/>
          <w:i w:val="false"/>
          <w:iCs w:val="false"/>
          <w:sz w:val="32"/>
          <w:szCs w:val="32"/>
        </w:rPr>
        <w:t xml:space="preserve">1</w:t>
      </w:r>
      <w:r>
        <w:rPr>
          <w:rFonts w:ascii="TH Sarabun New" w:cs="TH Sarabun New" w:eastAsia="TH Sarabun New" w:hAnsi="TH Sarabun New"/>
          <w:b w:val="false"/>
          <w:bCs w:val="false"/>
          <w:i w:val="false"/>
          <w:iCs w:val="false"/>
          <w:sz w:val="32"/>
          <w:szCs w:val="32"/>
        </w:rPr>
        <w:t xml:space="preserve">: นักเรียน/นักศึกษาที่ได้รับรูปแบบบริการแบบบูรณาการมีอัตราการเลิกบุหรี่ที่ยืนยันด้วยตัวชี้วัดทางชีวเคมี ณ 6 เดือน สูงกว่ากลุ่มที่ได้รับบริการตามปกติอย่างมีนัยสำคัญทางสถิติ</w:t>
      </w:r>
    </w:p>
    <w:p>
      <w:pPr>
        <w:spacing w:after="140" w:line="360"/>
        <w:jc w:val="both"/>
      </w:pPr>
      <w:r>
        <w:rPr>
          <w:rFonts w:ascii="TH Sarabun New" w:cs="TH Sarabun New" w:eastAsia="TH Sarabun New" w:hAnsi="TH Sarabun New"/>
          <w:b w:val="false"/>
          <w:bCs w:val="false"/>
          <w:i w:val="false"/>
          <w:iCs w:val="false"/>
          <w:sz w:val="32"/>
          <w:szCs w:val="32"/>
        </w:rPr>
        <w:t xml:space="preserve">H</w:t>
      </w:r>
      <w:r>
        <w:rPr>
          <w:rFonts w:ascii="TH Sarabun New" w:cs="TH Sarabun New" w:eastAsia="TH Sarabun New" w:hAnsi="TH Sarabun New"/>
          <w:b w:val="false"/>
          <w:bCs w:val="false"/>
          <w:i w:val="false"/>
          <w:iCs w:val="false"/>
          <w:sz w:val="32"/>
          <w:szCs w:val="32"/>
        </w:rPr>
        <w:t xml:space="preserve">0</w:t>
      </w:r>
      <w:r>
        <w:rPr>
          <w:rFonts w:ascii="TH Sarabun New" w:cs="TH Sarabun New" w:eastAsia="TH Sarabun New" w:hAnsi="TH Sarabun New"/>
          <w:b w:val="false"/>
          <w:bCs w:val="false"/>
          <w:i w:val="false"/>
          <w:iCs w:val="false"/>
          <w:sz w:val="32"/>
          <w:szCs w:val="32"/>
        </w:rPr>
        <w:t xml:space="preserve">: อัตราการเลิกบุหรี่ระหว่างสองกลุ่มไม่แตกต่างกัน</w:t>
      </w:r>
    </w:p>
    <w:p>
      <w:pPr>
        <w:pStyle w:val="Heading2"/>
        <w:spacing w:after="120" w:before="220"/>
      </w:pPr>
      <w:r>
        <w:rPr>
          <w:rFonts w:ascii="TH Sarabun New" w:cs="TH Sarabun New" w:eastAsia="TH Sarabun New" w:hAnsi="TH Sarabun New"/>
          <w:b/>
          <w:bCs/>
          <w:i w:val="false"/>
          <w:iCs w:val="false"/>
          <w:sz w:val="34"/>
          <w:szCs w:val="34"/>
        </w:rPr>
        <w:t xml:space="preserve">1.10 ตัวแปรหลักและตัวแปรกวนเบื้องต้น</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ตัวแปรต้น (Intervention): </w:t>
      </w:r>
      <w:r>
        <w:rPr>
          <w:rFonts w:ascii="TH Sarabun New" w:cs="TH Sarabun New" w:eastAsia="TH Sarabun New" w:hAnsi="TH Sarabun New"/>
          <w:b w:val="false"/>
          <w:bCs w:val="false"/>
          <w:i w:val="false"/>
          <w:iCs w:val="false"/>
          <w:sz w:val="32"/>
          <w:szCs w:val="32"/>
        </w:rPr>
        <w:t xml:space="preserve">การได้รับรูปแบบบริการแบบบูรณาการเพื่อการเลิกบุหรี่ในสถานศึกษา เทียบกับบริการตามปกติ</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ตัวแปรตามหลัก (Primary outcome): </w:t>
      </w:r>
      <w:r>
        <w:rPr>
          <w:rFonts w:ascii="TH Sarabun New" w:cs="TH Sarabun New" w:eastAsia="TH Sarabun New" w:hAnsi="TH Sarabun New"/>
          <w:b w:val="false"/>
          <w:bCs w:val="false"/>
          <w:i w:val="false"/>
          <w:iCs w:val="false"/>
          <w:sz w:val="32"/>
          <w:szCs w:val="32"/>
        </w:rPr>
        <w:t xml:space="preserve">การเลิกบุหรี่ต่อเนื่องที่ยืนยันด้วยตัวชี้วัดทางชีวเคมี (exhaled CO และ/หรือ cotinine) ณ 6 เดือน</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ตัวแปรตามรอง (Secondary outcomes): </w:t>
      </w:r>
      <w:r>
        <w:rPr>
          <w:rFonts w:ascii="TH Sarabun New" w:cs="TH Sarabun New" w:eastAsia="TH Sarabun New" w:hAnsi="TH Sarabun New"/>
          <w:b w:val="false"/>
          <w:bCs w:val="false"/>
          <w:i w:val="false"/>
          <w:iCs w:val="false"/>
          <w:sz w:val="32"/>
          <w:szCs w:val="32"/>
        </w:rPr>
        <w:t xml:space="preserve">การเลิกแบบรายงานตนเอง ความตั้งใจ/ความมั่นใจในการเลิก จำนวนมวนที่สูบ และตัวชี้วัดด้านการนำไปใช้</w:t>
      </w:r>
    </w:p>
    <w:p>
      <w:pPr>
        <w:pStyle w:val="ListParagraph"/>
        <w:numPr>
          <w:ilvl w:val="0"/>
          <w:numId w:val="2"/>
        </w:numPr>
        <w:spacing w:after="60" w:line="340"/>
        <w:jc w:val="both"/>
      </w:pPr>
      <w:r>
        <w:rPr>
          <w:rFonts w:ascii="TH Sarabun New" w:cs="TH Sarabun New" w:eastAsia="TH Sarabun New" w:hAnsi="TH Sarabun New"/>
          <w:b/>
          <w:bCs/>
          <w:i w:val="false"/>
          <w:iCs w:val="false"/>
          <w:sz w:val="32"/>
          <w:szCs w:val="32"/>
        </w:rPr>
        <w:t xml:space="preserve">ตัวแปรกวนที่อาจเกี่ยวข้อง (Potential confounders): </w:t>
      </w:r>
      <w:r>
        <w:rPr>
          <w:rFonts w:ascii="TH Sarabun New" w:cs="TH Sarabun New" w:eastAsia="TH Sarabun New" w:hAnsi="TH Sarabun New"/>
          <w:b w:val="false"/>
          <w:bCs w:val="false"/>
          <w:i w:val="false"/>
          <w:iCs w:val="false"/>
          <w:sz w:val="32"/>
          <w:szCs w:val="32"/>
        </w:rPr>
        <w:t xml:space="preserve">อายุ เพศ ระดับการติดนิโคติน (FTND) การมีผู้สูบบุหรี่ในครอบครัว/รอบตัว การดื่มแอลกอฮอล์ การใช้กัญชา/บุหรี่ไฟฟ้า และสถานะเศรษฐกิจสังคม</w:t>
      </w:r>
    </w:p>
    <w:p>
      <w:pPr>
        <w:pStyle w:val="Heading2"/>
        <w:spacing w:after="120" w:before="220"/>
      </w:pPr>
      <w:r>
        <w:rPr>
          <w:rFonts w:ascii="TH Sarabun New" w:cs="TH Sarabun New" w:eastAsia="TH Sarabun New" w:hAnsi="TH Sarabun New"/>
          <w:b/>
          <w:bCs/>
          <w:i w:val="false"/>
          <w:iCs w:val="false"/>
          <w:sz w:val="34"/>
          <w:szCs w:val="34"/>
        </w:rPr>
        <w:t xml:space="preserve">1.11 ข้อเสนอรูปแบบการศึกษาและแผนการวิเคราะห์ทางสถิติ</w:t>
      </w:r>
    </w:p>
    <w:p>
      <w:pPr>
        <w:spacing w:after="120" w:line="360"/>
        <w:jc w:val="both"/>
      </w:pPr>
      <w:r>
        <w:rPr>
          <w:rFonts w:ascii="TH Sarabun New" w:cs="TH Sarabun New" w:eastAsia="TH Sarabun New" w:hAnsi="TH Sarabun New"/>
          <w:b/>
          <w:bCs/>
          <w:i w:val="false"/>
          <w:iCs w:val="false"/>
          <w:sz w:val="32"/>
          <w:szCs w:val="32"/>
        </w:rPr>
        <w:t xml:space="preserve">รูปแบบการศึกษา: </w:t>
      </w:r>
      <w:r>
        <w:rPr>
          <w:rFonts w:ascii="TH Sarabun New" w:cs="TH Sarabun New" w:eastAsia="TH Sarabun New" w:hAnsi="TH Sarabun New"/>
          <w:b w:val="false"/>
          <w:bCs w:val="false"/>
          <w:i w:val="false"/>
          <w:iCs w:val="false"/>
          <w:sz w:val="32"/>
          <w:szCs w:val="32"/>
        </w:rPr>
        <w:t xml:space="preserve">การทดลองเชิงสุ่มระดับกลุ่ม (cluster randomized controlled trial) โดยสุ่มสถานศึกษาเป็นหน่วย เพื่อลดการปนเปื้อนระหว่างกลุ่ม (contamination) และสอดคล้องกับลักษณะการจัดบริการที่ระดับสถานศึกษา</w:t>
      </w:r>
    </w:p>
    <w:p>
      <w:pPr>
        <w:spacing w:after="120" w:line="360"/>
        <w:jc w:val="both"/>
      </w:pPr>
      <w:r>
        <w:rPr>
          <w:rFonts w:ascii="TH Sarabun New" w:cs="TH Sarabun New" w:eastAsia="TH Sarabun New" w:hAnsi="TH Sarabun New"/>
          <w:b/>
          <w:bCs/>
          <w:i w:val="false"/>
          <w:iCs w:val="false"/>
          <w:sz w:val="32"/>
          <w:szCs w:val="32"/>
        </w:rPr>
        <w:t xml:space="preserve">การควบคุมอคติ: </w:t>
      </w:r>
      <w:r>
        <w:rPr>
          <w:rFonts w:ascii="TH Sarabun New" w:cs="TH Sarabun New" w:eastAsia="TH Sarabun New" w:hAnsi="TH Sarabun New"/>
          <w:b w:val="false"/>
          <w:bCs w:val="false"/>
          <w:i w:val="false"/>
          <w:iCs w:val="false"/>
          <w:sz w:val="32"/>
          <w:szCs w:val="32"/>
        </w:rPr>
        <w:t xml:space="preserve">จัดสรรแบบสุ่มพร้อมปกปิดลำดับการจัดสรร (allocation concealment) วิเคราะห์แบบ intention-to-treat ปกปิดผู้ประเมินผลลัพธ์ (outcome assessor blinding) และยืนยันผลด้วยตัวชี้วัดทางชีวเคมีเพื่อลด information/reporting bias</w:t>
      </w:r>
    </w:p>
    <w:p>
      <w:pPr>
        <w:spacing w:after="160" w:line="360"/>
        <w:jc w:val="both"/>
      </w:pPr>
      <w:r>
        <w:rPr>
          <w:rFonts w:ascii="TH Sarabun New" w:cs="TH Sarabun New" w:eastAsia="TH Sarabun New" w:hAnsi="TH Sarabun New"/>
          <w:b/>
          <w:bCs/>
          <w:i w:val="false"/>
          <w:iCs w:val="false"/>
          <w:sz w:val="32"/>
          <w:szCs w:val="32"/>
        </w:rPr>
        <w:t xml:space="preserve">แผนการวิเคราะห์: </w:t>
      </w:r>
      <w:r>
        <w:rPr>
          <w:rFonts w:ascii="TH Sarabun New" w:cs="TH Sarabun New" w:eastAsia="TH Sarabun New" w:hAnsi="TH Sarabun New"/>
          <w:b w:val="false"/>
          <w:bCs w:val="false"/>
          <w:i w:val="false"/>
          <w:iCs w:val="false"/>
          <w:sz w:val="32"/>
          <w:szCs w:val="32"/>
        </w:rPr>
        <w:t xml:space="preserve">เปรียบเทียบผลลัพธ์แบบ binary ด้วย mixed-effects logistic regression หรือ modified Poisson regression ที่คำนึงถึงการจัดกลุ่ม (clustering) เพื่อรายงาน risk ratio/odds ratio พร้อม 95% CI; ผลลัพธ์ต่อเนื่องวิเคราะห์ด้วย linear mixed model; รายงาน effect size และ 95% CI เป็นหลัก ตรวจสอบข้อตกลงเบื้องต้นของแบบจำลอง การกระจายของข้อมูล และจัดการข้อมูลสูญหายอย่างเหมาะสม (เช่น multiple imputation) และวิเคราะห์ความไว (sensitivity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คำถาม/ผลลัพธ์</w:t>
            </w:r>
          </w:p>
        </w:tc>
        <w:tc>
          <w:tcPr>
            <w:tcW w:type="dxa" w:w="6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tcPr>
          <w:p>
            <w:pPr>
              <w:spacing w:after="20" w:line="280"/>
              <w:jc w:val="center"/>
            </w:pPr>
            <w:r>
              <w:rPr>
                <w:rFonts w:ascii="TH Sarabun New" w:cs="TH Sarabun New" w:eastAsia="TH Sarabun New" w:hAnsi="TH Sarabun New"/>
                <w:b/>
                <w:bCs/>
                <w:i w:val="false"/>
                <w:iCs w:val="false"/>
                <w:sz w:val="28"/>
                <w:szCs w:val="28"/>
              </w:rPr>
              <w:t xml:space="preserve">สถิติหลักที่พิจารณา</w:t>
            </w:r>
          </w:p>
        </w:tc>
      </w:tr>
      <w:t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อัตราการเลิก (binary) ระหว่างกลุ่ม</w:t>
            </w:r>
          </w:p>
        </w:tc>
        <w:tc>
          <w:tcPr>
            <w:tcW w:type="dxa" w:w="6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Mixed-effects logistic / modified Poisson (RR/OR + 95% CI), ITT, ปรับ clustering</w:t>
            </w:r>
          </w:p>
        </w:tc>
      </w:tr>
      <w:t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จำนวนมวน/ความตั้งใจ (ต่อเนื่อง)</w:t>
            </w:r>
          </w:p>
        </w:tc>
        <w:tc>
          <w:tcPr>
            <w:tcW w:type="dxa" w:w="6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Linear mixed model; ปรับ baseline</w:t>
            </w:r>
          </w:p>
        </w:tc>
      </w:tr>
      <w:t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ปัจจัยสัมพันธ์กับการเลิก</w:t>
            </w:r>
          </w:p>
        </w:tc>
        <w:tc>
          <w:tcPr>
            <w:tcW w:type="dxa" w:w="6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Multivariable regression โดยเลือกตัวแปรจาก DAG/หลักฐาน มิใช่จาก p-value เพียงอย่างเดียว</w:t>
            </w:r>
          </w:p>
        </w:tc>
      </w:tr>
      <w:tr>
        <w:tc>
          <w:tcPr>
            <w:tcW w:type="dxa" w:w="3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การนำไปใช้ (implementation)</w:t>
            </w:r>
          </w:p>
        </w:tc>
        <w:tc>
          <w:tcPr>
            <w:tcW w:type="dxa" w:w="6000"/>
            <w:tcBorders>
              <w:top w:val="single" w:color="888888" w:sz="4"/>
              <w:left w:val="single" w:color="888888" w:sz="4"/>
              <w:bottom w:val="single" w:color="888888" w:sz="4"/>
              <w:right w:val="single" w:color="888888" w:sz="4"/>
            </w:tcBorders>
            <w:tcMar>
              <w:top w:type="dxa" w:w="40"/>
              <w:left w:type="dxa" w:w="80"/>
              <w:bottom w:type="dxa" w:w="40"/>
              <w:right w:type="dxa" w:w="80"/>
            </w:tcMar>
          </w:tcPr>
          <w:p>
            <w:pPr>
              <w:spacing w:after="20" w:line="280"/>
              <w:jc w:val="left"/>
            </w:pPr>
            <w:r>
              <w:rPr>
                <w:rFonts w:ascii="TH Sarabun New" w:cs="TH Sarabun New" w:eastAsia="TH Sarabun New" w:hAnsi="TH Sarabun New"/>
                <w:b w:val="false"/>
                <w:bCs w:val="false"/>
                <w:i w:val="false"/>
                <w:iCs w:val="false"/>
                <w:sz w:val="28"/>
                <w:szCs w:val="28"/>
              </w:rPr>
              <w:t xml:space="preserve">Reach, adoption, fidelity, feasibility; mixed methods เมื่อเหมาะสม</w:t>
            </w:r>
          </w:p>
        </w:tc>
      </w:tr>
    </w:tbl>
    <w:p>
      <w:pPr>
        <w:spacing w:after="120"/>
      </w:pPr>
      <w:r>
        <w:rPr>
          <w:rFonts w:ascii="TH Sarabun New" w:cs="TH Sarabun New" w:eastAsia="TH Sarabun New" w:hAnsi="TH Sarabun New"/>
          <w:b w:val="false"/>
          <w:bCs w:val="false"/>
          <w:i w:val="false"/>
          <w:iCs w:val="false"/>
          <w:sz w:val="32"/>
          <w:szCs w:val="32"/>
        </w:rPr>
        <w:t xml:space="preserve"/>
      </w:r>
    </w:p>
    <w:p>
      <w:r>
        <w:br w:type="page"/>
      </w:r>
    </w:p>
    <w:p>
      <w:pPr>
        <w:pStyle w:val="Heading2"/>
        <w:spacing w:after="120" w:before="220"/>
      </w:pPr>
      <w:r>
        <w:rPr>
          <w:rFonts w:ascii="TH Sarabun New" w:cs="TH Sarabun New" w:eastAsia="TH Sarabun New" w:hAnsi="TH Sarabun New"/>
          <w:b/>
          <w:bCs/>
          <w:i w:val="false"/>
          <w:iCs w:val="false"/>
          <w:sz w:val="34"/>
          <w:szCs w:val="34"/>
        </w:rPr>
        <w:t xml:space="preserve">1.12 รายการอ้างอิง (References)</w:t>
      </w:r>
    </w:p>
    <w:p>
      <w:pPr>
        <w:spacing w:after="120" w:line="360"/>
        <w:jc w:val="both"/>
      </w:pPr>
      <w:r>
        <w:rPr>
          <w:rFonts w:ascii="TH Sarabun New" w:cs="TH Sarabun New" w:eastAsia="TH Sarabun New" w:hAnsi="TH Sarabun New"/>
          <w:b w:val="false"/>
          <w:bCs w:val="false"/>
          <w:i/>
          <w:iCs/>
          <w:sz w:val="28"/>
          <w:szCs w:val="28"/>
        </w:rPr>
        <w:t xml:space="preserve">จัดรูปแบบตาม APA 7th edition สำหรับข้อมูลที่ปรับปรุงตามเวลาควรตรวจสอบฉบับล่าสุด ณ วันที่สืบค้น (กรกฎาคม 2569 / 2026)</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Adebisi, Y. A., Phungdee, T., Saokaew, S., &amp; Lucero-Prisno, D. E. (2024). Prevalence and determinants of current cigarette smoking among adolescents in Thailand: Evidence from 2021 Global School-Based Health Survey. </w:t>
      </w:r>
      <w:r>
        <w:rPr>
          <w:rFonts w:ascii="TH Sarabun New" w:cs="TH Sarabun New" w:eastAsia="TH Sarabun New" w:hAnsi="TH Sarabun New"/>
          <w:b w:val="false"/>
          <w:bCs w:val="false"/>
          <w:i/>
          <w:iCs/>
          <w:sz w:val="32"/>
          <w:szCs w:val="32"/>
        </w:rPr>
        <w:t xml:space="preserve">Journal of Research in Health Sciences, 24</w:t>
      </w:r>
      <w:r>
        <w:rPr>
          <w:rFonts w:ascii="TH Sarabun New" w:cs="TH Sarabun New" w:eastAsia="TH Sarabun New" w:hAnsi="TH Sarabun New"/>
          <w:b w:val="false"/>
          <w:bCs w:val="false"/>
          <w:i w:val="false"/>
          <w:iCs w:val="false"/>
          <w:sz w:val="32"/>
          <w:szCs w:val="32"/>
        </w:rPr>
        <w:t xml:space="preserve">(2), e00610. https://doi.org/10.34172/jrhs.2024.145</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Alsahli, F. A., Alruwais, N. M., Alsultan, L. S., Abojalid, B. S., Nughays, R. O., Humedi, A. M., Alosaimi, A., Alrubaian, M. T., Almuteri, D. Z., &amp; Alkhunizan, M. A. (2025). Interventions for prevention of tobacco smoking in school-aged children and adolescents: A systematic review and meta-analysis. </w:t>
      </w:r>
      <w:r>
        <w:rPr>
          <w:rFonts w:ascii="TH Sarabun New" w:cs="TH Sarabun New" w:eastAsia="TH Sarabun New" w:hAnsi="TH Sarabun New"/>
          <w:b w:val="false"/>
          <w:bCs w:val="false"/>
          <w:i/>
          <w:iCs/>
          <w:sz w:val="32"/>
          <w:szCs w:val="32"/>
        </w:rPr>
        <w:t xml:space="preserve">Cureus, 17</w:t>
      </w:r>
      <w:r>
        <w:rPr>
          <w:rFonts w:ascii="TH Sarabun New" w:cs="TH Sarabun New" w:eastAsia="TH Sarabun New" w:hAnsi="TH Sarabun New"/>
          <w:b w:val="false"/>
          <w:bCs w:val="false"/>
          <w:i w:val="false"/>
          <w:iCs w:val="false"/>
          <w:sz w:val="32"/>
          <w:szCs w:val="32"/>
        </w:rPr>
        <w:t xml:space="preserve">(1), e77008. https://doi.org/10.7759/cureus.77008</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Bundhamcharoen, K., et al. (2021). Economic cost of tobacco smoking and secondhand smoke exposure at home in Thailand. </w:t>
      </w:r>
      <w:r>
        <w:rPr>
          <w:rFonts w:ascii="TH Sarabun New" w:cs="TH Sarabun New" w:eastAsia="TH Sarabun New" w:hAnsi="TH Sarabun New"/>
          <w:b w:val="false"/>
          <w:bCs w:val="false"/>
          <w:i/>
          <w:iCs/>
          <w:sz w:val="32"/>
          <w:szCs w:val="32"/>
        </w:rPr>
        <w:t xml:space="preserve">Tobacco Control / Nicotine &amp; Tobacco Research.</w:t>
      </w:r>
      <w:r>
        <w:rPr>
          <w:rFonts w:ascii="TH Sarabun New" w:cs="TH Sarabun New" w:eastAsia="TH Sarabun New" w:hAnsi="TH Sarabun New"/>
          <w:b w:val="false"/>
          <w:bCs w:val="false"/>
          <w:i w:val="false"/>
          <w:iCs w:val="false"/>
          <w:sz w:val="32"/>
          <w:szCs w:val="32"/>
        </w:rPr>
        <w:t xml:space="preserve"> https://pubmed.ncbi.nlm.nih.gov/33632807/</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Global Youth Tobacco Survey Thailand. (2022). </w:t>
      </w:r>
      <w:r>
        <w:rPr>
          <w:rFonts w:ascii="TH Sarabun New" w:cs="TH Sarabun New" w:eastAsia="TH Sarabun New" w:hAnsi="TH Sarabun New"/>
          <w:b w:val="false"/>
          <w:bCs w:val="false"/>
          <w:i/>
          <w:iCs/>
          <w:sz w:val="32"/>
          <w:szCs w:val="32"/>
        </w:rPr>
        <w:t xml:space="preserve">Thailand Global Youth Tobacco Survey report.</w:t>
      </w:r>
      <w:r>
        <w:rPr>
          <w:rFonts w:ascii="TH Sarabun New" w:cs="TH Sarabun New" w:eastAsia="TH Sarabun New" w:hAnsi="TH Sarabun New"/>
          <w:b w:val="false"/>
          <w:bCs w:val="false"/>
          <w:i w:val="false"/>
          <w:iCs w:val="false"/>
          <w:sz w:val="32"/>
          <w:szCs w:val="32"/>
        </w:rPr>
        <w:t xml:space="preserve"> World Health Organization &amp; Ministry of Public Health, Thailand.</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Mangrio, F. A., Uthis, P., Rojnawee, S., &amp; Matthews, A. K. (2025). Effectiveness of non-pharmacological school-based therapies for cigarette smoking cessation among adolescents in South and Southeast Asian countries: A systematic review and meta-analysis. </w:t>
      </w:r>
      <w:r>
        <w:rPr>
          <w:rFonts w:ascii="TH Sarabun New" w:cs="TH Sarabun New" w:eastAsia="TH Sarabun New" w:hAnsi="TH Sarabun New"/>
          <w:b w:val="false"/>
          <w:bCs w:val="false"/>
          <w:i/>
          <w:iCs/>
          <w:sz w:val="32"/>
          <w:szCs w:val="32"/>
        </w:rPr>
        <w:t xml:space="preserve">Osong Public Health and Research Perspectives, 16</w:t>
      </w:r>
      <w:r>
        <w:rPr>
          <w:rFonts w:ascii="TH Sarabun New" w:cs="TH Sarabun New" w:eastAsia="TH Sarabun New" w:hAnsi="TH Sarabun New"/>
          <w:b w:val="false"/>
          <w:bCs w:val="false"/>
          <w:i w:val="false"/>
          <w:iCs w:val="false"/>
          <w:sz w:val="32"/>
          <w:szCs w:val="32"/>
        </w:rPr>
        <w:t xml:space="preserve">(3), 195–210. https://doi.org/10.24171/j.phrp.2024.0320</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สำนักงานสถิติแห่งชาติ. (2564). </w:t>
      </w:r>
      <w:r>
        <w:rPr>
          <w:rFonts w:ascii="TH Sarabun New" w:cs="TH Sarabun New" w:eastAsia="TH Sarabun New" w:hAnsi="TH Sarabun New"/>
          <w:b w:val="false"/>
          <w:bCs w:val="false"/>
          <w:i/>
          <w:iCs/>
          <w:sz w:val="32"/>
          <w:szCs w:val="32"/>
        </w:rPr>
        <w:t xml:space="preserve">การสำรวจพฤติกรรมด้านสุขภาพของประชากร พ.ศ. 2564.</w:t>
      </w:r>
      <w:r>
        <w:rPr>
          <w:rFonts w:ascii="TH Sarabun New" w:cs="TH Sarabun New" w:eastAsia="TH Sarabun New" w:hAnsi="TH Sarabun New"/>
          <w:b w:val="false"/>
          <w:bCs w:val="false"/>
          <w:i w:val="false"/>
          <w:iCs w:val="false"/>
          <w:sz w:val="32"/>
          <w:szCs w:val="32"/>
        </w:rPr>
        <w:t xml:space="preserve"> กระทรวงดิจิทัลเพื่อเศรษฐกิจและสังคม.</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World Health Organization. (2023). </w:t>
      </w:r>
      <w:r>
        <w:rPr>
          <w:rFonts w:ascii="TH Sarabun New" w:cs="TH Sarabun New" w:eastAsia="TH Sarabun New" w:hAnsi="TH Sarabun New"/>
          <w:b w:val="false"/>
          <w:bCs w:val="false"/>
          <w:i/>
          <w:iCs/>
          <w:sz w:val="32"/>
          <w:szCs w:val="32"/>
        </w:rPr>
        <w:t xml:space="preserve">Tobacco (Fact sheet).</w:t>
      </w:r>
      <w:r>
        <w:rPr>
          <w:rFonts w:ascii="TH Sarabun New" w:cs="TH Sarabun New" w:eastAsia="TH Sarabun New" w:hAnsi="TH Sarabun New"/>
          <w:b w:val="false"/>
          <w:bCs w:val="false"/>
          <w:i w:val="false"/>
          <w:iCs w:val="false"/>
          <w:sz w:val="32"/>
          <w:szCs w:val="32"/>
        </w:rPr>
        <w:t xml:space="preserve"> https://www.who.int/news-room/fact-sheets/detail/tobacco</w:t>
      </w:r>
    </w:p>
    <w:p>
      <w:pPr>
        <w:spacing w:after="120" w:line="340"/>
        <w:ind w:left="720" w:hanging="720"/>
        <w:jc w:val="left"/>
      </w:pPr>
      <w:r>
        <w:rPr>
          <w:rFonts w:ascii="TH Sarabun New" w:cs="TH Sarabun New" w:eastAsia="TH Sarabun New" w:hAnsi="TH Sarabun New"/>
          <w:b w:val="false"/>
          <w:bCs w:val="false"/>
          <w:i w:val="false"/>
          <w:iCs w:val="false"/>
          <w:sz w:val="32"/>
          <w:szCs w:val="32"/>
        </w:rPr>
        <w:t xml:space="preserve">World Health Organization. (2025). </w:t>
      </w:r>
      <w:r>
        <w:rPr>
          <w:rFonts w:ascii="TH Sarabun New" w:cs="TH Sarabun New" w:eastAsia="TH Sarabun New" w:hAnsi="TH Sarabun New"/>
          <w:b w:val="false"/>
          <w:bCs w:val="false"/>
          <w:i/>
          <w:iCs/>
          <w:sz w:val="32"/>
          <w:szCs w:val="32"/>
        </w:rPr>
        <w:t xml:space="preserve">WHO global report on trends in prevalence of tobacco use 2000–2024 and projections 2025–2030.</w:t>
      </w:r>
      <w:r>
        <w:rPr>
          <w:rFonts w:ascii="TH Sarabun New" w:cs="TH Sarabun New" w:eastAsia="TH Sarabun New" w:hAnsi="TH Sarabun New"/>
          <w:b w:val="false"/>
          <w:bCs w:val="false"/>
          <w:i w:val="false"/>
          <w:iCs w:val="false"/>
          <w:sz w:val="32"/>
          <w:szCs w:val="32"/>
        </w:rPr>
        <w:t xml:space="preserve"> https://www.who.int/publications/i/item/9789240116276</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H Sarabun New" w:cs="TH Sarabun New" w:eastAsia="TH Sarabun New" w:hAnsi="TH Sarabun New"/>
      <w:b/>
      <w:bCs/>
      <w:color w:val="1F3864"/>
      <w:sz w:val="36"/>
      <w:szCs w:val="36"/>
    </w:rPr>
  </w:style>
  <w:style w:type="paragraph" w:styleId="Heading2">
    <w:name w:val="Heading 2"/>
    <w:basedOn w:val="Normal"/>
    <w:next w:val="Normal"/>
    <w:qFormat/>
    <w:rPr>
      <w:rFonts w:ascii="TH Sarabun New" w:cs="TH Sarabun New" w:eastAsia="TH Sarabun New" w:hAnsi="TH Sarabun New"/>
      <w:b/>
      <w:bCs/>
      <w:color w:val="2E5496"/>
      <w:sz w:val="34"/>
      <w:szCs w:val="34"/>
    </w:rPr>
  </w:style>
  <w:style w:type="paragraph" w:styleId="Heading3">
    <w:name w:val="Heading 3"/>
    <w:basedOn w:val="Normal"/>
    <w:next w:val="Normal"/>
    <w:qFormat/>
    <w:rPr>
      <w:rFonts w:ascii="TH Sarabun New" w:cs="TH Sarabun New" w:eastAsia="TH Sarabun New" w:hAnsi="TH Sarabun New"/>
      <w:b/>
      <w:bCs/>
      <w:color w:val="2E549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2026-07-21T08:55:46.252Z</dcterms:created>
  <dcterms:modified xsi:type="dcterms:W3CDTF">2026-07-21T08:55:46.252Z</dcterms:modified>
</cp:coreProperties>
</file>

<file path=docProps/custom.xml><?xml version="1.0" encoding="utf-8"?>
<Properties xmlns="http://schemas.openxmlformats.org/officeDocument/2006/custom-properties" xmlns:vt="http://schemas.openxmlformats.org/officeDocument/2006/docPropsVTypes"/>
</file>