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AFDB" w14:textId="4DE066FA" w:rsidR="00CE54F0" w:rsidRPr="00CE54F0" w:rsidRDefault="00CE54F0" w:rsidP="00ED2FB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CE54F0">
        <w:rPr>
          <w:rFonts w:ascii="宋体" w:eastAsia="宋体" w:hAnsi="宋体" w:hint="eastAsia"/>
          <w:b/>
          <w:bCs/>
          <w:sz w:val="32"/>
          <w:szCs w:val="32"/>
        </w:rPr>
        <w:t>关于建立“客户沟通与答疑统一口径”的建议</w:t>
      </w:r>
    </w:p>
    <w:p w14:paraId="21718DF4" w14:textId="2160B4FB" w:rsidR="00ED2FBD" w:rsidRDefault="00ED2FBD" w:rsidP="00ED2FBD">
      <w:pPr>
        <w:jc w:val="center"/>
        <w:rPr>
          <w:rFonts w:ascii="宋体" w:eastAsia="宋体" w:hAnsi="宋体" w:hint="eastAsia"/>
          <w:sz w:val="24"/>
        </w:rPr>
      </w:pPr>
      <w:r w:rsidRPr="00ED2FBD">
        <w:rPr>
          <w:rFonts w:ascii="宋体" w:eastAsia="宋体" w:hAnsi="宋体" w:hint="eastAsia"/>
          <w:sz w:val="24"/>
        </w:rPr>
        <w:t>联通(山东)产业互联网派驻济南办事处 赵英智</w:t>
      </w:r>
    </w:p>
    <w:p w14:paraId="59FDD991" w14:textId="77777777" w:rsidR="00CE54F0" w:rsidRPr="00CE54F0" w:rsidRDefault="00CE54F0" w:rsidP="00CE54F0">
      <w:pPr>
        <w:ind w:firstLine="420"/>
        <w:rPr>
          <w:rFonts w:ascii="宋体" w:eastAsia="宋体" w:hAnsi="宋体" w:hint="eastAsia"/>
          <w:sz w:val="24"/>
        </w:rPr>
      </w:pPr>
      <w:r w:rsidRPr="00CE54F0">
        <w:rPr>
          <w:rFonts w:ascii="宋体" w:eastAsia="宋体" w:hAnsi="宋体" w:hint="eastAsia"/>
          <w:sz w:val="24"/>
        </w:rPr>
        <w:t>在项目支撑与方案支撑工作中，经常出现“同一个问题不同人不同说法”的情况：客户经理、解决方案、交付、运维、安全、财务等角色由于关注点不同，面对客户提问时容易从各自视角解释，导致对外口径不一致、客户感知混乱；对内则容易出现反复确认、互相打架甚至责任边界不清的问题。尤其在多项目并行、跨部门协作频繁的场景下，高频问题（如价格口径、交付范围、验收标准、网络与数据安全、</w:t>
      </w:r>
      <w:proofErr w:type="gramStart"/>
      <w:r w:rsidRPr="00CE54F0">
        <w:rPr>
          <w:rFonts w:ascii="宋体" w:eastAsia="宋体" w:hAnsi="宋体" w:hint="eastAsia"/>
          <w:sz w:val="24"/>
        </w:rPr>
        <w:t>等保配合</w:t>
      </w:r>
      <w:proofErr w:type="gramEnd"/>
      <w:r w:rsidRPr="00CE54F0">
        <w:rPr>
          <w:rFonts w:ascii="宋体" w:eastAsia="宋体" w:hAnsi="宋体" w:hint="eastAsia"/>
          <w:sz w:val="24"/>
        </w:rPr>
        <w:t>边界、服务时间与响应SLA、是否支持内网/离线部署、POC结果如何认定等）一旦缺少统一表述，不仅增加沟通成本，还可能引发后续方案返工、合同条款争议和验收扯皮，最终影响项目推进效率与客户满意度。</w:t>
      </w:r>
    </w:p>
    <w:p w14:paraId="7A9075A6" w14:textId="77777777" w:rsidR="00CE54F0" w:rsidRPr="00CE54F0" w:rsidRDefault="00CE54F0" w:rsidP="00CE54F0">
      <w:pPr>
        <w:ind w:firstLine="420"/>
        <w:rPr>
          <w:rFonts w:ascii="宋体" w:eastAsia="宋体" w:hAnsi="宋体" w:hint="eastAsia"/>
          <w:sz w:val="24"/>
        </w:rPr>
      </w:pPr>
      <w:r w:rsidRPr="00CE54F0">
        <w:rPr>
          <w:rFonts w:ascii="宋体" w:eastAsia="宋体" w:hAnsi="宋体" w:hint="eastAsia"/>
          <w:sz w:val="24"/>
        </w:rPr>
        <w:t>建议建立部门级“客户沟通与答疑统一口径库”，将高频问题以“可直接复制使用”的方式固化为标准回答模板，并通过版本</w:t>
      </w:r>
      <w:proofErr w:type="gramStart"/>
      <w:r w:rsidRPr="00CE54F0">
        <w:rPr>
          <w:rFonts w:ascii="宋体" w:eastAsia="宋体" w:hAnsi="宋体" w:hint="eastAsia"/>
          <w:sz w:val="24"/>
        </w:rPr>
        <w:t>化治理</w:t>
      </w:r>
      <w:proofErr w:type="gramEnd"/>
      <w:r w:rsidRPr="00CE54F0">
        <w:rPr>
          <w:rFonts w:ascii="宋体" w:eastAsia="宋体" w:hAnsi="宋体" w:hint="eastAsia"/>
          <w:sz w:val="24"/>
        </w:rPr>
        <w:t>确保持续有效。</w:t>
      </w:r>
      <w:proofErr w:type="gramStart"/>
      <w:r w:rsidRPr="00CE54F0">
        <w:rPr>
          <w:rFonts w:ascii="宋体" w:eastAsia="宋体" w:hAnsi="宋体" w:hint="eastAsia"/>
          <w:sz w:val="24"/>
        </w:rPr>
        <w:t>口径库可按</w:t>
      </w:r>
      <w:proofErr w:type="gramEnd"/>
      <w:r w:rsidRPr="00CE54F0">
        <w:rPr>
          <w:rFonts w:ascii="宋体" w:eastAsia="宋体" w:hAnsi="宋体" w:hint="eastAsia"/>
          <w:sz w:val="24"/>
        </w:rPr>
        <w:t>“场景—问题—标准答复—适用条件—不可承诺项—可升级接口人”结构沉淀：在标准答复中明确边界条件与前置假设，避免出现过度承诺；同步给出必要的解释话术与推荐表达（如面对敏感问题如何更稳妥地回应）；对于涉及合</w:t>
      </w:r>
      <w:proofErr w:type="gramStart"/>
      <w:r w:rsidRPr="00CE54F0">
        <w:rPr>
          <w:rFonts w:ascii="宋体" w:eastAsia="宋体" w:hAnsi="宋体" w:hint="eastAsia"/>
          <w:sz w:val="24"/>
        </w:rPr>
        <w:t>规</w:t>
      </w:r>
      <w:proofErr w:type="gramEnd"/>
      <w:r w:rsidRPr="00CE54F0">
        <w:rPr>
          <w:rFonts w:ascii="宋体" w:eastAsia="宋体" w:hAnsi="宋体" w:hint="eastAsia"/>
          <w:sz w:val="24"/>
        </w:rPr>
        <w:t>、安全、财务的内容，需明确“必须走审批/必须以书面为准”的提示语，形成对外一致、对内可控的沟通体系。内容范围建议覆盖但不限于：报价与计费模型（</w:t>
      </w:r>
      <w:proofErr w:type="gramStart"/>
      <w:r w:rsidRPr="00CE54F0">
        <w:rPr>
          <w:rFonts w:ascii="宋体" w:eastAsia="宋体" w:hAnsi="宋体" w:hint="eastAsia"/>
          <w:sz w:val="24"/>
        </w:rPr>
        <w:t>算力规格</w:t>
      </w:r>
      <w:proofErr w:type="gramEnd"/>
      <w:r w:rsidRPr="00CE54F0">
        <w:rPr>
          <w:rFonts w:ascii="宋体" w:eastAsia="宋体" w:hAnsi="宋体" w:hint="eastAsia"/>
          <w:sz w:val="24"/>
        </w:rPr>
        <w:t>+服务项拆分、价格有效期、计费口径说明）、交付与验收（交付物清单、验收指标、测试方式、证据链要求）、安全合</w:t>
      </w:r>
      <w:proofErr w:type="gramStart"/>
      <w:r w:rsidRPr="00CE54F0">
        <w:rPr>
          <w:rFonts w:ascii="宋体" w:eastAsia="宋体" w:hAnsi="宋体" w:hint="eastAsia"/>
          <w:sz w:val="24"/>
        </w:rPr>
        <w:t>规</w:t>
      </w:r>
      <w:proofErr w:type="gramEnd"/>
      <w:r w:rsidRPr="00CE54F0">
        <w:rPr>
          <w:rFonts w:ascii="宋体" w:eastAsia="宋体" w:hAnsi="宋体" w:hint="eastAsia"/>
          <w:sz w:val="24"/>
        </w:rPr>
        <w:t>（</w:t>
      </w:r>
      <w:proofErr w:type="gramStart"/>
      <w:r w:rsidRPr="00CE54F0">
        <w:rPr>
          <w:rFonts w:ascii="宋体" w:eastAsia="宋体" w:hAnsi="宋体" w:hint="eastAsia"/>
          <w:sz w:val="24"/>
        </w:rPr>
        <w:t>数据出域边界</w:t>
      </w:r>
      <w:proofErr w:type="gramEnd"/>
      <w:r w:rsidRPr="00CE54F0">
        <w:rPr>
          <w:rFonts w:ascii="宋体" w:eastAsia="宋体" w:hAnsi="宋体" w:hint="eastAsia"/>
          <w:sz w:val="24"/>
        </w:rPr>
        <w:t>、日志审计、权限管理、内容安全责任划分、</w:t>
      </w:r>
      <w:proofErr w:type="gramStart"/>
      <w:r w:rsidRPr="00CE54F0">
        <w:rPr>
          <w:rFonts w:ascii="宋体" w:eastAsia="宋体" w:hAnsi="宋体" w:hint="eastAsia"/>
          <w:sz w:val="24"/>
        </w:rPr>
        <w:t>等保配合</w:t>
      </w:r>
      <w:proofErr w:type="gramEnd"/>
      <w:r w:rsidRPr="00CE54F0">
        <w:rPr>
          <w:rFonts w:ascii="宋体" w:eastAsia="宋体" w:hAnsi="宋体" w:hint="eastAsia"/>
          <w:sz w:val="24"/>
        </w:rPr>
        <w:t>范围）、服务保障（服务时间、响应时效、SLA分级、运维边界）、变更管理（需求变更触发条件、变更评审流程）等。</w:t>
      </w:r>
    </w:p>
    <w:p w14:paraId="12FE69AD" w14:textId="77777777" w:rsidR="00CE54F0" w:rsidRPr="00CE54F0" w:rsidRDefault="00CE54F0" w:rsidP="00CE54F0">
      <w:pPr>
        <w:ind w:firstLine="420"/>
        <w:rPr>
          <w:rFonts w:ascii="宋体" w:eastAsia="宋体" w:hAnsi="宋体" w:hint="eastAsia"/>
          <w:sz w:val="24"/>
        </w:rPr>
      </w:pPr>
      <w:r w:rsidRPr="00CE54F0">
        <w:rPr>
          <w:rFonts w:ascii="宋体" w:eastAsia="宋体" w:hAnsi="宋体" w:hint="eastAsia"/>
          <w:sz w:val="24"/>
        </w:rPr>
        <w:t>为避免口径库“建了不用、用着不准”，建议配套三项机制：一是设置责任人和更新节奏，将口径库纳入日常工作流，重要口径变更必须发布公告并同步培训；二是建立“新增与纠错”入口，鼓励一线将客户最新提问、争议点、被退回原因及时反馈，形成快速迭代；三是将口径库与评审/对外交付绑定，例如对外材料或关键沟通必须引用对应口径版本，重大事项（价格承诺、安全边界、验收口径）需有明确的引用编号或截图留痕，确保可追溯、可复盘。</w:t>
      </w:r>
    </w:p>
    <w:p w14:paraId="038875CF" w14:textId="4528DBCD" w:rsidR="00ED2FBD" w:rsidRPr="00ED2FBD" w:rsidRDefault="00CE54F0" w:rsidP="00CE54F0">
      <w:pPr>
        <w:ind w:firstLine="420"/>
        <w:rPr>
          <w:rFonts w:ascii="宋体" w:eastAsia="宋体" w:hAnsi="宋体" w:hint="eastAsia"/>
          <w:sz w:val="24"/>
        </w:rPr>
      </w:pPr>
      <w:r w:rsidRPr="00CE54F0">
        <w:rPr>
          <w:rFonts w:ascii="宋体" w:eastAsia="宋体" w:hAnsi="宋体" w:hint="eastAsia"/>
          <w:sz w:val="24"/>
        </w:rPr>
        <w:t>落地后，该机制能够显著提升对外沟通的一致性与专业度，减少内部重复确认与误解，提高方案与合同条款的稳定性，降低后期争议与返工概率。建议用可量化指标评估成效，例如：同类问题重复咨询次数下降、方案/合同因口径问题退回次数下降、客户投诉与争议点减少、评审修改轮次下降，以及新人独立对客答疑能力提升等，最终实现“对外统一、对内高效、风险可控”的支撑协同效果。</w:t>
      </w:r>
    </w:p>
    <w:sectPr w:rsidR="00ED2FBD" w:rsidRPr="00ED2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F476" w14:textId="77777777" w:rsidR="00AE03C8" w:rsidRDefault="00AE03C8" w:rsidP="00CE54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AC9A6F" w14:textId="77777777" w:rsidR="00AE03C8" w:rsidRDefault="00AE03C8" w:rsidP="00CE54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9602" w14:textId="77777777" w:rsidR="00AE03C8" w:rsidRDefault="00AE03C8" w:rsidP="00CE54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847CD6" w14:textId="77777777" w:rsidR="00AE03C8" w:rsidRDefault="00AE03C8" w:rsidP="00CE54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AE"/>
    <w:rsid w:val="000D386D"/>
    <w:rsid w:val="000F6D15"/>
    <w:rsid w:val="002F2522"/>
    <w:rsid w:val="00470CD2"/>
    <w:rsid w:val="00714D8A"/>
    <w:rsid w:val="00741AAC"/>
    <w:rsid w:val="00915134"/>
    <w:rsid w:val="00AE03C8"/>
    <w:rsid w:val="00CE54F0"/>
    <w:rsid w:val="00DE21FB"/>
    <w:rsid w:val="00ED2FBD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23994"/>
  <w15:chartTrackingRefBased/>
  <w15:docId w15:val="{D267B96E-3D8A-4DC6-9059-BFB88EC1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C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C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C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C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C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C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C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C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C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C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C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C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C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C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54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54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550</Characters>
  <Application>Microsoft Office Word</Application>
  <DocSecurity>0</DocSecurity>
  <Lines>19</Lines>
  <Paragraphs>8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英智 赵</dc:creator>
  <cp:keywords/>
  <dc:description/>
  <cp:lastModifiedBy>英智 赵</cp:lastModifiedBy>
  <cp:revision>2</cp:revision>
  <cp:lastPrinted>2026-02-06T09:57:00Z</cp:lastPrinted>
  <dcterms:created xsi:type="dcterms:W3CDTF">2026-02-06T11:21:00Z</dcterms:created>
  <dcterms:modified xsi:type="dcterms:W3CDTF">2026-02-06T11:21:00Z</dcterms:modified>
</cp:coreProperties>
</file>