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28A90" w14:textId="5513C004" w:rsidR="00936A6D" w:rsidRPr="00753C05" w:rsidRDefault="00AC29AE" w:rsidP="003C5BAF">
      <w:pPr>
        <w:spacing w:line="480" w:lineRule="auto"/>
        <w:jc w:val="center"/>
      </w:pPr>
      <w:bookmarkStart w:id="0" w:name="Abstract"/>
      <w:r w:rsidRPr="00AC29AE">
        <w:rPr>
          <w:b/>
          <w:bCs/>
          <w:i/>
          <w:color w:val="000000"/>
        </w:rPr>
        <w:t>Drosophila melanogaster</w:t>
      </w:r>
      <w:r>
        <w:rPr>
          <w:b/>
          <w:bCs/>
          <w:color w:val="000000"/>
        </w:rPr>
        <w:t xml:space="preserve"> survival after infection with </w:t>
      </w:r>
      <w:r w:rsidRPr="00AC29AE">
        <w:rPr>
          <w:b/>
          <w:bCs/>
          <w:i/>
          <w:color w:val="000000"/>
        </w:rPr>
        <w:t xml:space="preserve">Beauveria </w:t>
      </w:r>
      <w:proofErr w:type="spellStart"/>
      <w:r w:rsidRPr="00AC29AE">
        <w:rPr>
          <w:b/>
          <w:bCs/>
          <w:i/>
          <w:color w:val="000000"/>
        </w:rPr>
        <w:t>bassiana</w:t>
      </w:r>
      <w:proofErr w:type="spellEnd"/>
      <w:r>
        <w:rPr>
          <w:b/>
          <w:bCs/>
          <w:color w:val="000000"/>
        </w:rPr>
        <w:t xml:space="preserve"> depends on sex</w:t>
      </w:r>
      <w:r w:rsidR="00417821">
        <w:rPr>
          <w:b/>
          <w:bCs/>
          <w:color w:val="000000"/>
        </w:rPr>
        <w:t xml:space="preserve">, </w:t>
      </w:r>
      <w:r>
        <w:rPr>
          <w:b/>
          <w:bCs/>
          <w:color w:val="000000"/>
        </w:rPr>
        <w:t>mating status</w:t>
      </w:r>
      <w:r w:rsidR="00417821">
        <w:rPr>
          <w:b/>
          <w:bCs/>
          <w:color w:val="000000"/>
        </w:rPr>
        <w:t>, and diet</w:t>
      </w:r>
    </w:p>
    <w:p w14:paraId="4E3A74E1" w14:textId="77777777" w:rsidR="00936A6D" w:rsidRPr="00753C05" w:rsidRDefault="00936A6D" w:rsidP="003C5BAF">
      <w:pPr>
        <w:spacing w:line="480" w:lineRule="auto"/>
        <w:jc w:val="both"/>
        <w:rPr>
          <w:b/>
          <w:bCs/>
          <w:color w:val="000000"/>
        </w:rPr>
      </w:pPr>
    </w:p>
    <w:p w14:paraId="33A2A8EA" w14:textId="545BCB72" w:rsidR="00936A6D" w:rsidRPr="00753C05" w:rsidRDefault="00936A6D" w:rsidP="003C5BAF">
      <w:pPr>
        <w:spacing w:line="480" w:lineRule="auto"/>
        <w:jc w:val="center"/>
        <w:rPr>
          <w:bCs/>
          <w:color w:val="000000"/>
          <w:vertAlign w:val="superscript"/>
        </w:rPr>
      </w:pPr>
      <w:r w:rsidRPr="00753C05">
        <w:rPr>
          <w:bCs/>
          <w:color w:val="000000"/>
        </w:rPr>
        <w:t xml:space="preserve">Kshama </w:t>
      </w:r>
      <w:proofErr w:type="spellStart"/>
      <w:r w:rsidRPr="00753C05">
        <w:rPr>
          <w:bCs/>
          <w:color w:val="000000"/>
        </w:rPr>
        <w:t>Ekanath</w:t>
      </w:r>
      <w:proofErr w:type="spellEnd"/>
      <w:r w:rsidRPr="00753C05">
        <w:rPr>
          <w:bCs/>
          <w:color w:val="000000"/>
        </w:rPr>
        <w:t xml:space="preserve"> Rai</w:t>
      </w:r>
      <w:r w:rsidRPr="00753C05">
        <w:rPr>
          <w:bCs/>
          <w:color w:val="000000"/>
          <w:vertAlign w:val="superscript"/>
        </w:rPr>
        <w:t>1</w:t>
      </w:r>
      <w:r w:rsidRPr="00753C05">
        <w:rPr>
          <w:bCs/>
          <w:color w:val="000000"/>
        </w:rPr>
        <w:t>, Han Yin</w:t>
      </w:r>
      <w:r w:rsidRPr="00753C05">
        <w:rPr>
          <w:bCs/>
          <w:color w:val="000000"/>
          <w:vertAlign w:val="superscript"/>
        </w:rPr>
        <w:t>2</w:t>
      </w:r>
      <w:r w:rsidR="001F121D">
        <w:rPr>
          <w:bCs/>
          <w:color w:val="000000"/>
        </w:rPr>
        <w:t xml:space="preserve">, </w:t>
      </w:r>
      <w:r w:rsidR="00351E44" w:rsidRPr="00753C05">
        <w:rPr>
          <w:bCs/>
          <w:color w:val="000000"/>
        </w:rPr>
        <w:t>Arnie Lynn C. Bengo</w:t>
      </w:r>
      <w:proofErr w:type="gramStart"/>
      <w:r w:rsidR="00351E44" w:rsidRPr="00753C05">
        <w:rPr>
          <w:bCs/>
          <w:color w:val="000000"/>
          <w:vertAlign w:val="superscript"/>
        </w:rPr>
        <w:t>1</w:t>
      </w:r>
      <w:r w:rsidR="00351E44">
        <w:rPr>
          <w:bCs/>
          <w:color w:val="000000"/>
        </w:rPr>
        <w:t xml:space="preserve">, </w:t>
      </w:r>
      <w:r w:rsidR="00351E44">
        <w:rPr>
          <w:bCs/>
          <w:color w:val="000000"/>
          <w:vertAlign w:val="superscript"/>
        </w:rPr>
        <w:t xml:space="preserve"> </w:t>
      </w:r>
      <w:r w:rsidRPr="00753C05">
        <w:rPr>
          <w:bCs/>
          <w:color w:val="000000"/>
        </w:rPr>
        <w:t>Madison</w:t>
      </w:r>
      <w:proofErr w:type="gramEnd"/>
      <w:r w:rsidRPr="00753C05">
        <w:rPr>
          <w:bCs/>
          <w:color w:val="000000"/>
        </w:rPr>
        <w:t xml:space="preserve"> Cheek</w:t>
      </w:r>
      <w:r w:rsidRPr="00753C05">
        <w:rPr>
          <w:bCs/>
          <w:color w:val="000000"/>
          <w:vertAlign w:val="superscript"/>
        </w:rPr>
        <w:t>1</w:t>
      </w:r>
      <w:r w:rsidR="000839B6">
        <w:rPr>
          <w:bCs/>
          <w:color w:val="000000"/>
        </w:rPr>
        <w:t xml:space="preserve">, </w:t>
      </w:r>
      <w:r w:rsidRPr="00753C05">
        <w:rPr>
          <w:bCs/>
          <w:color w:val="000000"/>
        </w:rPr>
        <w:t>Sam Behseta</w:t>
      </w:r>
      <w:r w:rsidRPr="00753C05">
        <w:rPr>
          <w:bCs/>
          <w:color w:val="000000"/>
          <w:vertAlign w:val="superscript"/>
        </w:rPr>
        <w:t>2</w:t>
      </w:r>
      <w:r w:rsidRPr="00753C05">
        <w:rPr>
          <w:bCs/>
          <w:color w:val="000000"/>
        </w:rPr>
        <w:t>, Parvin Shahrestani</w:t>
      </w:r>
      <w:r w:rsidRPr="00753C05">
        <w:rPr>
          <w:bCs/>
          <w:color w:val="000000"/>
          <w:vertAlign w:val="superscript"/>
        </w:rPr>
        <w:t>1*</w:t>
      </w:r>
    </w:p>
    <w:p w14:paraId="0236F64C" w14:textId="77777777" w:rsidR="00936A6D" w:rsidRPr="00753C05" w:rsidRDefault="00936A6D" w:rsidP="003C5BAF">
      <w:pPr>
        <w:spacing w:line="480" w:lineRule="auto"/>
        <w:jc w:val="center"/>
        <w:rPr>
          <w:bCs/>
          <w:color w:val="000000"/>
          <w:vertAlign w:val="superscript"/>
        </w:rPr>
      </w:pPr>
    </w:p>
    <w:p w14:paraId="11937A8F" w14:textId="2294313F" w:rsidR="00936A6D" w:rsidRPr="00753C05" w:rsidRDefault="00936A6D" w:rsidP="000038CE">
      <w:pPr>
        <w:tabs>
          <w:tab w:val="right" w:pos="8640"/>
        </w:tabs>
        <w:spacing w:line="480" w:lineRule="auto"/>
        <w:jc w:val="both"/>
        <w:rPr>
          <w:bCs/>
          <w:color w:val="000000"/>
        </w:rPr>
      </w:pPr>
      <w:r w:rsidRPr="00753C05">
        <w:rPr>
          <w:bCs/>
          <w:color w:val="000000"/>
          <w:vertAlign w:val="superscript"/>
        </w:rPr>
        <w:t xml:space="preserve">1 </w:t>
      </w:r>
      <w:r w:rsidRPr="00753C05">
        <w:rPr>
          <w:bCs/>
          <w:color w:val="000000"/>
        </w:rPr>
        <w:t>Department of Biological Sciences, California State University, Fullerton</w:t>
      </w:r>
      <w:r w:rsidR="000038CE">
        <w:rPr>
          <w:bCs/>
          <w:color w:val="000000"/>
        </w:rPr>
        <w:tab/>
      </w:r>
    </w:p>
    <w:p w14:paraId="61D17539" w14:textId="77777777" w:rsidR="00936A6D" w:rsidRDefault="00936A6D" w:rsidP="003C5BAF">
      <w:pPr>
        <w:spacing w:line="480" w:lineRule="auto"/>
        <w:jc w:val="both"/>
        <w:rPr>
          <w:bCs/>
          <w:color w:val="000000"/>
        </w:rPr>
      </w:pPr>
      <w:r w:rsidRPr="00753C05">
        <w:rPr>
          <w:bCs/>
          <w:color w:val="000000"/>
          <w:vertAlign w:val="superscript"/>
        </w:rPr>
        <w:t>2</w:t>
      </w:r>
      <w:r w:rsidRPr="00753C05">
        <w:rPr>
          <w:bCs/>
          <w:color w:val="000000"/>
        </w:rPr>
        <w:t xml:space="preserve"> Department of Mathematics, California State University, Fullerton</w:t>
      </w:r>
    </w:p>
    <w:p w14:paraId="3B8B022B" w14:textId="2B742437" w:rsidR="00936A6D" w:rsidRDefault="00936A6D" w:rsidP="003C5BAF">
      <w:pPr>
        <w:spacing w:line="480" w:lineRule="auto"/>
        <w:jc w:val="both"/>
        <w:rPr>
          <w:bCs/>
          <w:color w:val="000000"/>
        </w:rPr>
      </w:pPr>
      <w:r w:rsidRPr="00753C05">
        <w:rPr>
          <w:bCs/>
          <w:color w:val="000000"/>
        </w:rPr>
        <w:t>* To whom correspondence should be addressed</w:t>
      </w:r>
    </w:p>
    <w:p w14:paraId="219E2DD8" w14:textId="366834FF" w:rsidR="00FB129D" w:rsidRDefault="00FB129D" w:rsidP="00FB129D">
      <w:pPr>
        <w:jc w:val="both"/>
        <w:rPr>
          <w:bCs/>
          <w:color w:val="000000"/>
        </w:rPr>
      </w:pPr>
      <w:r>
        <w:rPr>
          <w:bCs/>
          <w:color w:val="000000"/>
        </w:rPr>
        <w:t>Corresponding author:</w:t>
      </w:r>
    </w:p>
    <w:p w14:paraId="56C5F560" w14:textId="6E49AFC5" w:rsidR="00FB129D" w:rsidRDefault="00FB129D" w:rsidP="00FB129D">
      <w:pPr>
        <w:jc w:val="both"/>
        <w:rPr>
          <w:bCs/>
          <w:color w:val="000000"/>
        </w:rPr>
      </w:pPr>
      <w:r>
        <w:rPr>
          <w:bCs/>
          <w:color w:val="000000"/>
        </w:rPr>
        <w:t xml:space="preserve">Parvin </w:t>
      </w:r>
      <w:proofErr w:type="spellStart"/>
      <w:r>
        <w:rPr>
          <w:bCs/>
          <w:color w:val="000000"/>
        </w:rPr>
        <w:t>Sharestani</w:t>
      </w:r>
      <w:proofErr w:type="spellEnd"/>
    </w:p>
    <w:p w14:paraId="1BE8FA6D" w14:textId="332E76DA" w:rsidR="00FB129D" w:rsidRDefault="00836101" w:rsidP="00FB129D">
      <w:pPr>
        <w:jc w:val="both"/>
        <w:rPr>
          <w:bCs/>
          <w:color w:val="000000"/>
        </w:rPr>
      </w:pPr>
      <w:hyperlink r:id="rId8" w:history="1">
        <w:r w:rsidR="00FB129D" w:rsidRPr="0033353E">
          <w:rPr>
            <w:rStyle w:val="Hyperlink"/>
            <w:bCs/>
          </w:rPr>
          <w:t>pshahrestani@fullerton.edu</w:t>
        </w:r>
      </w:hyperlink>
    </w:p>
    <w:p w14:paraId="177AF7C6" w14:textId="6BD20781" w:rsidR="00FB129D" w:rsidRDefault="00FB129D" w:rsidP="00FB129D">
      <w:pPr>
        <w:jc w:val="both"/>
        <w:rPr>
          <w:bCs/>
          <w:color w:val="000000"/>
        </w:rPr>
      </w:pPr>
      <w:r>
        <w:rPr>
          <w:bCs/>
          <w:color w:val="000000"/>
        </w:rPr>
        <w:t>657-278-4233</w:t>
      </w:r>
    </w:p>
    <w:p w14:paraId="7376C4CA" w14:textId="60959F46" w:rsidR="00FB129D" w:rsidRDefault="00FB129D" w:rsidP="00FB129D">
      <w:pPr>
        <w:jc w:val="both"/>
        <w:rPr>
          <w:bCs/>
          <w:color w:val="000000"/>
        </w:rPr>
      </w:pPr>
      <w:r>
        <w:rPr>
          <w:bCs/>
          <w:color w:val="000000"/>
        </w:rPr>
        <w:t>California State University, Fullerton</w:t>
      </w:r>
    </w:p>
    <w:p w14:paraId="670C37DD" w14:textId="2028AD31" w:rsidR="00FB129D" w:rsidRDefault="00FB129D" w:rsidP="00FB129D">
      <w:pPr>
        <w:jc w:val="both"/>
        <w:rPr>
          <w:bCs/>
          <w:color w:val="000000"/>
        </w:rPr>
      </w:pPr>
      <w:r>
        <w:rPr>
          <w:bCs/>
          <w:color w:val="000000"/>
        </w:rPr>
        <w:t>800 N State College Boulevard</w:t>
      </w:r>
    </w:p>
    <w:p w14:paraId="4461D83A" w14:textId="77777777" w:rsidR="00B0240E" w:rsidRDefault="00FB129D" w:rsidP="00B0240E">
      <w:pPr>
        <w:jc w:val="both"/>
        <w:rPr>
          <w:bCs/>
          <w:color w:val="000000"/>
        </w:rPr>
      </w:pPr>
      <w:r>
        <w:rPr>
          <w:bCs/>
          <w:color w:val="000000"/>
        </w:rPr>
        <w:t>Fullerton, CA 9</w:t>
      </w:r>
      <w:r w:rsidR="00B0240E">
        <w:rPr>
          <w:bCs/>
          <w:color w:val="000000"/>
        </w:rPr>
        <w:t>2831</w:t>
      </w:r>
    </w:p>
    <w:p w14:paraId="42815BFC" w14:textId="77777777" w:rsidR="00B0240E" w:rsidRDefault="00B0240E" w:rsidP="00B0240E">
      <w:pPr>
        <w:jc w:val="both"/>
        <w:rPr>
          <w:rFonts w:ascii="Arial" w:hAnsi="Arial" w:cs="Arial"/>
          <w:b/>
          <w:bCs/>
          <w:color w:val="000000"/>
        </w:rPr>
      </w:pPr>
    </w:p>
    <w:p w14:paraId="3AB70D8A" w14:textId="7A096147" w:rsidR="00185A99" w:rsidRDefault="00C55017" w:rsidP="00B0240E">
      <w:pPr>
        <w:jc w:val="both"/>
        <w:rPr>
          <w:bCs/>
          <w:color w:val="000000"/>
        </w:rPr>
      </w:pPr>
      <w:r>
        <w:rPr>
          <w:bCs/>
          <w:color w:val="000000"/>
        </w:rPr>
        <w:t xml:space="preserve">Keywords: </w:t>
      </w:r>
      <w:r w:rsidR="00B0240E" w:rsidRPr="00C55017">
        <w:rPr>
          <w:bCs/>
          <w:i/>
          <w:color w:val="000000"/>
        </w:rPr>
        <w:t>Drosophila melanogaster</w:t>
      </w:r>
      <w:r w:rsidR="00B0240E">
        <w:rPr>
          <w:bCs/>
          <w:color w:val="000000"/>
        </w:rPr>
        <w:t xml:space="preserve">, </w:t>
      </w:r>
      <w:r w:rsidR="00071CE9" w:rsidRPr="00C55017">
        <w:rPr>
          <w:bCs/>
          <w:i/>
          <w:color w:val="000000"/>
        </w:rPr>
        <w:t xml:space="preserve">Beauveria </w:t>
      </w:r>
      <w:proofErr w:type="spellStart"/>
      <w:r w:rsidR="00071CE9" w:rsidRPr="00C55017">
        <w:rPr>
          <w:bCs/>
          <w:i/>
          <w:color w:val="000000"/>
        </w:rPr>
        <w:t>bassiana</w:t>
      </w:r>
      <w:proofErr w:type="spellEnd"/>
      <w:r w:rsidR="00071CE9">
        <w:rPr>
          <w:bCs/>
          <w:color w:val="000000"/>
        </w:rPr>
        <w:t xml:space="preserve">, </w:t>
      </w:r>
      <w:r>
        <w:rPr>
          <w:bCs/>
          <w:color w:val="000000"/>
        </w:rPr>
        <w:t xml:space="preserve">tradeoff, </w:t>
      </w:r>
      <w:r w:rsidR="00071CE9">
        <w:rPr>
          <w:bCs/>
          <w:color w:val="000000"/>
        </w:rPr>
        <w:t xml:space="preserve">mating, immune defense, </w:t>
      </w:r>
      <w:r>
        <w:rPr>
          <w:bCs/>
          <w:color w:val="000000"/>
        </w:rPr>
        <w:t xml:space="preserve">sexual dimorphism </w:t>
      </w:r>
    </w:p>
    <w:p w14:paraId="618B8453" w14:textId="77777777" w:rsidR="00185A99" w:rsidRDefault="00185A99" w:rsidP="00B0240E">
      <w:pPr>
        <w:jc w:val="both"/>
        <w:rPr>
          <w:rFonts w:ascii="Arial" w:hAnsi="Arial" w:cs="Arial"/>
          <w:b/>
          <w:bCs/>
          <w:color w:val="000000"/>
        </w:rPr>
      </w:pPr>
    </w:p>
    <w:p w14:paraId="4A0149A3" w14:textId="0E981022" w:rsidR="00C871F5" w:rsidRDefault="00C871F5" w:rsidP="00B0240E">
      <w:pPr>
        <w:jc w:val="both"/>
        <w:rPr>
          <w:color w:val="000000"/>
        </w:rPr>
      </w:pPr>
      <w:r>
        <w:rPr>
          <w:color w:val="000000"/>
        </w:rPr>
        <w:t xml:space="preserve">What is already known: </w:t>
      </w:r>
      <w:r w:rsidRPr="0082162B">
        <w:rPr>
          <w:i/>
          <w:color w:val="000000"/>
        </w:rPr>
        <w:t>Drosophila melanogaster</w:t>
      </w:r>
      <w:r>
        <w:rPr>
          <w:color w:val="000000"/>
        </w:rPr>
        <w:t xml:space="preserve"> are sexually dimorphic in their response to several bacterial pathogens and to the fungal pathogen </w:t>
      </w:r>
      <w:r w:rsidRPr="0082162B">
        <w:rPr>
          <w:i/>
          <w:color w:val="000000"/>
        </w:rPr>
        <w:t xml:space="preserve">Beauveria </w:t>
      </w:r>
      <w:proofErr w:type="spellStart"/>
      <w:r w:rsidRPr="0082162B">
        <w:rPr>
          <w:i/>
          <w:color w:val="000000"/>
        </w:rPr>
        <w:t>bassiana</w:t>
      </w:r>
      <w:proofErr w:type="spellEnd"/>
      <w:r>
        <w:rPr>
          <w:color w:val="000000"/>
        </w:rPr>
        <w:t xml:space="preserve">, with females dying faster from infection compared to males. Mated females die faster from infection compared to virgin females when inoculated with several bacterial pathogens. This mating-immunity tradeoff is thought to be a female trait, resulting from female exposure to male ejaculate.  </w:t>
      </w:r>
    </w:p>
    <w:p w14:paraId="44D06B56" w14:textId="77777777" w:rsidR="00C871F5" w:rsidRDefault="00C871F5" w:rsidP="00B0240E">
      <w:pPr>
        <w:jc w:val="both"/>
        <w:rPr>
          <w:color w:val="000000"/>
        </w:rPr>
      </w:pPr>
    </w:p>
    <w:p w14:paraId="5A8CBB2D" w14:textId="7221E4B1" w:rsidR="00B0240E" w:rsidRDefault="00C871F5" w:rsidP="00B0240E">
      <w:pPr>
        <w:jc w:val="both"/>
        <w:rPr>
          <w:color w:val="000000"/>
        </w:rPr>
      </w:pPr>
      <w:r>
        <w:rPr>
          <w:color w:val="000000"/>
        </w:rPr>
        <w:t xml:space="preserve">What this study adds: </w:t>
      </w:r>
      <w:r w:rsidR="0082162B">
        <w:rPr>
          <w:color w:val="000000"/>
        </w:rPr>
        <w:t>We</w:t>
      </w:r>
      <w:r w:rsidR="00791ABD" w:rsidRPr="00791ABD">
        <w:rPr>
          <w:color w:val="000000"/>
        </w:rPr>
        <w:t xml:space="preserve"> challenge the previously commonly held notion that trade-offs between immune defense and mating are a female trait in </w:t>
      </w:r>
      <w:r w:rsidR="00791ABD" w:rsidRPr="00791ABD">
        <w:rPr>
          <w:i/>
          <w:iCs/>
          <w:color w:val="000000"/>
        </w:rPr>
        <w:t>Drosophila melanogaster</w:t>
      </w:r>
      <w:r w:rsidR="00791ABD" w:rsidRPr="00791ABD">
        <w:rPr>
          <w:color w:val="000000"/>
        </w:rPr>
        <w:t xml:space="preserve">. Instead, we show that a mating-immunity trade-off exists in both males and females. </w:t>
      </w:r>
      <w:r w:rsidR="0082162B">
        <w:rPr>
          <w:color w:val="000000"/>
        </w:rPr>
        <w:t xml:space="preserve">Mated males and females die faster after inoculation with </w:t>
      </w:r>
      <w:r w:rsidR="0082162B" w:rsidRPr="0082162B">
        <w:rPr>
          <w:i/>
          <w:color w:val="000000"/>
        </w:rPr>
        <w:t xml:space="preserve">B. </w:t>
      </w:r>
      <w:proofErr w:type="spellStart"/>
      <w:r w:rsidR="0082162B" w:rsidRPr="0082162B">
        <w:rPr>
          <w:i/>
          <w:color w:val="000000"/>
        </w:rPr>
        <w:t>bassiana</w:t>
      </w:r>
      <w:proofErr w:type="spellEnd"/>
      <w:r w:rsidR="0082162B">
        <w:rPr>
          <w:color w:val="000000"/>
        </w:rPr>
        <w:t xml:space="preserve"> than virgins, and continuous mating further reduces survival compared to one-time mating. Moreover, we challenge the previous observation that females are more susceptible to infection compared to males. Instead we show that whether females or males die faster from infection depends on their mating statuses</w:t>
      </w:r>
      <w:r w:rsidR="00EA03F2">
        <w:rPr>
          <w:color w:val="000000"/>
        </w:rPr>
        <w:t>, specific fungal strain, and fly genotype</w:t>
      </w:r>
      <w:r w:rsidR="0082162B">
        <w:rPr>
          <w:color w:val="000000"/>
        </w:rPr>
        <w:t xml:space="preserve">. </w:t>
      </w:r>
      <w:r w:rsidR="00417821">
        <w:rPr>
          <w:color w:val="000000"/>
        </w:rPr>
        <w:t xml:space="preserve">Lastly, we show that survival after fungal infection is largely influenced by diet, and that </w:t>
      </w:r>
      <w:r w:rsidR="00E72B9F">
        <w:rPr>
          <w:color w:val="000000"/>
        </w:rPr>
        <w:t xml:space="preserve">post-infection dietary improvements can help enhance survival. </w:t>
      </w:r>
    </w:p>
    <w:p w14:paraId="70C3CCDA" w14:textId="77777777" w:rsidR="0082162B" w:rsidRDefault="0082162B" w:rsidP="00B0240E">
      <w:pPr>
        <w:jc w:val="both"/>
        <w:rPr>
          <w:color w:val="000000"/>
        </w:rPr>
      </w:pPr>
    </w:p>
    <w:p w14:paraId="3FBE8A99" w14:textId="77777777" w:rsidR="0082162B" w:rsidRDefault="0082162B" w:rsidP="00B0240E">
      <w:pPr>
        <w:jc w:val="both"/>
        <w:rPr>
          <w:color w:val="000000"/>
        </w:rPr>
      </w:pPr>
    </w:p>
    <w:p w14:paraId="79FEF714" w14:textId="77777777" w:rsidR="0082162B" w:rsidRPr="00791ABD" w:rsidRDefault="0082162B" w:rsidP="00B0240E">
      <w:pPr>
        <w:jc w:val="both"/>
        <w:rPr>
          <w:bCs/>
          <w:color w:val="000000"/>
        </w:rPr>
      </w:pPr>
    </w:p>
    <w:bookmarkEnd w:id="0"/>
    <w:p w14:paraId="08820226" w14:textId="2A50E9E5" w:rsidR="009F4CB9" w:rsidRPr="000839B6" w:rsidRDefault="00B21216" w:rsidP="003C5BAF">
      <w:pPr>
        <w:spacing w:line="480" w:lineRule="auto"/>
        <w:contextualSpacing/>
        <w:jc w:val="center"/>
        <w:rPr>
          <w:b/>
        </w:rPr>
      </w:pPr>
      <w:r w:rsidRPr="00753C05">
        <w:rPr>
          <w:b/>
        </w:rPr>
        <w:t>Abstract</w:t>
      </w:r>
    </w:p>
    <w:p w14:paraId="613B3515" w14:textId="7322C310" w:rsidR="00EE25DB" w:rsidRPr="00EE25DB" w:rsidRDefault="00EE25DB" w:rsidP="003C5BAF">
      <w:pPr>
        <w:spacing w:line="480" w:lineRule="auto"/>
        <w:ind w:firstLine="720"/>
        <w:rPr>
          <w:bCs/>
        </w:rPr>
      </w:pPr>
      <w:bookmarkStart w:id="1" w:name="References"/>
      <w:bookmarkStart w:id="2" w:name="Chapte1PrimaryHeading"/>
      <w:r w:rsidRPr="00EE25DB">
        <w:rPr>
          <w:bCs/>
          <w:color w:val="000000"/>
        </w:rPr>
        <w:t xml:space="preserve">Post-mating immunosuppression has been widely accepted as a female trait in </w:t>
      </w:r>
      <w:r w:rsidRPr="00EE25DB">
        <w:rPr>
          <w:bCs/>
          <w:i/>
          <w:color w:val="000000"/>
        </w:rPr>
        <w:t>Drosophila melanogaster</w:t>
      </w:r>
      <w:r w:rsidRPr="00EE25DB">
        <w:rPr>
          <w:bCs/>
        </w:rPr>
        <w:t>. In experiments that use bacterial pathogens, it is shown that mating suppresses immune defense in females, but not in males. Our results challenge this notion by presenting a mating-immunity trade-off in males as w</w:t>
      </w:r>
      <w:r w:rsidR="002F4B15">
        <w:rPr>
          <w:bCs/>
        </w:rPr>
        <w:t>ell as in females. When inoculated</w:t>
      </w:r>
      <w:r w:rsidRPr="00EE25DB">
        <w:rPr>
          <w:bCs/>
        </w:rPr>
        <w:t xml:space="preserve"> with the fungal pathogen, </w:t>
      </w:r>
      <w:r w:rsidRPr="00EE25DB">
        <w:rPr>
          <w:bCs/>
          <w:i/>
        </w:rPr>
        <w:t xml:space="preserve">Beauveria </w:t>
      </w:r>
      <w:proofErr w:type="spellStart"/>
      <w:r w:rsidRPr="00EE25DB">
        <w:rPr>
          <w:bCs/>
          <w:i/>
        </w:rPr>
        <w:t>bassiana</w:t>
      </w:r>
      <w:proofErr w:type="spellEnd"/>
      <w:r w:rsidRPr="00EE25DB">
        <w:rPr>
          <w:bCs/>
        </w:rPr>
        <w:t>, both males and females</w:t>
      </w:r>
      <w:r w:rsidR="002F4B15">
        <w:rPr>
          <w:bCs/>
        </w:rPr>
        <w:t xml:space="preserve"> die faster </w:t>
      </w:r>
      <w:r w:rsidRPr="00EE25DB">
        <w:rPr>
          <w:bCs/>
        </w:rPr>
        <w:t xml:space="preserve">compared to </w:t>
      </w:r>
      <w:r w:rsidR="002F4B15">
        <w:rPr>
          <w:bCs/>
        </w:rPr>
        <w:t xml:space="preserve">inoculated </w:t>
      </w:r>
      <w:r w:rsidRPr="00EE25DB">
        <w:rPr>
          <w:bCs/>
        </w:rPr>
        <w:t xml:space="preserve">virgins, and </w:t>
      </w:r>
      <w:r w:rsidR="00EA03F2">
        <w:rPr>
          <w:bCs/>
        </w:rPr>
        <w:t>survival is lower when inoculated</w:t>
      </w:r>
      <w:r w:rsidRPr="00EE25DB">
        <w:rPr>
          <w:bCs/>
        </w:rPr>
        <w:t xml:space="preserve"> flies are continuously mated compared to a single day of mating. Past studies with </w:t>
      </w:r>
      <w:r w:rsidRPr="00EE25DB">
        <w:rPr>
          <w:bCs/>
          <w:i/>
        </w:rPr>
        <w:t xml:space="preserve">Beauveria </w:t>
      </w:r>
      <w:proofErr w:type="spellStart"/>
      <w:r w:rsidRPr="00EE25DB">
        <w:rPr>
          <w:bCs/>
          <w:i/>
        </w:rPr>
        <w:t>bassiana</w:t>
      </w:r>
      <w:proofErr w:type="spellEnd"/>
      <w:r w:rsidRPr="00EE25DB">
        <w:rPr>
          <w:bCs/>
          <w:i/>
        </w:rPr>
        <w:t xml:space="preserve"> </w:t>
      </w:r>
      <w:r w:rsidRPr="00EE25DB">
        <w:rPr>
          <w:bCs/>
        </w:rPr>
        <w:t xml:space="preserve">have shown females to be more susceptible to infection than males. Our results challenge this finding as well, showing that the direction of sexual dimorphism in immune defense depends on mating status, specific </w:t>
      </w:r>
      <w:r w:rsidRPr="00EE25DB">
        <w:rPr>
          <w:bCs/>
          <w:i/>
        </w:rPr>
        <w:t xml:space="preserve">Beauveria </w:t>
      </w:r>
      <w:proofErr w:type="spellStart"/>
      <w:r w:rsidRPr="00EE25DB">
        <w:rPr>
          <w:bCs/>
          <w:i/>
        </w:rPr>
        <w:t>bassiana</w:t>
      </w:r>
      <w:proofErr w:type="spellEnd"/>
      <w:r w:rsidRPr="00EE25DB">
        <w:rPr>
          <w:bCs/>
          <w:i/>
        </w:rPr>
        <w:t xml:space="preserve"> </w:t>
      </w:r>
      <w:r w:rsidRPr="00EE25DB">
        <w:rPr>
          <w:bCs/>
        </w:rPr>
        <w:t xml:space="preserve">strain, and fly genotype.  </w:t>
      </w:r>
      <w:r w:rsidR="005A3D22">
        <w:rPr>
          <w:bCs/>
        </w:rPr>
        <w:t xml:space="preserve">Moreover, </w:t>
      </w:r>
      <w:r w:rsidR="005A3D22">
        <w:rPr>
          <w:color w:val="000000"/>
        </w:rPr>
        <w:t xml:space="preserve">we show that survival after fungal infection is largely influenced by diet, and that post-infection dietary improvements can help enhance survival. </w:t>
      </w:r>
      <w:r w:rsidR="00EA03F2">
        <w:rPr>
          <w:bCs/>
          <w:color w:val="000000"/>
        </w:rPr>
        <w:t>P</w:t>
      </w:r>
      <w:r w:rsidRPr="00EE25DB">
        <w:rPr>
          <w:bCs/>
          <w:color w:val="000000"/>
        </w:rPr>
        <w:t xml:space="preserve">ost mating suppression in </w:t>
      </w:r>
      <w:r w:rsidRPr="00EE25DB">
        <w:rPr>
          <w:bCs/>
          <w:i/>
          <w:color w:val="000000"/>
        </w:rPr>
        <w:t>Drosophila</w:t>
      </w:r>
      <w:r w:rsidR="00EA03F2">
        <w:rPr>
          <w:bCs/>
          <w:color w:val="000000"/>
        </w:rPr>
        <w:t xml:space="preserve"> survival of</w:t>
      </w:r>
      <w:r w:rsidRPr="00EE25DB">
        <w:rPr>
          <w:bCs/>
          <w:color w:val="000000"/>
        </w:rPr>
        <w:t xml:space="preserve"> </w:t>
      </w:r>
      <w:r w:rsidRPr="00EE25DB">
        <w:rPr>
          <w:bCs/>
          <w:i/>
          <w:color w:val="000000"/>
        </w:rPr>
        <w:t xml:space="preserve">B. </w:t>
      </w:r>
      <w:proofErr w:type="spellStart"/>
      <w:r w:rsidRPr="00EE25DB">
        <w:rPr>
          <w:bCs/>
          <w:i/>
          <w:color w:val="000000"/>
        </w:rPr>
        <w:t>bassiana</w:t>
      </w:r>
      <w:proofErr w:type="spellEnd"/>
      <w:r w:rsidRPr="00EE25DB">
        <w:rPr>
          <w:bCs/>
          <w:color w:val="000000"/>
        </w:rPr>
        <w:t xml:space="preserve"> </w:t>
      </w:r>
      <w:r w:rsidR="00EA03F2">
        <w:rPr>
          <w:bCs/>
          <w:color w:val="000000"/>
        </w:rPr>
        <w:t xml:space="preserve">infection </w:t>
      </w:r>
      <w:r w:rsidRPr="00EE25DB">
        <w:rPr>
          <w:bCs/>
          <w:color w:val="000000"/>
        </w:rPr>
        <w:t xml:space="preserve">presents </w:t>
      </w:r>
      <w:r w:rsidR="005A3D22">
        <w:rPr>
          <w:bCs/>
          <w:color w:val="000000"/>
        </w:rPr>
        <w:t xml:space="preserve">study opportunities with potential applications for </w:t>
      </w:r>
      <w:r w:rsidRPr="00EE25DB">
        <w:rPr>
          <w:bCs/>
          <w:color w:val="000000"/>
        </w:rPr>
        <w:t>biological control of insect vectors of human disease and insect crop pests.</w:t>
      </w:r>
    </w:p>
    <w:p w14:paraId="2938C959" w14:textId="02912C2F" w:rsidR="00EF726B" w:rsidRDefault="00EF726B" w:rsidP="003C5BAF">
      <w:pPr>
        <w:spacing w:line="480" w:lineRule="auto"/>
        <w:rPr>
          <w:b/>
          <w:bCs/>
          <w:color w:val="000000"/>
        </w:rPr>
      </w:pPr>
      <w:r>
        <w:rPr>
          <w:b/>
          <w:bCs/>
          <w:color w:val="000000"/>
        </w:rPr>
        <w:br w:type="page"/>
      </w:r>
    </w:p>
    <w:p w14:paraId="1658BA2E" w14:textId="77777777" w:rsidR="00EF726B" w:rsidRPr="00753C05" w:rsidRDefault="00EF726B" w:rsidP="00163BB5">
      <w:pPr>
        <w:spacing w:line="480" w:lineRule="auto"/>
        <w:rPr>
          <w:b/>
          <w:bCs/>
          <w:color w:val="000000"/>
        </w:rPr>
      </w:pPr>
    </w:p>
    <w:p w14:paraId="152740D3" w14:textId="1FEDB46E" w:rsidR="00557848" w:rsidRPr="00753C05" w:rsidRDefault="005570A1" w:rsidP="003C5BAF">
      <w:pPr>
        <w:pStyle w:val="Heading1"/>
        <w:pBdr>
          <w:top w:val="none" w:sz="0" w:space="0" w:color="auto"/>
          <w:left w:val="none" w:sz="0" w:space="0" w:color="auto"/>
          <w:bottom w:val="none" w:sz="0" w:space="0" w:color="auto"/>
          <w:right w:val="none" w:sz="0" w:space="0" w:color="auto"/>
        </w:pBdr>
        <w:spacing w:line="480" w:lineRule="auto"/>
        <w:contextualSpacing/>
        <w:jc w:val="center"/>
        <w:rPr>
          <w:bCs w:val="0"/>
          <w:sz w:val="24"/>
        </w:rPr>
      </w:pPr>
      <w:r w:rsidRPr="00753C05">
        <w:rPr>
          <w:bCs w:val="0"/>
          <w:sz w:val="24"/>
        </w:rPr>
        <w:t>Introduction</w:t>
      </w:r>
      <w:bookmarkEnd w:id="1"/>
      <w:bookmarkEnd w:id="2"/>
    </w:p>
    <w:p w14:paraId="66F4D190" w14:textId="70F2C22C" w:rsidR="003E3967" w:rsidRPr="00753C05" w:rsidRDefault="003E3967" w:rsidP="003C5BAF">
      <w:pPr>
        <w:spacing w:line="480" w:lineRule="auto"/>
        <w:ind w:firstLine="720"/>
      </w:pPr>
      <w:r w:rsidRPr="001F2512">
        <w:t>M</w:t>
      </w:r>
      <w:r w:rsidRPr="00753C05">
        <w:t>osquito disease vectors can be catalysts for the spread of malaria, dengue fever, and other devastating diseases within human populations</w:t>
      </w:r>
      <w:r w:rsidR="00F25244" w:rsidRPr="00753C05">
        <w:t xml:space="preserve"> </w:t>
      </w:r>
      <w:r w:rsidRPr="00753C05">
        <w:fldChar w:fldCharType="begin" w:fldLock="1"/>
      </w:r>
      <w:r w:rsidR="008A40E1">
        <w:instrText>ADDIN CSL_CITATION {"citationItems":[{"id":"ITEM-1","itemData":{"DOI":"10.1111/1365-2664.12522","ISSN":"0021-8901","PMID":"26792946","abstract":"The effectiveness of conventional malaria vector control is being threatened by the spread of insecticide resistance. One promising alternative to chemicals is the use of naturally-occurring insect-killing fungi. Numerous laboratory studies have shown that isolates of fungal pathogens such as Beauveria bassiana can infect and kill adult mosquitoes, including those resistant to chemical insecticides.Unlike chemical insecticides, fungi may take up to a week or more to kill mosquitoes following exposure. This slow kill speed can still reduce malaria transmission because the malaria parasite itself takes at least eight days to complete its development within the mosquito. However, both fungal virulence and parasite development rate are strongly temperature-dependent, so it is possible that biopesticide efficacy could vary across different transmission environments.We examined the virulence of a candidate fungal isolate against two key malaria vectors at temperatures from 10-34 °C. Regardless of temperature, the fungus killed more than 90% of exposed mosquitoes within the predicted duration of the malarial extrinsic incubation period, a result that was robust to realistic diurnal temperature variation.We then incorporated temperature sensitivities of a suite of mosquito, parasite and fungus life-history traits that are important determinants of malaria transmission into a stage-structured malaria transmission model. The model predicted that, at achievable daily fungal infection rates, fungal biopesticides have the potential to deliver substantial reductions in the density of malaria-infectious mosquitoes across all temperatures representative of malaria transmission environments.Synthesis and applications. Our study combines empirical data and theoretical modelling to prospectively evaluate the potential of fungal biopesticides to control adult malaria vectors. Our results suggest that Beauveria bassiana could be a potent tool for malaria control and support further development of fungal biopesticides to manage infectious disease vectors.","author":[{"dropping-particle":"","family":"Heinig","given":"R L","non-dropping-particle":"","parse-names":false,"suffix":""},{"dropping-particle":"","family":"Paaijmans","given":"Krijn P","non-dropping-particle":"","parse-names":false,"suffix":""},{"dropping-particle":"","family":"Hancock","given":"Penelope A","non-dropping-particle":"","parse-names":false,"suffix":""},{"dropping-particle":"","family":"Thomas","given":"Matthew B","non-dropping-particle":"","parse-names":false,"suffix":""}],"container-title":"The Journal of applied ecology","id":"ITEM-1","issue":"6","issued":{"date-parts":[["2015","12","1"]]},"page":"1558-1566","publisher":"Wiley-Blackwell","title":"The potential for fungal biopesticides to reduce malaria transmission under diverse environmental conditions.","type":"article-journal","volume":"52"},"uris":["http://www.mendeley.com/documents/?uuid=a74f8c57-32a5-35bb-9203-007b55a0b8fd"]},{"id":"ITEM-2","itemData":{"DOI":"10.1371/journal.pone.0161365","abstract":"Expansion of mosquito-borne pathogens into more temperate regions of the world necessitates tools such as mathematical models for understanding the factors that contribute to the introduction and emergence of a disease in populations naïve to the disease. Often, these models are not developed and analyzed until after a pathogen is detected in a population. In this study, we develop a spatially explicit stochastic model parameterized with publicly available U.S. Census data for studying the potential for disease spread in Urbanized Areas of the United States. To illustrate the utility of the model, we specifically study the potential for introductions of dengue to lead to autochthonous transmission and outbreaks in a population representative of the Miami Urbanized Area, where introductions of dengue have occurred frequently in recent years. We describe seasonal fluctuations in mosquito populations by fitting a population model to trap data provided by the Miami-Dade Mosquito Control Division. We show that the timing and location of introduced cases could play an important role in determining both the probability that local transmission occurs as well as the total number of cases throughout the entire region following introduction. We show that at low rates of clinical presentation, small outbreaks of dengue could go completely undetected during a season, which may confound mitigation efforts that rely upon detection. We discuss the sensitivity of the model to several critical parameter values that are currently poorly characterized and motivate the collection of additional data to strengthen the predictive power of this and similar models. Finally, we emphasize the utility of the general structure of this model in studying mosquito-borne diseases such as chikungunya and Zika virus in other regions. PLOS ONE |","author":[{"dropping-particle":"","family":"Robert","given":"Michael A","non-dropping-particle":"","parse-names":false,"suffix":""},{"dropping-particle":"","family":"Christofferson","given":"Rebecca C","non-dropping-particle":"","parse-names":false,"suffix":""},{"dropping-particle":"","family":"Silva","given":"Noah J B","non-dropping-particle":"","parse-names":false,"suffix":""},{"dropping-particle":"","family":"Vasquez","given":"Chalmers","non-dropping-particle":"","parse-names":false,"suffix":""},{"dropping-particle":"","family":"Mores","given":"Christopher N","non-dropping-particle":"","parse-names":false,"suffix":""},{"dropping-particle":"","family":"Wearing","given":"Helen J","non-dropping-particle":"","parse-names":false,"suffix":""}],"id":"ITEM-2","issued":{"date-parts":[["2016"]]},"title":"Modeling Mosquito-Borne Disease Spread in U.S. Urbanized Areas: The Case of Dengue in Miami","type":"article-journal"},"uris":["http://www.mendeley.com/documents/?uuid=4c8fe6a2-9da1-39d4-b280-7e9ef5a2e16d"]}],"mendeley":{"formattedCitation":"(Heinig et al. 2015; Robert et al. 2016)","plainTextFormattedCitation":"(Heinig et al. 2015; Robert et al. 2016)","previouslyFormattedCitation":"(Heinig, Paaijmans, Hancock, &amp; Thomas, 2015; Robert et al., 2016)"},"properties":{"noteIndex":0},"schema":"https://github.com/citation-style-language/schema/raw/master/csl-citation.json"}</w:instrText>
      </w:r>
      <w:r w:rsidRPr="00753C05">
        <w:fldChar w:fldCharType="separate"/>
      </w:r>
      <w:r w:rsidR="008A40E1" w:rsidRPr="008A40E1">
        <w:rPr>
          <w:noProof/>
        </w:rPr>
        <w:t>(Heinig et al. 2015; Robert et al. 2016)</w:t>
      </w:r>
      <w:r w:rsidRPr="00753C05">
        <w:fldChar w:fldCharType="end"/>
      </w:r>
      <w:r w:rsidRPr="00753C05">
        <w:t xml:space="preserve">. </w:t>
      </w:r>
      <w:r w:rsidRPr="00753C05">
        <w:rPr>
          <w:color w:val="000000"/>
        </w:rPr>
        <w:t xml:space="preserve">The entomopathogen </w:t>
      </w:r>
      <w:r w:rsidRPr="00753C05">
        <w:rPr>
          <w:i/>
          <w:iCs/>
          <w:color w:val="000000"/>
        </w:rPr>
        <w:t xml:space="preserve">Beauveria </w:t>
      </w:r>
      <w:proofErr w:type="spellStart"/>
      <w:r w:rsidRPr="00753C05">
        <w:rPr>
          <w:i/>
          <w:iCs/>
          <w:color w:val="000000"/>
        </w:rPr>
        <w:t>bassiana</w:t>
      </w:r>
      <w:proofErr w:type="spellEnd"/>
      <w:r w:rsidRPr="00753C05">
        <w:rPr>
          <w:iCs/>
          <w:color w:val="000000"/>
        </w:rPr>
        <w:t xml:space="preserve">, which grows naturally in soil and </w:t>
      </w:r>
      <w:r w:rsidRPr="00753C05">
        <w:rPr>
          <w:iCs/>
        </w:rPr>
        <w:t xml:space="preserve">infects a broad range of insect hosts, has been demonstrated to have potential uses against mosquito disease vectors </w:t>
      </w:r>
      <w:r w:rsidRPr="00753C05">
        <w:t xml:space="preserve">as well as </w:t>
      </w:r>
      <w:r w:rsidRPr="00753C05">
        <w:rPr>
          <w:iCs/>
          <w:color w:val="000000"/>
        </w:rPr>
        <w:t>insect crop pests that threaten food security</w:t>
      </w:r>
      <w:r w:rsidR="009E1A83" w:rsidRPr="00753C05">
        <w:rPr>
          <w:iCs/>
          <w:color w:val="000000"/>
        </w:rPr>
        <w:t xml:space="preserve"> </w:t>
      </w:r>
      <w:r w:rsidRPr="00753C05">
        <w:rPr>
          <w:iCs/>
          <w:color w:val="000000"/>
        </w:rPr>
        <w:fldChar w:fldCharType="begin" w:fldLock="1"/>
      </w:r>
      <w:r w:rsidR="008A40E1">
        <w:rPr>
          <w:iCs/>
          <w:color w:val="000000"/>
        </w:rPr>
        <w:instrText>ADDIN CSL_CITATION {"citationItems":[{"id":"ITEM-1","itemData":{"DOI":"10.1002/ps.983","ISSN":"1526-498X","author":[{"dropping-particle":"","family":"Feng","given":"Ming-Guang","non-dropping-particle":"","parse-names":false,"suffix":""},{"dropping-particle":"","family":"Pu","given":"Xiao-Ying","non-dropping-particle":"","parse-names":false,"suffix":""}],"container-title":"Pest Management Science","id":"ITEM-1","issue":"4","issued":{"date-parts":[["2005","4","1"]]},"page":"363-370","publisher":"John Wiley &amp; Sons, Ltd","title":"Time-concentration-mortality modeling of the synergistic interaction ofBeauveria bassiana and imidacloprid againstNilaparvata lugens","type":"article-journal","volume":"61"},"uris":["http://www.mendeley.com/documents/?uuid=b59a205e-ecd0-3826-9744-0e7a7f6ba59a"]}],"mendeley":{"formattedCitation":"(Feng and Pu 2005)","plainTextFormattedCitation":"(Feng and Pu 2005)","previouslyFormattedCitation":"(Feng &amp; Pu, 2005)"},"properties":{"noteIndex":0},"schema":"https://github.com/citation-style-language/schema/raw/master/csl-citation.json"}</w:instrText>
      </w:r>
      <w:r w:rsidRPr="00753C05">
        <w:rPr>
          <w:iCs/>
          <w:color w:val="000000"/>
        </w:rPr>
        <w:fldChar w:fldCharType="separate"/>
      </w:r>
      <w:r w:rsidR="008A40E1" w:rsidRPr="008A40E1">
        <w:rPr>
          <w:iCs/>
          <w:noProof/>
          <w:color w:val="000000"/>
        </w:rPr>
        <w:t>(Feng and Pu 2005</w:t>
      </w:r>
      <w:r w:rsidR="00F30532">
        <w:rPr>
          <w:iCs/>
          <w:noProof/>
          <w:color w:val="000000"/>
        </w:rPr>
        <w:t>,</w:t>
      </w:r>
      <w:r w:rsidRPr="00753C05">
        <w:rPr>
          <w:iCs/>
          <w:color w:val="000000"/>
        </w:rPr>
        <w:fldChar w:fldCharType="end"/>
      </w:r>
      <w:r w:rsidRPr="00753C05">
        <w:fldChar w:fldCharType="begin" w:fldLock="1"/>
      </w:r>
      <w:r w:rsidR="008A40E1">
        <w:instrText>ADDIN CSL_CITATION {"citationItems":[{"id":"ITEM-1","itemData":{"DOI":"10.1111/1365-2664.12522","ISSN":"0021-8901","PMID":"26792946","abstract":"The effectiveness of conventional malaria vector control is being threatened by the spread of insecticide resistance. One promising alternative to chemicals is the use of naturally-occurring insect-killing fungi. Numerous laboratory studies have shown that isolates of fungal pathogens such as Beauveria bassiana can infect and kill adult mosquitoes, including those resistant to chemical insecticides.Unlike chemical insecticides, fungi may take up to a week or more to kill mosquitoes following exposure. This slow kill speed can still reduce malaria transmission because the malaria parasite itself takes at least eight days to complete its development within the mosquito. However, both fungal virulence and parasite development rate are strongly temperature-dependent, so it is possible that biopesticide efficacy could vary across different transmission environments.We examined the virulence of a candidate fungal isolate against two key malaria vectors at temperatures from 10-34 °C. Regardless of temperature, the fungus killed more than 90% of exposed mosquitoes within the predicted duration of the malarial extrinsic incubation period, a result that was robust to realistic diurnal temperature variation.We then incorporated temperature sensitivities of a suite of mosquito, parasite and fungus life-history traits that are important determinants of malaria transmission into a stage-structured malaria transmission model. The model predicted that, at achievable daily fungal infection rates, fungal biopesticides have the potential to deliver substantial reductions in the density of malaria-infectious mosquitoes across all temperatures representative of malaria transmission environments.Synthesis and applications. Our study combines empirical data and theoretical modelling to prospectively evaluate the potential of fungal biopesticides to control adult malaria vectors. Our results suggest that Beauveria bassiana could be a potent tool for malaria control and support further development of fungal biopesticides to manage infectious disease vectors.","author":[{"dropping-particle":"","family":"Heinig","given":"R L","non-dropping-particle":"","parse-names":false,"suffix":""},{"dropping-particle":"","family":"Paaijmans","given":"Krijn P","non-dropping-particle":"","parse-names":false,"suffix":""},{"dropping-particle":"","family":"Hancock","given":"Penelope A","non-dropping-particle":"","parse-names":false,"suffix":""},{"dropping-particle":"","family":"Thomas","given":"Matthew B","non-dropping-particle":"","parse-names":false,"suffix":""}],"container-title":"The Journal of applied ecology","id":"ITEM-1","issue":"6","issued":{"date-parts":[["2015","12","1"]]},"page":"1558-1566","publisher":"Wiley-Blackwell","title":"The potential for fungal biopesticides to reduce malaria transmission under diverse environmental conditions.","type":"article-journal","volume":"52"},"uris":["http://www.mendeley.com/documents/?uuid=a74f8c57-32a5-35bb-9203-007b55a0b8fd"]},{"id":"ITEM-2","itemData":{"DOI":"10.1371/journal.pone.0211457","ISBN":"1111111111","abstract":"The use of Beauveria bassiana in biological control of agricultural pests is mainly hampered by environmental factors, such as elevated temperatures and low humidity. These limitations , further amplified in a global warming scenario, could nullify biological control strategies based on this fungus. The identification of thermotolerant B. bassiana isolates represents a possible strategy to overcome this problem. In this study, in order to maximize the probability in the isolation of thermotolerant B. bassiana, soil samples and infected insects were collected in warm areas of Syria. The obtained fungal isolates were tested for different biological parameters (i.e., growth rate, sporulation and spore germination) at growing temperatures ranging from 20˚C to 35˚C. Among these isolates (eight from insects and 11 from soil samples), the five with the highest growth rate, spore production and germination at 30˚C were tested for their entomopathogenicity through in vivo assays on Ephestia kuehniella larvae. Insect mortality induced by the five isolates ranged from 31% to 100%. Two isolates, one from Phyllognathus excavatus and one from soil, caused 50% of the larval mortality in less than four days, reaching values exceeding 92% in ten days. These two isolates were molecularly identified as B. bassiana sensu stricto by using three markers (i.e., ITS, Bloc and EF1-α). Considering these promising results, further studies are ongoing, testing their efficiency in field conditions as control agents for agricultural insect pests in Medi-terranean and Subtropical regions.","author":[{"dropping-particle":"","family":"Id","given":"Sumer Alali","non-dropping-particle":"","parse-names":false,"suffix":""},{"dropping-particle":"","family":"Mereghetti","given":"Valeria","non-dropping-particle":"","parse-names":false,"suffix":""},{"dropping-particle":"","family":"Faoro","given":"Franco","non-dropping-particle":"","parse-names":false,"suffix":""},{"dropping-particle":"","family":"Bocchi","given":"Stefano","non-dropping-particle":"","parse-names":false,"suffix":""},{"dropping-particle":"","family":"Azmeh","given":"Fawaz","non-dropping-particle":"Al","parse-names":false,"suffix":""},{"dropping-particle":"","family":"Montagnaid","given":"Matteo","non-dropping-particle":"","parse-names":false,"suffix":""}],"id":"ITEM-2","issued":{"date-parts":[["2019"]]},"title":"Thermotolerant isolates of Beauveria bassiana as potential control agent of insect pest in subtropical climates","type":"article-journal"},"uris":["http://www.mendeley.com/documents/?uuid=e912f5ef-458a-3f58-8b66-1375b9a7440e"]}],"mendeley":{"formattedCitation":"(Heinig et al. 2015; Id et al. 2019)"},"properties":{"noteIndex":0},"schema":"https://github.com/citation-style-language/schema/raw/master/csl-citation.json"}</w:instrText>
      </w:r>
      <w:r w:rsidRPr="00753C05">
        <w:fldChar w:fldCharType="separate"/>
      </w:r>
      <w:r w:rsidR="008A40E1" w:rsidRPr="008A40E1">
        <w:rPr>
          <w:noProof/>
        </w:rPr>
        <w:t>Heinig et al. 2015; Id et al. 2019)</w:t>
      </w:r>
      <w:r w:rsidRPr="00753C05">
        <w:fldChar w:fldCharType="end"/>
      </w:r>
      <w:r w:rsidR="00F30532">
        <w:t xml:space="preserve">, and even bed bugs </w:t>
      </w:r>
      <w:r w:rsidRPr="00753C05">
        <w:fldChar w:fldCharType="begin" w:fldLock="1"/>
      </w:r>
      <w:r w:rsidR="008A40E1">
        <w:instrText>ADDIN CSL_CITATION {"citationItems":[{"id":"ITEM-1","itemData":{"DOI":"10.1016/J.JIP.2012.04.009","ISSN":"0022-2011","abstract":"Residual biopesticide treatments of Beauveria bassiana were tested against the bed bug Cimex lectularius. An oil formulation of conidia was applied to different substrates. Bed bugs were exposed for 1h, transferred to an unsprayed environment and monitored for mortality. Separate bioassays evaluated the effect of bed bug strain, sex, life stage, and exposure substrate on mortality. Rapid mortality was observed in all bioassays, with bed bugs exposed to treated jersey knit cotton dying most rapidly. A further assay demonstrated efficient autodissemination of conidia from exposed bed bugs to unexposed bed bugs within artificial harborages.","author":[{"dropping-particle":"","family":"Barbarin","given":"Alexis M.","non-dropping-particle":"","parse-names":false,"suffix":""},{"dropping-particle":"","family":"Jenkins","given":"Nina E.","non-dropping-particle":"","parse-names":false,"suffix":""},{"dropping-particle":"","family":"Rajotte","given":"Edwin G.","non-dropping-particle":"","parse-names":false,"suffix":""},{"dropping-particle":"","family":"Thomas","given":"Matthew B.","non-dropping-particle":"","parse-names":false,"suffix":""}],"container-title":"Journal of Invertebrate Pathology","id":"ITEM-1","issue":"1","issued":{"date-parts":[["2012","9","15"]]},"page":"82-85","publisher":"Academic Press","title":"A preliminary evaluation of the potential of Beauveria bassiana for bed bug control","type":"article-journal","volume":"111"},"uris":["http://www.mendeley.com/documents/?uuid=824ca974-00f3-36c5-8de2-e6f8e5728cde"]}],"mendeley":{"formattedCitation":"(Barbarin et al. 2012)","plainTextFormattedCitation":"(Barbarin et al. 2012)","previouslyFormattedCitation":"(Barbarin, Jenkins, Rajotte, &amp; Thomas, 2012)"},"properties":{"noteIndex":0},"schema":"https://github.com/citation-style-language/schema/raw/master/csl-citation.json"}</w:instrText>
      </w:r>
      <w:r w:rsidRPr="00753C05">
        <w:fldChar w:fldCharType="separate"/>
      </w:r>
      <w:r w:rsidR="008A40E1" w:rsidRPr="008A40E1">
        <w:rPr>
          <w:noProof/>
        </w:rPr>
        <w:t>(Barbarin et al. 2012)</w:t>
      </w:r>
      <w:r w:rsidRPr="00753C05">
        <w:fldChar w:fldCharType="end"/>
      </w:r>
      <w:r w:rsidRPr="00753C05">
        <w:t>.</w:t>
      </w:r>
      <w:r w:rsidRPr="00753C05">
        <w:rPr>
          <w:color w:val="000000"/>
        </w:rPr>
        <w:t xml:space="preserve"> </w:t>
      </w:r>
    </w:p>
    <w:p w14:paraId="59187C6B" w14:textId="69C4FD79" w:rsidR="003E3967" w:rsidRPr="00753C05" w:rsidRDefault="003E3967" w:rsidP="003C5BAF">
      <w:pPr>
        <w:spacing w:line="480" w:lineRule="auto"/>
        <w:ind w:firstLine="720"/>
        <w:rPr>
          <w:u w:val="single"/>
        </w:rPr>
      </w:pPr>
      <w:r w:rsidRPr="00753C05">
        <w:rPr>
          <w:i/>
          <w:color w:val="000000"/>
        </w:rPr>
        <w:t>Drosophila melanogaster</w:t>
      </w:r>
      <w:r w:rsidRPr="00753C05">
        <w:rPr>
          <w:color w:val="000000"/>
        </w:rPr>
        <w:t xml:space="preserve">, the laboratory fruit fly, has an immune system that is similar to insect disease vectors and pests, contributing to its value as a model organism. Moreover, the </w:t>
      </w:r>
      <w:r w:rsidRPr="00753C05">
        <w:rPr>
          <w:i/>
          <w:color w:val="000000"/>
        </w:rPr>
        <w:t>D. melanogaster</w:t>
      </w:r>
      <w:r w:rsidRPr="00753C05">
        <w:rPr>
          <w:color w:val="000000"/>
        </w:rPr>
        <w:t xml:space="preserve"> </w:t>
      </w:r>
      <w:r w:rsidRPr="00753C05">
        <w:t>immune system has many similarities to the mammalian innate immune system</w:t>
      </w:r>
      <w:r w:rsidR="009E1A83" w:rsidRPr="00753C05">
        <w:t xml:space="preserve"> </w:t>
      </w:r>
      <w:r w:rsidRPr="00753C05">
        <w:fldChar w:fldCharType="begin" w:fldLock="1"/>
      </w:r>
      <w:r w:rsidR="008A40E1">
        <w:instrText>ADDIN CSL_CITATION {"citationItems":[{"id":"ITEM-1","itemData":{"abstract":"• february 2002 • volume 3 no 2 • nature immunology 121 In response to microbial infections, Drosophila mounts a multifaceted immune response involving humoral reactions that culminate in the destruction of invading organisms by lytic pep-tides. These defense mechanisms are activated via two distinct signaling pathways. One of these, the Toll pathway, controls resistance to fungal and Gram-positive bacterial infections, whereas the Imd pathway is responsible for defense against Gram-negative bacterial infections. Current evidence indicates that recognition of infectious nonself agents results from interactions between microbial wall components and extracellular pattern recognition proteins. We discuss here evolutionary perspectives on our present understanding of the antimicro-bial defenses of Drosophila.","author":[{"dropping-particle":"","family":"Hoffmann","given":"Jules A","non-dropping-particle":"","parse-names":false,"suffix":""},{"dropping-particle":"","family":"Reichhart","given":"Jean-Marc","non-dropping-particle":"","parse-names":false,"suffix":""}],"id":"ITEM-1","issued":{"date-parts":[["2002"]]},"title":"Drosophila innate immunity: an evolutionary perspective","type":"report"},"uris":["http://www.mendeley.com/documents/?uuid=72091964-99d5-3469-8528-85b7ffb6a837"]}],"mendeley":{"formattedCitation":"(Hoffmann and Reichhart 2002)","plainTextFormattedCitation":"(Hoffmann and Reichhart 2002)","previouslyFormattedCitation":"(Hoffmann &amp; Reichhart, 2002)"},"properties":{"noteIndex":0},"schema":"https://github.com/citation-style-language/schema/raw/master/csl-citation.json"}</w:instrText>
      </w:r>
      <w:r w:rsidRPr="00753C05">
        <w:fldChar w:fldCharType="separate"/>
      </w:r>
      <w:r w:rsidR="008A40E1" w:rsidRPr="008A40E1">
        <w:rPr>
          <w:noProof/>
        </w:rPr>
        <w:t>(Hoffmann and Reichhart 2002)</w:t>
      </w:r>
      <w:r w:rsidRPr="00753C05">
        <w:fldChar w:fldCharType="end"/>
      </w:r>
      <w:r w:rsidRPr="00753C05">
        <w:t>.</w:t>
      </w:r>
      <w:r w:rsidRPr="00753C05" w:rsidDel="000B7E5B">
        <w:t xml:space="preserve"> </w:t>
      </w:r>
      <w:r w:rsidRPr="00753C05">
        <w:t xml:space="preserve">Similar to human skin, the fly cuticle provides a physical barrier of defense against pathogens. Upon pathogen entry into the hemocoel, a humoral response may be activated, largely through expression of genes in the Toll </w:t>
      </w:r>
      <w:r w:rsidR="00072FD3">
        <w:t>pathway</w:t>
      </w:r>
      <w:r w:rsidRPr="00753C05">
        <w:t>, leading to the production of antimicrobial peptides</w:t>
      </w:r>
      <w:r w:rsidR="009E1A83" w:rsidRPr="00753C05">
        <w:t xml:space="preserve"> </w:t>
      </w:r>
      <w:r w:rsidRPr="00753C05">
        <w:fldChar w:fldCharType="begin" w:fldLock="1"/>
      </w:r>
      <w:r w:rsidR="008A40E1">
        <w:instrText>ADDIN CSL_CITATION {"citationItems":[{"id":"ITEM-1","itemData":{"DOI":"10.1038/nri3763","ISSN":"14741741","abstract":"© 2015 Macmillan Publishers Limited. Since the discovery of antimicrobial peptide responses 40 years ago, the fruit fly Drosophila melanogaster has proven to be a powerful model for the study of innate immunity. Early work focused on innate immune mechanisms of microbial recognition and subsequent nuclear factor-κ B signal transduction. More recently, D. melanogaster has been used to understand how the immune response is regulated and coordinated at the level of the whole organism. For example, researchers have used this model in studies investigating interactions between the microbiota and the immune system at barrier epithelial surfaces that ensure proper nutritional and immune homeostasis both locally and systemically. In addition, studies in D. melanogaster have been pivotal in uncovering how the immune response is regulated by both endocrine and metabolic signalling systems, and how the immune response modifies these systems as part of a homeostatic circuit. In this Review, we briefly summarize microbial recognition and antiviral immunity in D. melanogaster, and we highlight recent studies that have explored the effects of organism-wide regulation of the immune response and, conversely, the effects of the immune response on organism physiology.","author":[{"dropping-particle":"","family":"Buchon","given":"Nicolas","non-dropping-particle":"","parse-names":false,"suffix":""},{"dropping-particle":"","family":"Silverman","given":"Neal","non-dropping-particle":"","parse-names":false,"suffix":""},{"dropping-particle":"","family":"Cherry","given":"Sara","non-dropping-particle":"","parse-names":false,"suffix":""}],"container-title":"Nature Reviews Immunology","id":"ITEM-1","issue":"12","issued":{"date-parts":[["2014"]]},"page":"796-810","title":"Immunity in Drosophila melanogaster-from microbial recognition to whole-organism physiology","type":"article-journal","volume":"14"},"uris":["http://www.mendeley.com/documents/?uuid=05596022-7091-466a-b5a8-ffd9218a3c1b"]}],"mendeley":{"formattedCitation":"(Buchon, Silverman, and Cherry 2014)","plainTextFormattedCitation":"(Buchon, Silverman, and Cherry 2014)","previouslyFormattedCitation":"(Buchon, Silverman, &amp; Cherry, 2014)"},"properties":{"noteIndex":0},"schema":"https://github.com/citation-style-language/schema/raw/master/csl-citation.json"}</w:instrText>
      </w:r>
      <w:r w:rsidRPr="00753C05">
        <w:fldChar w:fldCharType="separate"/>
      </w:r>
      <w:r w:rsidR="00072FD3">
        <w:rPr>
          <w:noProof/>
        </w:rPr>
        <w:t>(Buchon et al.</w:t>
      </w:r>
      <w:r w:rsidR="008A40E1" w:rsidRPr="008A40E1">
        <w:rPr>
          <w:noProof/>
        </w:rPr>
        <w:t xml:space="preserve"> 2014)</w:t>
      </w:r>
      <w:r w:rsidRPr="00753C05">
        <w:fldChar w:fldCharType="end"/>
      </w:r>
      <w:r w:rsidRPr="00753C05">
        <w:t>. Cellular responses, such as phagocytosis</w:t>
      </w:r>
      <w:r w:rsidR="009E1A83" w:rsidRPr="00753C05">
        <w:t xml:space="preserve"> </w:t>
      </w:r>
      <w:commentRangeStart w:id="3"/>
      <w:r w:rsidRPr="00753C05">
        <w:fldChar w:fldCharType="begin" w:fldLock="1"/>
      </w:r>
      <w:r w:rsidR="008A40E1">
        <w:instrText>ADDIN CSL_CITATION {"citationItems":[{"id":"ITEM-1","itemData":{"DOI":"10.1371/journal.ppat.0030026","abstract":"Drosophila melanogaster, like other invertebrates, relies solely on its innate immune response to fight invading microbes; by definition, innate immunity lacks adaptive characteristics. However, we show here that priming Drosophila with a sublethal dose of Streptococcus pneumoniae protects against an otherwise-lethal second challenge of S. pneumoniae. This protective effect exhibits coarse specificity for S. pneumoniae and persists for the life of the fly. Although not all microbial challenges induced this specific primed response, we find that a similar specific protection can be elicited by Beauveria bassiana, a natural fly pathogen. To characterize this primed response, we focused on S. pneumoniae-induced protection. The mechanism underlying this protective effect requires phagocytes and the Toll pathway. However, activation of the Toll pathway is not sufficient for priming-induced protection. This work contradicts the paradigm that insect immune responses cannot adapt and will promote the search for similar responses overlooked in organisms with an adaptive immune response.","author":[{"dropping-particle":"","family":"Pham","given":"Linh N","non-dropping-particle":"","parse-names":false,"suffix":""},{"dropping-particle":"","family":"Dionne","given":"Marc S","non-dropping-particle":"","parse-names":false,"suffix":""},{"dropping-particle":"","family":"Shirasu-Hiza","given":"Mimi","non-dropping-particle":"","parse-names":false,"suffix":""},{"dropping-particle":"","family":"Schneider","given":"David S","non-dropping-particle":"","parse-names":false,"suffix":""}],"id":"ITEM-1","issued":{"date-parts":[["0"]]},"title":"A Specific Primed Immune Response in Drosophila Is Dependent on Phagocytes","type":"article-journal"},"uris":["http://www.mendeley.com/documents/?uuid=30e589cb-5262-3094-a48c-b84240fa2e57"]}],"mendeley":{"formattedCitation":"(Pham et al. n.d.)"},"properties":{"noteIndex":0},"schema":"https://github.com/citation-style-language/schema/raw/master/csl-citation.json"}</w:instrText>
      </w:r>
      <w:r w:rsidRPr="00753C05">
        <w:fldChar w:fldCharType="separate"/>
      </w:r>
      <w:r w:rsidR="008A40E1" w:rsidRPr="008A40E1">
        <w:rPr>
          <w:noProof/>
        </w:rPr>
        <w:t>(Pham et al. n.d.)</w:t>
      </w:r>
      <w:r w:rsidRPr="00753C05">
        <w:fldChar w:fldCharType="end"/>
      </w:r>
      <w:commentRangeEnd w:id="3"/>
      <w:r w:rsidR="00C01095">
        <w:rPr>
          <w:rStyle w:val="CommentReference"/>
        </w:rPr>
        <w:commentReference w:id="3"/>
      </w:r>
      <w:r w:rsidRPr="00753C05">
        <w:t xml:space="preserve"> and </w:t>
      </w:r>
      <w:proofErr w:type="spellStart"/>
      <w:r w:rsidRPr="00753C05">
        <w:t>melanization</w:t>
      </w:r>
      <w:proofErr w:type="spellEnd"/>
      <w:r w:rsidR="009E1A83" w:rsidRPr="00753C05">
        <w:t xml:space="preserve"> </w:t>
      </w:r>
      <w:r w:rsidRPr="00753C05">
        <w:fldChar w:fldCharType="begin" w:fldLock="1"/>
      </w:r>
      <w:r w:rsidR="008A40E1">
        <w:instrText>ADDIN CSL_CITATION {"citationItems":[{"id":"ITEM-1","itemData":{"DOI":"10.4161/fly.3.1.7747","ISSN":"1933-6942","abstract":"The melanization reaction, involving the synthesis of melanin to encapsulate pathogens, is a prominent immune response in Drosophila, the mosquito and other insects and arthropods. Biochemical studies with large insects have defined a basic model for how melanization is activated and regulated upon microbial infection. In this model, recognition of a microorganism triggers a serine protease cascade that activates phenol oxidase (PO), a key enzyme in the melanin biosynthetic pathway, and serpin-type protease inhibitors are involved in inhibiting the cascade. In the past few years, genetic studies in Drosophila have identified serine proteases and serpins that regulate activation of PO and melaniza-tion in vivo. These studies, along with molecular genetic analysis of melanization in the mosquito, have provided new insight into the role that melanization plays in fighting microbial infection.","author":[{"dropping-particle":"","family":"Tang","given":"Huaping","non-dropping-particle":"","parse-names":false,"suffix":""}],"container-title":"Fly","id":"ITEM-1","issue":"1","issued":{"date-parts":[["2009"]]},"page":"105-111","title":"Regulation and function of the melanization reaction in Drosophila","type":"article-journal","volume":"3"},"uris":["http://www.mendeley.com/documents/?uuid=d5c0127f-d40a-36ff-a4f0-a6d781ecd4d0"]}],"mendeley":{"formattedCitation":"(Tang 2009)","plainTextFormattedCitation":"(Tang 2009)","previouslyFormattedCitation":"(Tang, 2009)"},"properties":{"noteIndex":0},"schema":"https://github.com/citation-style-language/schema/raw/master/csl-citation.json"}</w:instrText>
      </w:r>
      <w:r w:rsidRPr="00753C05">
        <w:fldChar w:fldCharType="separate"/>
      </w:r>
      <w:r w:rsidR="008A40E1" w:rsidRPr="008A40E1">
        <w:rPr>
          <w:noProof/>
        </w:rPr>
        <w:t>(Tang 2009)</w:t>
      </w:r>
      <w:r w:rsidRPr="00753C05">
        <w:fldChar w:fldCharType="end"/>
      </w:r>
      <w:r w:rsidRPr="00753C05">
        <w:t xml:space="preserve">, also help to ward off pathogens. </w:t>
      </w:r>
      <w:r w:rsidRPr="00753C05">
        <w:rPr>
          <w:color w:val="000000"/>
        </w:rPr>
        <w:t xml:space="preserve">The ease of maintenance and short life cycle of </w:t>
      </w:r>
      <w:r w:rsidR="00F30532" w:rsidRPr="00753C05">
        <w:rPr>
          <w:i/>
          <w:color w:val="000000"/>
        </w:rPr>
        <w:t>D. melanogaster</w:t>
      </w:r>
      <w:r w:rsidR="00F30532" w:rsidRPr="00753C05">
        <w:rPr>
          <w:color w:val="000000"/>
        </w:rPr>
        <w:t xml:space="preserve"> </w:t>
      </w:r>
      <w:r w:rsidRPr="00753C05">
        <w:rPr>
          <w:color w:val="000000"/>
        </w:rPr>
        <w:t xml:space="preserve">make them an optimal candidate for experiments involving many organisms and multiple replicates. </w:t>
      </w:r>
    </w:p>
    <w:p w14:paraId="1B69FF6C" w14:textId="6EB52E56" w:rsidR="003E3967" w:rsidRPr="00753C05" w:rsidRDefault="003E3967" w:rsidP="003C5BAF">
      <w:pPr>
        <w:spacing w:line="480" w:lineRule="auto"/>
        <w:ind w:firstLine="720"/>
        <w:rPr>
          <w:i/>
          <w:color w:val="000000"/>
        </w:rPr>
      </w:pPr>
      <w:r w:rsidRPr="00753C05">
        <w:rPr>
          <w:i/>
          <w:color w:val="000000"/>
        </w:rPr>
        <w:t>D. melanogaster</w:t>
      </w:r>
      <w:r w:rsidRPr="00753C05">
        <w:rPr>
          <w:color w:val="000000"/>
        </w:rPr>
        <w:t xml:space="preserve"> exposure to </w:t>
      </w:r>
      <w:r w:rsidRPr="00753C05">
        <w:rPr>
          <w:i/>
          <w:color w:val="000000"/>
        </w:rPr>
        <w:t xml:space="preserve">B. </w:t>
      </w:r>
      <w:proofErr w:type="spellStart"/>
      <w:r w:rsidRPr="00753C05">
        <w:rPr>
          <w:i/>
          <w:color w:val="000000"/>
        </w:rPr>
        <w:t>bassiana</w:t>
      </w:r>
      <w:proofErr w:type="spellEnd"/>
      <w:r w:rsidRPr="00753C05">
        <w:rPr>
          <w:color w:val="000000"/>
        </w:rPr>
        <w:t xml:space="preserve"> </w:t>
      </w:r>
      <w:r w:rsidR="00F30532">
        <w:rPr>
          <w:color w:val="000000"/>
        </w:rPr>
        <w:t xml:space="preserve">generally </w:t>
      </w:r>
      <w:r w:rsidRPr="00753C05">
        <w:rPr>
          <w:color w:val="000000"/>
        </w:rPr>
        <w:t xml:space="preserve">happens on the cuticle surface. Upon contact with the cuticle, spores germinate and penetrate the cuticle, growing as hyphae inside the host, and later sporulating on the </w:t>
      </w:r>
      <w:r w:rsidRPr="00753C05">
        <w:t>cadaver</w:t>
      </w:r>
      <w:r w:rsidR="009E1A83" w:rsidRPr="00753C05">
        <w:t xml:space="preserve"> </w:t>
      </w:r>
      <w:r w:rsidRPr="00753C05">
        <w:fldChar w:fldCharType="begin" w:fldLock="1"/>
      </w:r>
      <w:r w:rsidR="008A40E1">
        <w:instrText>ADDIN CSL_CITATION {"citationItems":[{"id":"ITEM-1","itemData":{"DOI":"10.3390/insects4030357","ISSN":"2075-4450","abstract":"Infections mediated by broad host range entomopathogenic fungi represent seminal observations that led to one of the first germ theories of disease and are a classic example of a co-evolutionary arms race between a pathogen and target hosts. These fungi are able to parasitize susceptible hosts via direct penetration of the cuticle with the initial and potentially determining interaction occurring between the fungal spore and the insect epicuticle. Entomogenous fungi have evolved mechanisms for adhesion and recognition of host surface cues that help direct an adaptive response that includes the production of: (a) hydrolytic, assimilatory, and/or detoxifying enzymes including lipase/esterases, catalases, cytochrome P450s, proteases, and chitinases; (b) specialized infectious structures, e.g., appressoria or penetrant tubes; and (c) secondary and other metabolites that facilitate infection. Aside from immune responses, insects have evolved a number of mechanisms to keep pathogens at bay that include: (a) the production of (epi) cuticular antimicrobial lipids, proteins, and metabolites; (b) shedding of the cuticle during development; and (c) behavioral","author":[{"dropping-particle":"","family":"Ortiz-Urquiza","given":"Almudena","non-dropping-particle":"","parse-names":false,"suffix":""},{"dropping-particle":"","family":"Keyhani","given":"Nemat O","non-dropping-particle":"","parse-names":false,"suffix":""}],"id":"ITEM-1","issued":{"date-parts":[["2013"]]},"page":"357-374","title":"Action on the Surface: Entomopathogenic Fungi versus the Insect Cuticle","type":"article-journal","volume":"4"},"uris":["http://www.mendeley.com/documents/?uuid=101f4131-5eed-3bdc-9fd1-8374cfafb766"]}],"mendeley":{"formattedCitation":"(Ortiz-Urquiza and Keyhani 2013)","plainTextFormattedCitation":"(Ortiz-Urquiza and Keyhani 2013)","previouslyFormattedCitation":"(Ortiz-Urquiza &amp; Keyhani, 2013)"},"properties":{"noteIndex":0},"schema":"https://github.com/citation-style-language/schema/raw/master/csl-citation.json"}</w:instrText>
      </w:r>
      <w:r w:rsidRPr="00753C05">
        <w:fldChar w:fldCharType="separate"/>
      </w:r>
      <w:r w:rsidR="008A40E1" w:rsidRPr="008A40E1">
        <w:rPr>
          <w:noProof/>
        </w:rPr>
        <w:t>(Ortiz-Urquiza and Keyhani 2013)</w:t>
      </w:r>
      <w:r w:rsidRPr="00753C05">
        <w:fldChar w:fldCharType="end"/>
      </w:r>
      <w:r w:rsidRPr="00753C05">
        <w:t xml:space="preserve">. Female </w:t>
      </w:r>
      <w:r w:rsidRPr="00753C05">
        <w:rPr>
          <w:i/>
          <w:color w:val="000000"/>
        </w:rPr>
        <w:t>D. melanogaster</w:t>
      </w:r>
      <w:r w:rsidRPr="00753C05">
        <w:rPr>
          <w:color w:val="000000"/>
        </w:rPr>
        <w:t xml:space="preserve"> are more susceptible than males to five tested strains of </w:t>
      </w:r>
      <w:r w:rsidRPr="00753C05">
        <w:rPr>
          <w:i/>
          <w:color w:val="000000"/>
        </w:rPr>
        <w:lastRenderedPageBreak/>
        <w:t xml:space="preserve">B. </w:t>
      </w:r>
      <w:proofErr w:type="spellStart"/>
      <w:r w:rsidRPr="00753C05">
        <w:rPr>
          <w:i/>
          <w:color w:val="000000"/>
        </w:rPr>
        <w:t>bassiana</w:t>
      </w:r>
      <w:proofErr w:type="spellEnd"/>
      <w:r w:rsidR="009E1A83" w:rsidRPr="00753C05">
        <w:rPr>
          <w:i/>
          <w:color w:val="000000"/>
        </w:rPr>
        <w:t xml:space="preserve"> </w:t>
      </w:r>
      <w:r w:rsidRPr="00753C05">
        <w:rPr>
          <w:i/>
          <w:color w:val="000000"/>
        </w:rPr>
        <w:fldChar w:fldCharType="begin" w:fldLock="1"/>
      </w:r>
      <w:r w:rsidR="008A40E1">
        <w:rPr>
          <w:i/>
          <w:color w:val="000000"/>
        </w:rPr>
        <w:instrText>ADDIN CSL_CITATION {"citationItems":[{"id":"ITEM-1","itemData":{"DOI":"10.1038/s41598-018-30527-1","abstract":"In many animal species, females and males differ in physiology, lifespan, and immune function. The magnitude and direction of the sexual dimorphism in immune function varies greatly and the genetic and mechanistic bases for this dimorphism are often unknown. Here we show that Drosophila melanogaster females are more likely than males to die from infection with several strains of the fungal entomopathogen Beauveria bassiana. The sexual dimorphism is not exclusively due to barrier defenses and persists when flies are inoculated by injection as well as by surface exposure. Loss of function mutations of Toll pathway genes remove the dimorphism in survivorship. Surprisingly, loss of function mutation of relish, a gene in the Imd pathway, also removes the dimorphism, but the dimorphism persists in flies carrying other Imd pathway mutations. The robust sexual dimorphism in D. melanogaster survival to B. bassiana presents opportunities to further dissect its mechanistic details, with applications for biological control of insect vectors of human disease and insect crop pests. Physiology and lifespan differ between females and males across many animal species 1,2. Dimorphism between the sexes can also affect host-parasite interactions, and sex differences in susceptibility to infection have been previously reported 3-9. However, the mechanistic and genetic bases for sex differences in infection-susceptibility have not been well-characterized. The laboratory fruit fly, Drosophila melanogaster, can be used as a model organism to study sex differences in immune defense. D. melanogaster is an established genetic model that shares innate immune response pathways with mammals 10-14. Innate immunity is the first line of defense against pathogenic infections. Most immune-defense studies in flies and in mammals have focused on responses to bacterial infections, while defense against fungal infections remains understudied in comparison. Improving our understanding of immune defense against fungal infections, especially in insect hosts, has implications for the biological control of mosquito vectors of human disease and insect crop pests. The fungal entomopathogen used in our study, Beauveria bassiana, is used in biological control 15-19. Understanding sexual dimorphism in insect susceptibility to B. bassiana can aid biological control efforts, and may be particularly useful for biological control of female mosquitoes that vector human disease. In resisting fungal infectio…","author":[{"dropping-particle":"","family":"Shahrestani","given":"Parvin","non-dropping-particle":"","parse-names":false,"suffix":""},{"dropping-particle":"","family":"Chambers","given":"Moria","non-dropping-particle":"","parse-names":false,"suffix":""},{"dropping-particle":"","family":"Vandenberg","given":"John","non-dropping-particle":"","parse-names":false,"suffix":""},{"dropping-particle":"","family":"Garcia","given":"Kelly","non-dropping-particle":"","parse-names":false,"suffix":""},{"dropping-particle":"","family":"Malaret","given":"Glen","non-dropping-particle":"","parse-names":false,"suffix":""},{"dropping-particle":"","family":"Chowdhury","given":"Pratik","non-dropping-particle":"","parse-names":false,"suffix":""},{"dropping-particle":"","family":"Estrella","given":"Yonathan","non-dropping-particle":"","parse-names":false,"suffix":""},{"dropping-particle":"","family":"Zhu","given":"Ming","non-dropping-particle":"","parse-names":false,"suffix":""},{"dropping-particle":"","family":"Lazzaro","given":"Brian P","non-dropping-particle":"","parse-names":false,"suffix":""}],"container-title":"Scientific REPORtS |","id":"ITEM-1","issued":{"date-parts":[["2018"]]},"note":"Pop C3 - Pop H3\nCO2 - less than 5min for injection\nIs it 25C for SSMI?\nSummary:\n-Females more susceptible than males to fungal infection. \n- Toll is responsible for SD\n-Imd pathway gene, Relish, is responsible for SD\n- Diet used -- glucose yeast medium (12:12 )\n- CO2 exposure less than 5min for injection","page":"12501","title":"Sexual dimorphism in Drosophila melanogaster survival of Beauveria bassiana infection depends on core immune signaling","type":"article-journal","volume":"8"},"uris":["http://www.mendeley.com/documents/?uuid=1f9d3031-3b1f-3ff6-83f4-b29859dcbf09"]}],"mendeley":{"formattedCitation":"(Shahrestani et al. 2018)","plainTextFormattedCitation":"(Shahrestani et al. 2018)","previouslyFormattedCitation":"(Shahrestani et al., 2018)"},"properties":{"noteIndex":0},"schema":"https://github.com/citation-style-language/schema/raw/master/csl-citation.json"}</w:instrText>
      </w:r>
      <w:r w:rsidRPr="00753C05">
        <w:rPr>
          <w:i/>
          <w:color w:val="000000"/>
        </w:rPr>
        <w:fldChar w:fldCharType="separate"/>
      </w:r>
      <w:r w:rsidR="008A40E1" w:rsidRPr="008A40E1">
        <w:rPr>
          <w:noProof/>
          <w:color w:val="000000"/>
        </w:rPr>
        <w:t>(Shahrestani et al. 2018)</w:t>
      </w:r>
      <w:r w:rsidRPr="00753C05">
        <w:rPr>
          <w:i/>
          <w:color w:val="000000"/>
        </w:rPr>
        <w:fldChar w:fldCharType="end"/>
      </w:r>
      <w:r w:rsidRPr="00753C05">
        <w:rPr>
          <w:color w:val="000000"/>
        </w:rPr>
        <w:t xml:space="preserve">. This sexual dimorphism is ablated by mutations in the Toll pathway, and by mutation of the gene </w:t>
      </w:r>
      <w:r w:rsidRPr="00753C05">
        <w:rPr>
          <w:i/>
          <w:color w:val="000000"/>
        </w:rPr>
        <w:t>Relish</w:t>
      </w:r>
      <w:r w:rsidRPr="00753C05">
        <w:rPr>
          <w:color w:val="000000"/>
        </w:rPr>
        <w:t>, which is in the IMD pathway</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{"citationItems":[{"id":"ITEM-1","itemData":{"DOI":"10.1038/s41598-018-30527-1","abstract":"In many animal species, females and males differ in physiology, lifespan, and immune function. The magnitude and direction of the sexual dimorphism in immune function varies greatly and the genetic and mechanistic bases for this dimorphism are often unknown. Here we show that Drosophila melanogaster females are more likely than males to die from infection with several strains of the fungal entomopathogen Beauveria bassiana. The sexual dimorphism is not exclusively due to barrier defenses and persists when flies are inoculated by injection as well as by surface exposure. Loss of function mutations of Toll pathway genes remove the dimorphism in survivorship. Surprisingly, loss of function mutation of relish, a gene in the Imd pathway, also removes the dimorphism, but the dimorphism persists in flies carrying other Imd pathway mutations. The robust sexual dimorphism in D. melanogaster survival to B. bassiana presents opportunities to further dissect its mechanistic details, with applications for biological control of insect vectors of human disease and insect crop pests. Physiology and lifespan differ between females and males across many animal species 1,2. Dimorphism between the sexes can also affect host-parasite interactions, and sex differences in susceptibility to infection have been previously reported 3-9. However, the mechanistic and genetic bases for sex differences in infection-susceptibility have not been well-characterized. The laboratory fruit fly, Drosophila melanogaster, can be used as a model organism to study sex differences in immune defense. D. melanogaster is an established genetic model that shares innate immune response pathways with mammals 10-14. Innate immunity is the first line of defense against pathogenic infections. Most immune-defense studies in flies and in mammals have focused on responses to bacterial infections, while defense against fungal infections remains understudied in comparison. Improving our understanding of immune defense against fungal infections, especially in insect hosts, has implications for the biological control of mosquito vectors of human disease and insect crop pests. The fungal entomopathogen used in our study, Beauveria bassiana, is used in biological control 15-19. Understanding sexual dimorphism in insect susceptibility to B. bassiana can aid biological control efforts, and may be particularly useful for biological control of female mosquitoes that vector human disease. In resisting fungal infectio…","author":[{"dropping-particle":"","family":"Shahrestani","given":"Parvin","non-dropping-particle":"","parse-names":false,"suffix":""},{"dropping-particle":"","family":"Chambers","given":"Moria","non-dropping-particle":"","parse-names":false,"suffix":""},{"dropping-particle":"","family":"Vandenberg","given":"John","non-dropping-particle":"","parse-names":false,"suffix":""},{"dropping-particle":"","family":"Garcia","given":"Kelly","non-dropping-particle":"","parse-names":false,"suffix":""},{"dropping-particle":"","family":"Malaret","given":"Glen","non-dropping-particle":"","parse-names":false,"suffix":""},{"dropping-particle":"","family":"Chowdhury","given":"Pratik","non-dropping-particle":"","parse-names":false,"suffix":""},{"dropping-particle":"","family":"Estrella","given":"Yonathan","non-dropping-particle":"","parse-names":false,"suffix":""},{"dropping-particle":"","family":"Zhu","given":"Ming","non-dropping-particle":"","parse-names":false,"suffix":""},{"dropping-particle":"","family":"Lazzaro","given":"Brian P","non-dropping-particle":"","parse-names":false,"suffix":""}],"container-title":"Scientific REPORtS |","id":"ITEM-1","issued":{"date-parts":[["2018"]]},"note":"Pop C3 - Pop H3\nCO2 - less than 5min for injection\nIs it 25C for SSMI?\nSummary:\n-Females more susceptible than males to fungal infection. \n- Toll is responsible for SD\n-Imd pathway gene, Relish, is responsible for SD\n- Diet used -- glucose yeast medium (12:12 )\n- CO2 exposure less than 5min for injection","page":"12501","title":"Sexual dimorphism in Drosophila melanogaster survival of Beauveria bassiana infection depends on core immune signaling","type":"article-journal","volume":"8"},"uris":["http://www.mendeley.com/documents/?uuid=1f9d3031-3b1f-3ff6-83f4-b29859dcbf09"]}],"mendeley":{"formattedCitation":"(Shahrestani et al. 2018)","plainTextFormattedCitation":"(Shahrestani et al. 2018)","previouslyFormattedCitation":"(Shahrestani et al., 2018)"},"properties":{"noteIndex":0},"schema":"https://github.com/citation-style-language/schema/raw/master/csl-citation.json"}</w:instrText>
      </w:r>
      <w:r w:rsidRPr="00753C05">
        <w:rPr>
          <w:color w:val="000000"/>
        </w:rPr>
        <w:fldChar w:fldCharType="separate"/>
      </w:r>
      <w:r w:rsidR="008A40E1" w:rsidRPr="008A40E1">
        <w:rPr>
          <w:noProof/>
          <w:color w:val="000000"/>
        </w:rPr>
        <w:t>(Shahrestani et al. 2018)</w:t>
      </w:r>
      <w:r w:rsidRPr="00753C05">
        <w:rPr>
          <w:color w:val="000000"/>
        </w:rPr>
        <w:fldChar w:fldCharType="end"/>
      </w:r>
      <w:r w:rsidRPr="00753C05">
        <w:rPr>
          <w:color w:val="000000"/>
        </w:rPr>
        <w:t>. The IMD pathway has classically been thought to be involved in fighting Gram negative bacteria, but not fungi, whereas the Toll pathway is known to be involved in fighting Gram positive bacteria and fungi</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{"citationItems":[{"id":"ITEM-1","itemData":{"DOI":"10.1038/nri3763","ISSN":"14741741","abstract":"© 2015 Macmillan Publishers Limited. Since the discovery of antimicrobial peptide responses 40 years ago, the fruit fly Drosophila melanogaster has proven to be a powerful model for the study of innate immunity. Early work focused on innate immune mechanisms of microbial recognition and subsequent nuclear factor-κ B signal transduction. More recently, D. melanogaster has been used to understand how the immune response is regulated and coordinated at the level of the whole organism. For example, researchers have used this model in studies investigating interactions between the microbiota and the immune system at barrier epithelial surfaces that ensure proper nutritional and immune homeostasis both locally and systemically. In addition, studies in D. melanogaster have been pivotal in uncovering how the immune response is regulated by both endocrine and metabolic signalling systems, and how the immune response modifies these systems as part of a homeostatic circuit. In this Review, we briefly summarize microbial recognition and antiviral immunity in D. melanogaster, and we highlight recent studies that have explored the effects of organism-wide regulation of the immune response and, conversely, the effects of the immune response on organism physiology.","author":[{"dropping-particle":"","family":"Buchon","given":"Nicolas","non-dropping-particle":"","parse-names":false,"suffix":""},{"dropping-particle":"","family":"Silverman","given":"Neal","non-dropping-particle":"","parse-names":false,"suffix":""},{"dropping-particle":"","family":"Cherry","given":"Sara","non-dropping-particle":"","parse-names":false,"suffix":""}],"container-title":"Nature Reviews Immunology","id":"ITEM-1","issue":"12","issued":{"date-parts":[["2014"]]},"page":"796-810","title":"Immunity in Drosophila melanogaster-from microbial recognition to whole-organism physiology","type":"article-journal","volume":"14"},"uris":["http://www.mendeley.com/documents/?uuid=05596022-7091-466a-b5a8-ffd9218a3c1b"]}],"mendeley":{"formattedCitation":"(Buchon, Silverman, and Cherry 2014)","plainTextFormattedCitation":"(Buchon, Silverman, and Cherry 2014)","previouslyFormattedCitation":"(Buchon et al., 2014)"},"properties":{"noteIndex":0},"schema":"https://github.com/citation-style-language/schema/raw/master/csl-citation.json"}</w:instrText>
      </w:r>
      <w:r w:rsidRPr="00753C05">
        <w:rPr>
          <w:color w:val="000000"/>
        </w:rPr>
        <w:fldChar w:fldCharType="separate"/>
      </w:r>
      <w:r w:rsidR="008A40E1" w:rsidRPr="008A40E1">
        <w:rPr>
          <w:noProof/>
          <w:color w:val="000000"/>
        </w:rPr>
        <w:t>(Buchon</w:t>
      </w:r>
      <w:r w:rsidR="00F30532">
        <w:rPr>
          <w:noProof/>
          <w:color w:val="000000"/>
        </w:rPr>
        <w:t xml:space="preserve"> et al. </w:t>
      </w:r>
      <w:r w:rsidR="008A40E1" w:rsidRPr="008A40E1">
        <w:rPr>
          <w:noProof/>
          <w:color w:val="000000"/>
        </w:rPr>
        <w:t>2014)</w:t>
      </w:r>
      <w:r w:rsidRPr="00753C05">
        <w:rPr>
          <w:color w:val="000000"/>
        </w:rPr>
        <w:fldChar w:fldCharType="end"/>
      </w:r>
      <w:r w:rsidRPr="00753C05">
        <w:rPr>
          <w:color w:val="000000"/>
        </w:rPr>
        <w:t xml:space="preserve">.  Therefore, this result suggests not only that the sexual dimorphism in defense is, at least in part, controlled by humoral defenses, but also that defense against fungal infection is more complex than previously thought, involving at least one gene in the IMD pathway. Better understanding sexual dimorphism in insect defense against </w:t>
      </w:r>
      <w:r w:rsidRPr="00753C05">
        <w:rPr>
          <w:i/>
          <w:color w:val="000000"/>
        </w:rPr>
        <w:t xml:space="preserve">B. </w:t>
      </w:r>
      <w:proofErr w:type="spellStart"/>
      <w:r w:rsidRPr="00753C05">
        <w:rPr>
          <w:i/>
          <w:color w:val="000000"/>
        </w:rPr>
        <w:t>bassiana</w:t>
      </w:r>
      <w:proofErr w:type="spellEnd"/>
      <w:r w:rsidRPr="00753C05">
        <w:rPr>
          <w:i/>
          <w:color w:val="000000"/>
        </w:rPr>
        <w:t xml:space="preserve"> </w:t>
      </w:r>
      <w:r w:rsidRPr="00753C05">
        <w:rPr>
          <w:color w:val="000000"/>
        </w:rPr>
        <w:t xml:space="preserve">can be important for developing effective biological control efforts that can target </w:t>
      </w:r>
      <w:r w:rsidR="005230C8">
        <w:rPr>
          <w:color w:val="000000"/>
        </w:rPr>
        <w:t xml:space="preserve">reproductive </w:t>
      </w:r>
      <w:r w:rsidRPr="00753C05">
        <w:rPr>
          <w:color w:val="000000"/>
        </w:rPr>
        <w:t xml:space="preserve">female insects. </w:t>
      </w:r>
    </w:p>
    <w:p w14:paraId="4C7890F3" w14:textId="14D3CFB0" w:rsidR="003E3967" w:rsidRPr="00753C05" w:rsidRDefault="003E3967" w:rsidP="003C5BAF">
      <w:pPr>
        <w:spacing w:line="480" w:lineRule="auto"/>
        <w:rPr>
          <w:color w:val="000000"/>
        </w:rPr>
      </w:pPr>
      <w:r w:rsidRPr="00753C05">
        <w:rPr>
          <w:b/>
          <w:bCs/>
          <w:color w:val="000000"/>
        </w:rPr>
        <w:tab/>
      </w:r>
      <w:r w:rsidR="005230C8">
        <w:rPr>
          <w:color w:val="000000"/>
        </w:rPr>
        <w:t xml:space="preserve">Sexual dimorphism in post-infection survival of D. melanogaster has also been seen with the bacterial pathogens </w:t>
      </w:r>
      <w:r w:rsidRPr="00753C05">
        <w:rPr>
          <w:i/>
          <w:iCs/>
          <w:color w:val="000000"/>
        </w:rPr>
        <w:t xml:space="preserve">Providencia </w:t>
      </w:r>
      <w:proofErr w:type="spellStart"/>
      <w:r w:rsidRPr="00753C05">
        <w:rPr>
          <w:i/>
          <w:iCs/>
          <w:color w:val="000000"/>
        </w:rPr>
        <w:t>rettger</w:t>
      </w:r>
      <w:r w:rsidRPr="00753C05">
        <w:rPr>
          <w:color w:val="000000"/>
        </w:rPr>
        <w:t>i</w:t>
      </w:r>
      <w:proofErr w:type="spellEnd"/>
      <w:r w:rsidRPr="00753C05">
        <w:rPr>
          <w:color w:val="000000"/>
        </w:rPr>
        <w:t xml:space="preserve"> and </w:t>
      </w:r>
      <w:r w:rsidRPr="00753C05">
        <w:rPr>
          <w:i/>
          <w:iCs/>
          <w:color w:val="000000"/>
        </w:rPr>
        <w:t xml:space="preserve">Providencia </w:t>
      </w:r>
      <w:proofErr w:type="spellStart"/>
      <w:r w:rsidRPr="00753C05">
        <w:rPr>
          <w:i/>
          <w:iCs/>
          <w:color w:val="000000"/>
        </w:rPr>
        <w:t>alcalifaciens</w:t>
      </w:r>
      <w:proofErr w:type="spellEnd"/>
      <w:r w:rsidR="005230C8">
        <w:rPr>
          <w:i/>
          <w:iCs/>
          <w:color w:val="000000"/>
        </w:rPr>
        <w:t xml:space="preserve"> </w:t>
      </w:r>
      <w:r w:rsidR="005230C8">
        <w:rPr>
          <w:color w:val="000000"/>
        </w:rPr>
        <w:t>(</w:t>
      </w:r>
      <w:commentRangeStart w:id="4"/>
      <w:r w:rsidR="005230C8">
        <w:rPr>
          <w:color w:val="000000"/>
        </w:rPr>
        <w:t>Short and Lazzaro</w:t>
      </w:r>
      <w:commentRangeEnd w:id="4"/>
      <w:r w:rsidR="005230C8">
        <w:rPr>
          <w:rStyle w:val="CommentReference"/>
        </w:rPr>
        <w:commentReference w:id="4"/>
      </w:r>
      <w:r w:rsidR="005230C8">
        <w:rPr>
          <w:color w:val="000000"/>
        </w:rPr>
        <w:t>)</w:t>
      </w:r>
      <w:r w:rsidR="005230C8">
        <w:rPr>
          <w:i/>
          <w:iCs/>
          <w:color w:val="000000"/>
        </w:rPr>
        <w:t xml:space="preserve">. </w:t>
      </w:r>
      <w:r w:rsidR="005230C8">
        <w:rPr>
          <w:color w:val="000000"/>
        </w:rPr>
        <w:t xml:space="preserve">With </w:t>
      </w:r>
      <w:commentRangeStart w:id="5"/>
      <w:r w:rsidR="005230C8">
        <w:rPr>
          <w:color w:val="000000"/>
        </w:rPr>
        <w:t>these</w:t>
      </w:r>
      <w:commentRangeEnd w:id="5"/>
      <w:r w:rsidR="005230C8">
        <w:rPr>
          <w:rStyle w:val="CommentReference"/>
        </w:rPr>
        <w:commentReference w:id="5"/>
      </w:r>
      <w:r w:rsidR="005230C8">
        <w:rPr>
          <w:color w:val="000000"/>
        </w:rPr>
        <w:t xml:space="preserve"> pathogens, not only are females more susceptible than males, but mated females are more susceptible than virgin females (</w:t>
      </w:r>
      <w:commentRangeStart w:id="6"/>
      <w:r w:rsidR="005230C8">
        <w:rPr>
          <w:color w:val="000000"/>
        </w:rPr>
        <w:t>Short and Lazzaro</w:t>
      </w:r>
      <w:commentRangeEnd w:id="6"/>
      <w:r w:rsidR="005230C8">
        <w:rPr>
          <w:rStyle w:val="CommentReference"/>
        </w:rPr>
        <w:commentReference w:id="6"/>
      </w:r>
      <w:r w:rsidR="005230C8">
        <w:rPr>
          <w:color w:val="000000"/>
        </w:rPr>
        <w:t>)</w:t>
      </w:r>
      <w:r w:rsidR="00C00ECF">
        <w:rPr>
          <w:i/>
          <w:iCs/>
          <w:color w:val="000000"/>
        </w:rPr>
        <w:t xml:space="preserve">, </w:t>
      </w:r>
      <w:r w:rsidRPr="00753C05">
        <w:rPr>
          <w:iCs/>
          <w:color w:val="000000"/>
        </w:rPr>
        <w:t>with</w:t>
      </w:r>
      <w:r w:rsidR="00C00ECF">
        <w:rPr>
          <w:iCs/>
          <w:color w:val="000000"/>
        </w:rPr>
        <w:t xml:space="preserve"> inoculated </w:t>
      </w:r>
      <w:r w:rsidRPr="00753C05">
        <w:rPr>
          <w:color w:val="000000"/>
        </w:rPr>
        <w:t xml:space="preserve">mated females surviving less than </w:t>
      </w:r>
      <w:r w:rsidR="00C00ECF">
        <w:rPr>
          <w:color w:val="000000"/>
        </w:rPr>
        <w:t xml:space="preserve">infected </w:t>
      </w:r>
      <w:r w:rsidRPr="00753C05">
        <w:rPr>
          <w:color w:val="000000"/>
        </w:rPr>
        <w:t xml:space="preserve">virgins and carrying higher bacterial loads </w:t>
      </w:r>
      <w:commentRangeStart w:id="7"/>
      <w:r w:rsidRPr="00753C05">
        <w:rPr>
          <w:color w:val="000000"/>
        </w:rPr>
        <w:fldChar w:fldCharType="begin" w:fldLock="1"/>
      </w:r>
      <w:r w:rsidR="008A40E1">
        <w:rPr>
          <w:color w:val="000000"/>
        </w:rPr>
        <w:instrText>ADDIN CSL_CITATION {"citationItems":[{"id":"ITEM-1","itemData":{"DOI":"10.1098/rspb.2010.0937","abstract":"Post-mating reduction in immune defence is common in female insects, and a trade-off between mating and immunity could affect the evolution of immunity. In this work, we tested the capacity of virgin and mated female Drosophila melanogaster to defend against infection by four bacterial pathogens. We found that female D. melanogaster suffer post-mating immunosuppression in a pathogen-dependent manner. The effect of mating was seen after infection with two bacterial pathogens (Providencia rettgeri and Provi-dencia alcalifaciens), though not after infection with two other bacteria (Enterococcus faecalis and Pseudomonas aeruginosa). We then asked whether the evolution of post-mating immunosuppression is primarily a 'female' or 'male' trait by assaying for genetic variation among females for the degree of post-mating immune suppression they experience and among males for the level of post-mating immu-nosuppression they elicit in their mates. We also assayed for an interaction between male and female genotypes to test the specific hypothesis that the evolution of a trade-off between mating and immune defence in females might be being driven by sexual conflict. We found that females, but not males, harbour significant genetic variation for post-mating immunosuppression, and we did not detect an interaction between female and male genotypes. We thus conclude that post-mating immune depression is predominantly a 'female' trait, and find no evidence that it is evolving under sexual conflict.","author":[{"dropping-particle":"","family":"Short","given":"Sarah M","non-dropping-particle":"","parse-names":false,"suffix":""},{"dropping-particle":"","family":"Lazzaro","given":"Brian P","non-dropping-particle":"","parse-names":false,"suffix":""}],"id":"ITEM-1","issued":{"date-parts":[["0"]]},"title":"Female and male genetic contributions to post-mating immune defence in female Drosophila melanogaster","type":"article-journal"},"uris":["http://www.mendeley.com/documents/?uuid=ffbe992f-848b-39d0-b7a7-37df7bfe50c7"]}],"mendeley":{"formattedCitation":"(Short and Lazzaro n.d.)"},"properties":{"noteIndex":0},"schema":"https://github.com/citation-style-language/schema/raw/master/csl-citation.json"}</w:instrText>
      </w:r>
      <w:r w:rsidRPr="00753C05">
        <w:rPr>
          <w:color w:val="000000"/>
        </w:rPr>
        <w:fldChar w:fldCharType="separate"/>
      </w:r>
      <w:r w:rsidR="008A40E1" w:rsidRPr="008A40E1">
        <w:rPr>
          <w:noProof/>
          <w:color w:val="000000"/>
        </w:rPr>
        <w:t>(Short and Lazzaro n.d.)</w:t>
      </w:r>
      <w:r w:rsidRPr="00753C05">
        <w:rPr>
          <w:color w:val="000000"/>
        </w:rPr>
        <w:fldChar w:fldCharType="end"/>
      </w:r>
      <w:commentRangeEnd w:id="7"/>
      <w:r w:rsidR="00C00ECF">
        <w:rPr>
          <w:rStyle w:val="CommentReference"/>
        </w:rPr>
        <w:commentReference w:id="7"/>
      </w:r>
      <w:r w:rsidRPr="00753C05">
        <w:rPr>
          <w:color w:val="000000"/>
        </w:rPr>
        <w:t xml:space="preserve">. </w:t>
      </w:r>
      <w:r w:rsidR="00C00ECF">
        <w:rPr>
          <w:color w:val="000000"/>
        </w:rPr>
        <w:t xml:space="preserve">Given this mating-immunity trade-off, a </w:t>
      </w:r>
      <w:r w:rsidRPr="00753C05">
        <w:rPr>
          <w:color w:val="000000"/>
        </w:rPr>
        <w:t>potential explanation for the increased susceptibility to infection in females</w:t>
      </w:r>
      <w:r w:rsidR="00C00ECF">
        <w:rPr>
          <w:color w:val="000000"/>
        </w:rPr>
        <w:t xml:space="preserve"> relative to males</w:t>
      </w:r>
      <w:r w:rsidRPr="00753C05">
        <w:rPr>
          <w:color w:val="000000"/>
        </w:rPr>
        <w:t xml:space="preserve"> is that females allocate more resources to reproduction </w:t>
      </w:r>
      <w:commentRangeStart w:id="8"/>
      <w:r w:rsidRPr="00753C05">
        <w:rPr>
          <w:color w:val="000000"/>
        </w:rPr>
        <w:fldChar w:fldCharType="begin" w:fldLock="1"/>
      </w:r>
      <w:r w:rsidR="008A40E1">
        <w:rPr>
          <w:color w:val="000000"/>
        </w:rPr>
        <w:instrText>ADDIN CSL_CITATION {"citationItems":[{"id":"ITEM-1","itemData":{"DOI":"10.1146/annurev-ento-010715-023924","abstract":"Immune defense and reproduction are physiologically and energetically demanding processes and have been observed to trade off in a diversity of female insects. Increased reproductive effort results in reduced immunity, and reciprocally, infection and activation of the immune system reduce reproductive output. This trade-off can manifest at the physiological level (within an individual) and at the evolutionary level (genetic distinction among individuals in a population). The resource allocation model posits that the trade-off arises because of competition for one or more limiting resources, and we hypothesize that pleiotropic signaling mechanisms regulate allocation of that resource between reproductive and immune processes. We examine the role of juvenile hormone, 20-hydroxyecdysone, and insulin/insulin-like growth factor-like signaling in regulating both oogenesis and immune system activity, and propose a signaling network that may mechanistically regulate the trade-off. Finally, we discuss implications of the trade-off in an ecological and evolutionary context.","author":[{"dropping-particle":"","family":"Schwenke","given":"Robin A","non-dropping-particle":"","parse-names":false,"suffix":""},{"dropping-particle":"","family":"Lazzaro","given":"Brian P","non-dropping-particle":"","parse-names":false,"suffix":""},{"dropping-particle":"","family":"Wolfner","given":"Mariana F","non-dropping-particle":"","parse-names":false,"suffix":""}],"id":"ITEM-1","issued":{"date-parts":[["0"]]},"title":"Reproduction-Immunity Trade-Offs in Insects","type":"article-journal"},"uris":["http://www.mendeley.com/documents/?uuid=c014d233-29e2-392e-a04c-17859adab9c9"]}],"mendeley":{"formattedCitation":"(Schwenke, Lazzaro, and Wolfner n.d.)"},"properties":{"noteIndex":0},"schema":"https://github.com/citation-style-language/schema/raw/master/csl-citation.json"}</w:instrText>
      </w:r>
      <w:r w:rsidRPr="00753C05">
        <w:rPr>
          <w:color w:val="000000"/>
        </w:rPr>
        <w:fldChar w:fldCharType="separate"/>
      </w:r>
      <w:r w:rsidR="008A40E1" w:rsidRPr="008A40E1">
        <w:rPr>
          <w:noProof/>
          <w:color w:val="000000"/>
        </w:rPr>
        <w:t>(Schwenke, Lazzaro, and Wolfner n.d.)</w:t>
      </w:r>
      <w:r w:rsidRPr="00753C05">
        <w:rPr>
          <w:color w:val="000000"/>
        </w:rPr>
        <w:fldChar w:fldCharType="end"/>
      </w:r>
      <w:commentRangeEnd w:id="8"/>
      <w:r w:rsidR="00C01095">
        <w:rPr>
          <w:rStyle w:val="CommentReference"/>
        </w:rPr>
        <w:commentReference w:id="8"/>
      </w:r>
      <w:r w:rsidRPr="00753C05">
        <w:rPr>
          <w:color w:val="000000"/>
        </w:rPr>
        <w:t>. Females are thought to enter a post-mating state, which is induced by receiving sex peptide from male seminal fluid</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{"citationItems":[{"id":"ITEM-1","itemData":{"DOI":"10.1016/j","abstract":"such effects include stimulation of female egg production [6, 7, 12-14], reduction of female receptivity [6, 7, 14], ensuring effective sperm storage [15, 16], and promotion of male success in sperm competition [17, 18]. The female mating cost that arises from Acp transfer by London, WC1E 6BT United Kingdom males may be a side effect of Acp function [4, 19] or a direct effect that is selected to reduce the likelihood of female re-mating and/or to increase current investment in reproduction [20, 21]. Summary We investigated whether a single Acp, the sex peptide (SP or Acp70A [5]), is responsible for mating costs in Conflicts between females and males over reproduc-females. SP decreases female receptivity and stimulates tive decisions are common [1]. In Drosophila, as in egg production following the first matings of virgin fe-many other organisms, there is often a conflict over males [6, 7]; it was generally assumed to benefit both how often to mate. The mating frequency that maxi-sexes by acting as a signal to initiate high reproductive mizes male reproductive success is higher than that rates in successfully mated females and as a mechanism which maximizes female reproductive success [2]. In for increasing paternity in males. We exposed wild-type addition, frequent mating reduces female lifespan and females throughout life either to SP-knockdown males reproductive success [3], a cost that is mediated by (which produced no detectable SP [6]) or to control male ejaculate accessory gland proteins (Acps) [4]. males (which were matched for autosomal genetic back-We demonstrate here that a single Acp, the sex peptide ground [6]). We used two independent replicate pairs of [5] (SP or Acp70A), which decreases female receptivity SP-knockdown and control male lines (SP1 knockdown and stimulates egg production in the first matings of and C1, and SP2 knockdown and C2; see the Supple-virgin females [6, 7], is a major contributor to Acp-mental Experimental Procedures available with this arti-mediated mating costs in females. Females continu-cle online). One hundred and ten females for each treat-ously exposed to SP-deficient males (which produce ment of each line were kept in groups of five, and five no detectable SP [6]) had significantly higher fitness males were added to each group. We measured female and higher lifetime reproductive success than control survival, and we sampled female mating frequency, egg females. Hence, rather than benefiting both sexes, reprod…","author":[{"dropping-particle":"","family":"Wigby","given":"Stuart","non-dropping-particle":"","parse-names":false,"suffix":""},{"dropping-particle":"","family":"Chapman","given":"Tracey","non-dropping-particle":"","parse-names":false,"suffix":""}],"container-title":"Current Biology","id":"ITEM-1","issued":{"date-parts":[["2005"]]},"page":"316-321","title":"Sex Peptide Causes Mating Costs in Female Drosophila melanogaster","type":"article-journal","volume":"15"},"uris":["http://www.mendeley.com/documents/?uuid=d0899913-b599-4710-951c-d6fe59d63c44"]}],"mendeley":{"formattedCitation":"(Wigby and Chapman 2005)","plainTextFormattedCitation":"(Wigby and Chapman 2005)","previouslyFormattedCitation":"(Wigby &amp; Chapman, 2005)"},"properties":{"noteIndex":0},"schema":"https://github.com/citation-style-language/schema/raw/master/csl-citation.json"}</w:instrText>
      </w:r>
      <w:r w:rsidRPr="00753C05">
        <w:rPr>
          <w:color w:val="000000"/>
        </w:rPr>
        <w:fldChar w:fldCharType="separate"/>
      </w:r>
      <w:r w:rsidR="008A40E1" w:rsidRPr="008A40E1">
        <w:rPr>
          <w:noProof/>
          <w:color w:val="000000"/>
        </w:rPr>
        <w:t>(Wigby and Chapman 2005)</w:t>
      </w:r>
      <w:r w:rsidRPr="00753C05">
        <w:rPr>
          <w:color w:val="000000"/>
        </w:rPr>
        <w:fldChar w:fldCharType="end"/>
      </w:r>
      <w:r w:rsidRPr="00753C05">
        <w:rPr>
          <w:color w:val="000000"/>
        </w:rPr>
        <w:t xml:space="preserve">. These studies </w:t>
      </w:r>
      <w:r w:rsidR="00182EF8" w:rsidRPr="00753C05">
        <w:rPr>
          <w:color w:val="000000"/>
        </w:rPr>
        <w:t>focused</w:t>
      </w:r>
      <w:r w:rsidRPr="00753C05">
        <w:rPr>
          <w:color w:val="000000"/>
        </w:rPr>
        <w:t xml:space="preserve"> on the mating-immunity trade-off as being a female-specific trait. As such, virgin </w:t>
      </w:r>
      <w:r w:rsidRPr="00753C05">
        <w:rPr>
          <w:color w:val="000000"/>
        </w:rPr>
        <w:lastRenderedPageBreak/>
        <w:t>females are thought to have more male-like, or better, immune defense</w:t>
      </w:r>
      <w:r w:rsidR="009E1A83" w:rsidRPr="00753C05">
        <w:rPr>
          <w:color w:val="000000"/>
        </w:rPr>
        <w:t xml:space="preserve"> </w:t>
      </w:r>
      <w:commentRangeStart w:id="9"/>
      <w:r w:rsidRPr="00753C05">
        <w:rPr>
          <w:color w:val="000000"/>
        </w:rPr>
        <w:fldChar w:fldCharType="begin" w:fldLock="1"/>
      </w:r>
      <w:r w:rsidR="008A40E1">
        <w:rPr>
          <w:color w:val="000000"/>
        </w:rPr>
        <w:instrText>ADDIN CSL_CITATION {"citationItems":[{"id":"ITEM-1","itemData":{"DOI":"10.1098/rspb.2010.0937","abstract":"Post-mating reduction in immune defence is common in female insects, and a trade-off between mating and immunity could affect the evolution of immunity. In this work, we tested the capacity of virgin and mated female Drosophila melanogaster to defend against infection by four bacterial pathogens. We found that female D. melanogaster suffer post-mating immunosuppression in a pathogen-dependent manner. The effect of mating was seen after infection with two bacterial pathogens (Providencia rettgeri and Provi-dencia alcalifaciens), though not after infection with two other bacteria (Enterococcus faecalis and Pseudomonas aeruginosa). We then asked whether the evolution of post-mating immunosuppression is primarily a 'female' or 'male' trait by assaying for genetic variation among females for the degree of post-mating immune suppression they experience and among males for the level of post-mating immu-nosuppression they elicit in their mates. We also assayed for an interaction between male and female genotypes to test the specific hypothesis that the evolution of a trade-off between mating and immune defence in females might be being driven by sexual conflict. We found that females, but not males, harbour significant genetic variation for post-mating immunosuppression, and we did not detect an interaction between female and male genotypes. We thus conclude that post-mating immune depression is predominantly a 'female' trait, and find no evidence that it is evolving under sexual conflict.","author":[{"dropping-particle":"","family":"Short","given":"Sarah M","non-dropping-particle":"","parse-names":false,"suffix":""},{"dropping-particle":"","family":"Lazzaro","given":"Brian P","non-dropping-particle":"","parse-names":false,"suffix":""}],"id":"ITEM-1","issued":{"date-parts":[["0"]]},"title":"Female and male genetic contributions to post-mating immune defence in female Drosophila melanogaster","type":"article-journal"},"uris":["http://www.mendeley.com/documents/?uuid=ffbe992f-848b-39d0-b7a7-37df7bfe50c7"]}],"mendeley":{"formattedCitation":"(Short and Lazzaro n.d.)"},"properties":{"noteIndex":0},"schema":"https://github.com/citation-style-language/schema/raw/master/csl-citation.json"}</w:instrText>
      </w:r>
      <w:r w:rsidRPr="00753C05">
        <w:rPr>
          <w:color w:val="000000"/>
        </w:rPr>
        <w:fldChar w:fldCharType="separate"/>
      </w:r>
      <w:r w:rsidR="008A40E1" w:rsidRPr="008A40E1">
        <w:rPr>
          <w:noProof/>
          <w:color w:val="000000"/>
        </w:rPr>
        <w:t>(Short and Lazzaro n.d.)</w:t>
      </w:r>
      <w:r w:rsidRPr="00753C05">
        <w:rPr>
          <w:color w:val="000000"/>
        </w:rPr>
        <w:fldChar w:fldCharType="end"/>
      </w:r>
      <w:commentRangeEnd w:id="9"/>
      <w:r w:rsidR="00182EF8">
        <w:rPr>
          <w:rStyle w:val="CommentReference"/>
        </w:rPr>
        <w:commentReference w:id="9"/>
      </w:r>
      <w:r w:rsidRPr="00753C05">
        <w:rPr>
          <w:color w:val="000000"/>
        </w:rPr>
        <w:t xml:space="preserve">. </w:t>
      </w:r>
    </w:p>
    <w:p w14:paraId="485D9564" w14:textId="7F6E6AE3" w:rsidR="003E3967" w:rsidRPr="00753C05" w:rsidRDefault="003E3967" w:rsidP="003C5BAF">
      <w:pPr>
        <w:spacing w:line="480" w:lineRule="auto"/>
        <w:rPr>
          <w:color w:val="000000"/>
        </w:rPr>
      </w:pPr>
      <w:r w:rsidRPr="00753C05">
        <w:rPr>
          <w:color w:val="000000"/>
        </w:rPr>
        <w:tab/>
        <w:t xml:space="preserve">However, when comparing sexual dimorphism in defense against </w:t>
      </w:r>
      <w:r w:rsidRPr="00753C05">
        <w:rPr>
          <w:i/>
          <w:color w:val="000000"/>
        </w:rPr>
        <w:t xml:space="preserve">B. </w:t>
      </w:r>
      <w:proofErr w:type="spellStart"/>
      <w:r w:rsidRPr="00753C05">
        <w:rPr>
          <w:i/>
          <w:color w:val="000000"/>
        </w:rPr>
        <w:t>bassiana</w:t>
      </w:r>
      <w:proofErr w:type="spellEnd"/>
      <w:r w:rsidRPr="00753C05">
        <w:rPr>
          <w:i/>
          <w:color w:val="000000"/>
        </w:rPr>
        <w:t xml:space="preserve"> </w:t>
      </w:r>
      <w:r w:rsidRPr="00753C05">
        <w:rPr>
          <w:color w:val="000000"/>
        </w:rPr>
        <w:t>across 297 recombinant inbred fly lines (the DSPR lines of</w:t>
      </w:r>
      <w:commentRangeStart w:id="10"/>
      <w:r w:rsidRPr="00753C05">
        <w:rPr>
          <w:color w:val="000000"/>
        </w:rPr>
        <w:fldChar w:fldCharType="begin" w:fldLock="1"/>
      </w:r>
      <w:r w:rsidR="008A40E1">
        <w:rPr>
          <w:color w:val="000000"/>
        </w:rPr>
        <w:instrText>ADDIN CSL_CITATION {"citationItems":[{"id":"ITEM-1","itemData":{"DOI":"10.1101/gr.134031.111","author":[{"dropping-particle":"","family":"King","given":"Elizabeth G","non-dropping-particle":"","parse-names":false,"suffix":""},{"dropping-particle":"","family":"Merkes","given":"Chris M","non-dropping-particle":"","parse-names":false,"suffix":""},{"dropping-particle":"","family":"Mcneil","given":"Casey L","non-dropping-particle":"","parse-names":false,"suffix":""},{"dropping-particle":"","family":"Hoofer","given":"Steven R","non-dropping-particle":"","parse-names":false,"suffix":""},{"dropping-particle":"","family":"Sen","given":"Saunak","non-dropping-particle":"","parse-names":false,"suffix":""},{"dropping-particle":"","family":"Broman","given":"Karl W","non-dropping-particle":"","parse-names":false,"suffix":""},{"dropping-particle":"","family":"Long","given":"Anthony D","non-dropping-particle":"","parse-names":false,"suffix":""},{"dropping-particle":"","family":"Macdonald","given":"Stuart J","non-dropping-particle":"","parse-names":false,"suffix":""}],"id":"ITEM-1","issued":{"date-parts":[["0"]]},"title":"Genetic dissection of a model complex trait using the Drosophila Synthetic Population Resource","type":"article-journal"},"uris":["http://www.mendeley.com/documents/?uuid=d3be9d0b-11a1-3b18-bef6-33edb91bebd8"]}],"mendeley":{"formattedCitation":"(King et al. n.d.)"},"properties":{"noteIndex":0},"schema":"https://github.com/citation-style-language/schema/raw/master/csl-citation.json"}</w:instrText>
      </w:r>
      <w:r w:rsidRPr="00753C05">
        <w:rPr>
          <w:color w:val="000000"/>
        </w:rPr>
        <w:fldChar w:fldCharType="separate"/>
      </w:r>
      <w:r w:rsidR="00DF16FF">
        <w:rPr>
          <w:noProof/>
          <w:color w:val="000000"/>
        </w:rPr>
        <w:t xml:space="preserve"> </w:t>
      </w:r>
      <w:r w:rsidR="008A40E1" w:rsidRPr="008A40E1">
        <w:rPr>
          <w:noProof/>
          <w:color w:val="000000"/>
        </w:rPr>
        <w:t>King et al. n.d.)</w:t>
      </w:r>
      <w:r w:rsidRPr="00753C05">
        <w:rPr>
          <w:color w:val="000000"/>
        </w:rPr>
        <w:fldChar w:fldCharType="end"/>
      </w:r>
      <w:commentRangeEnd w:id="10"/>
      <w:r w:rsidR="00DF16FF">
        <w:rPr>
          <w:rStyle w:val="CommentReference"/>
        </w:rPr>
        <w:commentReference w:id="10"/>
      </w:r>
      <w:r w:rsidRPr="00753C05">
        <w:rPr>
          <w:color w:val="000000"/>
        </w:rPr>
        <w:t xml:space="preserve">), we found that the direction of the sexual dimorphism is genotype-dependent (unpublished). </w:t>
      </w:r>
      <w:r w:rsidR="00DF395C">
        <w:rPr>
          <w:color w:val="000000"/>
        </w:rPr>
        <w:t>I</w:t>
      </w:r>
      <w:r w:rsidRPr="00753C05">
        <w:rPr>
          <w:color w:val="000000"/>
        </w:rPr>
        <w:t xml:space="preserve">n some fly lines, females are more susceptible to infection than males, in some lines there is no sexual dimorphism, and in other lines males are more susceptible than females (unpublished). </w:t>
      </w:r>
      <w:r w:rsidR="00DF395C">
        <w:rPr>
          <w:color w:val="000000"/>
        </w:rPr>
        <w:t xml:space="preserve">In these experiments, flies were mated with males and females cohabiting, suggesting that </w:t>
      </w:r>
      <w:r w:rsidRPr="00753C05">
        <w:rPr>
          <w:color w:val="000000"/>
        </w:rPr>
        <w:t xml:space="preserve">sexual dimorphism in immune defense is not caused by </w:t>
      </w:r>
      <w:r w:rsidR="00DF395C">
        <w:rPr>
          <w:color w:val="000000"/>
        </w:rPr>
        <w:t xml:space="preserve">the suppression of immune defense in females due to receiving </w:t>
      </w:r>
      <w:r w:rsidRPr="00753C05">
        <w:rPr>
          <w:color w:val="000000"/>
        </w:rPr>
        <w:t>sex peptide</w:t>
      </w:r>
      <w:r w:rsidR="00DF395C">
        <w:rPr>
          <w:color w:val="000000"/>
        </w:rPr>
        <w:t xml:space="preserve"> during mating</w:t>
      </w:r>
      <w:r w:rsidRPr="00753C05">
        <w:rPr>
          <w:color w:val="000000"/>
        </w:rPr>
        <w:t xml:space="preserve">. </w:t>
      </w:r>
      <w:r w:rsidR="00DF395C">
        <w:rPr>
          <w:color w:val="000000"/>
        </w:rPr>
        <w:t>It is</w:t>
      </w:r>
      <w:r w:rsidRPr="00753C05">
        <w:rPr>
          <w:color w:val="000000"/>
        </w:rPr>
        <w:t xml:space="preserve"> possible that males also experience a mating-immunity trade-off. Indeed, McKean et al.</w:t>
      </w:r>
      <w:r w:rsidR="00DD24A3" w:rsidRPr="00753C05">
        <w:rPr>
          <w:color w:val="000000"/>
        </w:rPr>
        <w:t xml:space="preserve"> (2001)</w:t>
      </w:r>
      <w:r w:rsidR="009E1A83" w:rsidRPr="00753C05">
        <w:rPr>
          <w:color w:val="000000"/>
        </w:rPr>
        <w:t xml:space="preserve"> </w:t>
      </w:r>
      <w:r w:rsidRPr="00753C05">
        <w:rPr>
          <w:color w:val="000000"/>
        </w:rPr>
        <w:t>showed evidence for a trade-off between male sexual activity and male immunity.</w:t>
      </w:r>
    </w:p>
    <w:p w14:paraId="37D3E13E" w14:textId="5D18CCAB" w:rsidR="009D7375" w:rsidRDefault="003E3967" w:rsidP="003C5BAF">
      <w:pPr>
        <w:spacing w:line="480" w:lineRule="auto"/>
        <w:rPr>
          <w:color w:val="000000"/>
        </w:rPr>
      </w:pPr>
      <w:r w:rsidRPr="00753C05">
        <w:rPr>
          <w:color w:val="000000"/>
        </w:rPr>
        <w:tab/>
      </w:r>
      <w:r w:rsidR="009D7375">
        <w:rPr>
          <w:color w:val="000000"/>
        </w:rPr>
        <w:t>Here we</w:t>
      </w:r>
      <w:r w:rsidR="008E47D6">
        <w:rPr>
          <w:color w:val="000000"/>
        </w:rPr>
        <w:t xml:space="preserve"> show that both</w:t>
      </w:r>
      <w:r w:rsidRPr="00753C05">
        <w:rPr>
          <w:color w:val="000000"/>
        </w:rPr>
        <w:t xml:space="preserve"> females and males exhibit a </w:t>
      </w:r>
      <w:r w:rsidR="008E47D6">
        <w:rPr>
          <w:color w:val="000000"/>
        </w:rPr>
        <w:t>tradeoff between mating and post-infection survival.</w:t>
      </w:r>
      <w:r w:rsidR="009D7375">
        <w:rPr>
          <w:color w:val="000000"/>
        </w:rPr>
        <w:t xml:space="preserve"> Flies that mated for 24 hours had worse post-infection survival than virgins, and flies that continuously mated throughout adulthood had even worse survival. Post-infection survival was also sexually dimorphic, </w:t>
      </w:r>
      <w:r w:rsidR="008E47D6">
        <w:rPr>
          <w:color w:val="000000"/>
        </w:rPr>
        <w:t xml:space="preserve">but the direction of this dimorphism depended on mating status; among virgins and flies that mated continuously, females survived better than males, but among flies that mated for only 24 hours prior to infection, females were more susceptible to males. </w:t>
      </w:r>
      <w:r w:rsidR="009D7375">
        <w:rPr>
          <w:color w:val="000000"/>
        </w:rPr>
        <w:t xml:space="preserve">We also show that the direction of sexual dimorphism in post-infection survival depends not only on mating status, but also on fly genotype, fungal strain, and diet. </w:t>
      </w:r>
    </w:p>
    <w:p w14:paraId="11DD26A2" w14:textId="77777777" w:rsidR="009D7375" w:rsidRDefault="009D7375" w:rsidP="003C5BAF">
      <w:pPr>
        <w:spacing w:line="480" w:lineRule="auto"/>
        <w:rPr>
          <w:color w:val="000000"/>
        </w:rPr>
      </w:pPr>
    </w:p>
    <w:p w14:paraId="2C0C2422" w14:textId="77777777" w:rsidR="00EF726B" w:rsidRDefault="00EF726B" w:rsidP="003C5BAF">
      <w:pPr>
        <w:spacing w:line="480" w:lineRule="auto"/>
        <w:rPr>
          <w:b/>
          <w:bCs/>
          <w:color w:val="000000"/>
        </w:rPr>
      </w:pPr>
      <w:r>
        <w:rPr>
          <w:b/>
          <w:bCs/>
          <w:color w:val="000000"/>
        </w:rPr>
        <w:br w:type="page"/>
      </w:r>
    </w:p>
    <w:p w14:paraId="1083E3A3" w14:textId="64EB258B" w:rsidR="003E3967" w:rsidRPr="00753C05" w:rsidRDefault="003E3967" w:rsidP="003C5BAF">
      <w:pPr>
        <w:spacing w:line="480" w:lineRule="auto"/>
        <w:jc w:val="center"/>
        <w:rPr>
          <w:b/>
        </w:rPr>
      </w:pPr>
      <w:r w:rsidRPr="00753C05">
        <w:rPr>
          <w:b/>
          <w:bCs/>
          <w:color w:val="000000"/>
        </w:rPr>
        <w:lastRenderedPageBreak/>
        <w:t>Methods</w:t>
      </w:r>
    </w:p>
    <w:p w14:paraId="2EC09A77" w14:textId="17D31E5A" w:rsidR="003E3967" w:rsidRPr="00753C05" w:rsidRDefault="003E3967" w:rsidP="003C5BAF">
      <w:pPr>
        <w:spacing w:line="480" w:lineRule="auto"/>
        <w:rPr>
          <w:i/>
          <w:u w:val="single"/>
        </w:rPr>
      </w:pPr>
      <w:r w:rsidRPr="00753C05">
        <w:rPr>
          <w:bCs/>
          <w:i/>
          <w:iCs/>
          <w:color w:val="000000"/>
          <w:u w:val="single"/>
        </w:rPr>
        <w:t>Drosophila melanogaster</w:t>
      </w:r>
      <w:r w:rsidRPr="00753C05">
        <w:rPr>
          <w:bCs/>
          <w:i/>
          <w:color w:val="000000"/>
          <w:u w:val="single"/>
        </w:rPr>
        <w:t xml:space="preserve"> </w:t>
      </w:r>
      <w:r w:rsidR="00F25244" w:rsidRPr="00753C05">
        <w:rPr>
          <w:bCs/>
          <w:i/>
          <w:color w:val="000000"/>
          <w:u w:val="single"/>
        </w:rPr>
        <w:t>Population</w:t>
      </w:r>
    </w:p>
    <w:p w14:paraId="4D45A1CD" w14:textId="5B2610EA" w:rsidR="003E3967" w:rsidRPr="00753C05" w:rsidRDefault="00691930" w:rsidP="003C5BAF">
      <w:pPr>
        <w:spacing w:line="480" w:lineRule="auto"/>
        <w:ind w:firstLine="720"/>
      </w:pPr>
      <w:r>
        <w:rPr>
          <w:color w:val="000000"/>
          <w:shd w:val="clear" w:color="auto" w:fill="FFFFFF"/>
        </w:rPr>
        <w:t xml:space="preserve">Ninety-six </w:t>
      </w:r>
      <w:r w:rsidR="003E3967" w:rsidRPr="00753C05">
        <w:rPr>
          <w:i/>
          <w:iCs/>
          <w:color w:val="000000"/>
          <w:shd w:val="clear" w:color="auto" w:fill="FFFFFF"/>
        </w:rPr>
        <w:t>D. melanogaster</w:t>
      </w:r>
      <w:r w:rsidR="003E3967" w:rsidRPr="00753C05">
        <w:rPr>
          <w:color w:val="000000"/>
          <w:shd w:val="clear" w:color="auto" w:fill="FFFFFF"/>
        </w:rPr>
        <w:t xml:space="preserve"> </w:t>
      </w:r>
      <w:proofErr w:type="spellStart"/>
      <w:r>
        <w:rPr>
          <w:color w:val="000000"/>
          <w:shd w:val="clear" w:color="auto" w:fill="FFFFFF"/>
        </w:rPr>
        <w:t>isofemale</w:t>
      </w:r>
      <w:proofErr w:type="spellEnd"/>
      <w:r>
        <w:rPr>
          <w:color w:val="000000"/>
          <w:shd w:val="clear" w:color="auto" w:fill="FFFFFF"/>
        </w:rPr>
        <w:t xml:space="preserve"> lines </w:t>
      </w:r>
      <w:r w:rsidR="003E3967" w:rsidRPr="00753C05">
        <w:rPr>
          <w:color w:val="000000"/>
          <w:shd w:val="clear" w:color="auto" w:fill="FFFFFF"/>
        </w:rPr>
        <w:t>from five geographic areas</w:t>
      </w:r>
      <w:r w:rsidR="009E1A83" w:rsidRPr="00753C05">
        <w:rPr>
          <w:color w:val="000000"/>
          <w:shd w:val="clear" w:color="auto" w:fill="FFFFFF"/>
        </w:rPr>
        <w:t xml:space="preserve"> </w:t>
      </w:r>
      <w:commentRangeStart w:id="11"/>
      <w:r w:rsidR="003E3967" w:rsidRPr="00753C05">
        <w:rPr>
          <w:color w:val="000000"/>
          <w:shd w:val="clear" w:color="auto" w:fill="FFFFFF"/>
        </w:rPr>
        <w:fldChar w:fldCharType="begin" w:fldLock="1"/>
      </w:r>
      <w:r w:rsidR="008A40E1">
        <w:rPr>
          <w:color w:val="000000"/>
          <w:shd w:val="clear" w:color="auto" w:fill="FFFFFF"/>
        </w:rPr>
        <w:instrText>ADDIN CSL_CITATION {"citationItems":[{"id":"ITEM-1","itemData":{"DOI":"10.1534/genetics.110.115055","abstract":"Partial diallel crossing designs are in common use among evolutionary geneticists, as well as among plant and animal breeders. When the goal is to make statements about populations represented by a given set of lines, it is desirable to maximize the number of lines sampled given a set number of crosses among them. We propose an augmented round-robin design that accomplishes this. We develop a hierarchical Bayesian model to estimate quantitative genetic parameters from our scheme. For example, we show how to partition genetic effects into specific and general combining abilities, and the method provides estimates of heritability, dominance, and genetic correlations in the face of complex and unbalanced designs. We test our approach with simulated and real data. We show that although the models slightly overestimate genetic variances, main effects are assessed accurately and precisely. We also illustrate how our approach allows the construction of posterior distributions of combinations of parameters by calculating narrow-sense heritability and a genetic correlation between activities of two enzymes.","author":[{"dropping-particle":"","family":"Greenberg","given":"Anthony J","non-dropping-particle":"","parse-names":false,"suffix":""},{"dropping-particle":"","family":"Hackett","given":"Sean R","non-dropping-particle":"","parse-names":false,"suffix":""},{"dropping-particle":"","family":"Harshman","given":"Lawrence G","non-dropping-particle":"","parse-names":false,"suffix":""},{"dropping-particle":"","family":"Clark","given":"Andrew G","non-dropping-particle":"","parse-names":false,"suffix":""}],"id":"ITEM-1","issued":{"date-parts":[["0"]]},"title":"A Hierarchical Bayesian Model for a Novel Sparse Partial Diallel Crossing Design","type":"article-journal"},"uris":["http://www.mendeley.com/documents/?uuid=e279a145-c5b8-39a7-8348-e5f2bab314a5"]}],"mendeley":{"formattedCitation":"(Greenberg et al. n.d.)"},"properties":{"noteIndex":0},"schema":"https://github.com/citation-style-language/schema/raw/master/csl-citation.json"}</w:instrText>
      </w:r>
      <w:r w:rsidR="003E3967" w:rsidRPr="00753C05">
        <w:rPr>
          <w:color w:val="000000"/>
          <w:shd w:val="clear" w:color="auto" w:fill="FFFFFF"/>
        </w:rPr>
        <w:fldChar w:fldCharType="separate"/>
      </w:r>
      <w:r w:rsidR="008A40E1" w:rsidRPr="008A40E1">
        <w:rPr>
          <w:noProof/>
          <w:color w:val="000000"/>
          <w:shd w:val="clear" w:color="auto" w:fill="FFFFFF"/>
        </w:rPr>
        <w:t>(Greenberg et al. n.d.)</w:t>
      </w:r>
      <w:r w:rsidR="003E3967" w:rsidRPr="00753C05">
        <w:rPr>
          <w:color w:val="000000"/>
          <w:shd w:val="clear" w:color="auto" w:fill="FFFFFF"/>
        </w:rPr>
        <w:fldChar w:fldCharType="end"/>
      </w:r>
      <w:commentRangeEnd w:id="11"/>
      <w:r w:rsidR="00933D01">
        <w:rPr>
          <w:rStyle w:val="CommentReference"/>
        </w:rPr>
        <w:commentReference w:id="11"/>
      </w:r>
      <w:r>
        <w:rPr>
          <w:color w:val="000000"/>
          <w:shd w:val="clear" w:color="auto" w:fill="FFFFFF"/>
        </w:rPr>
        <w:t xml:space="preserve">, </w:t>
      </w:r>
      <w:r w:rsidR="003E3967" w:rsidRPr="00753C05">
        <w:rPr>
          <w:color w:val="000000"/>
          <w:shd w:val="clear" w:color="auto" w:fill="FFFFFF"/>
        </w:rPr>
        <w:t>Beijing</w:t>
      </w:r>
      <w:r w:rsidR="000F2A63">
        <w:rPr>
          <w:color w:val="000000"/>
          <w:shd w:val="clear" w:color="auto" w:fill="FFFFFF"/>
        </w:rPr>
        <w:t xml:space="preserve"> </w:t>
      </w:r>
      <w:commentRangeStart w:id="12"/>
      <w:r w:rsidR="003E3967" w:rsidRPr="00753C05">
        <w:rPr>
          <w:color w:val="000000"/>
          <w:shd w:val="clear" w:color="auto" w:fill="FFFFFF"/>
        </w:rPr>
        <w:fldChar w:fldCharType="begin" w:fldLock="1"/>
      </w:r>
      <w:r w:rsidR="008A40E1">
        <w:rPr>
          <w:color w:val="000000"/>
          <w:shd w:val="clear" w:color="auto" w:fill="FFFFFF"/>
        </w:rPr>
        <w:instrText>ADDIN CSL_CITATION {"citationItems":[{"id":"ITEM-1","itemData":{"abstract":"We surveyed nucleotide variation at vermilion in population samples of Drosophila melunoguster from Africa, Asia and the Americas to test the hypothesis that the vermilion gene was a target of balancing selection and to improve our understanding of geographic differentiation. Patterns of polymorphism and divergence showed no evidence for non-neutral evolution. However, the frequency spectrum of polymorphic sites in some non-African samples departed from the neutral equilibrium expectation. Furthermore, there were high levels of linkage disequilibrium in non-African samples, despite apparently high rates of crossing over in the vermilion region. In the absence of comparable data from other loci in these same population samples, we cannot determine whether the unusual patterns of variation at vermilion reflect demographic as opposed to locus-specific events. We found surprisingly high levels of differentiation at vermilion between U S. and Congo samples of D. simuluns. In light of previously published allozyme and mtDNA data that provided no evidence for significant differentiation between African and non-African D. simuluns populations, the vermilion data raise the possibility that both mtDNA and allozymes have been influenced by selection. I N a paper documenting genetic differentiation between Zimbabwe and U.S. populations of Drosophila melanogaster (BEGUN and AQUADRO 1993), we reported results from four-cutter restriction site variation at ver-milion, the gene for tryptophan oxygenase (also known as tryptophan pyrolase). This protein, which is required for production of eye pigment (PHILLIPS and FORREST 1980), was selected for our four-cutter survey because it experiences moderate to high recombination and because the size of the region and the availability of sequence information from 5'-flanking, coding, and 3'-flanking DNA (SEARLES et al. 1990) made it wellsuited for four-cutter analysis. The distribution of variation at vermilion struck us as being quite unusual. As we describe below, the restriction site data showed that the protein-coding portion of the gene was about as variable as the noncoding portion. This is counter to the expectation (under neutrality) that higher degrees of functional constraint should result in less polymorphism in proteincoding than in noncoding DNA. Furthermore, much of the variation in the protein-coding region was located in the largest exon of vermilion, which accounts for about half the protein. The patterns of DNA…","author":[{"dropping-particle":"","family":"Begun","given":"David J","non-dropping-particle":"","parse-names":false,"suffix":""},{"dropping-particle":"","family":"Aquadro","given":"Charles F","non-dropping-particle":"","parse-names":false,"suffix":""},{"dropping-particle":"","family":"Begun","given":"David","non-dropping-particle":"","parse-names":false,"suffix":""}],"id":"ITEM-1","issued":{"date-parts":[["1995"]]},"title":"Molecular Variation at the vermilion Locus in Geographically Diverse Populations of Drosophila melanogaster and D. simulans","type":"report"},"uris":["http://www.mendeley.com/documents/?uuid=c0e7e874-9047-3359-8fc7-3dfc960565f1"]}],"mendeley":{"formattedCitation":"(Begun, Aquadro, and Begun 1995)","plainTextFormattedCitation":"(Begun, Aquadro, and Begun 1995)","previouslyFormattedCitation":"(Begun, Aquadro, &amp; Begun, 1995)"},"properties":{"noteIndex":0},"schema":"https://github.com/citation-style-language/schema/raw/master/csl-citation.json"}</w:instrText>
      </w:r>
      <w:r w:rsidR="003E3967" w:rsidRPr="00753C05">
        <w:rPr>
          <w:color w:val="000000"/>
          <w:shd w:val="clear" w:color="auto" w:fill="FFFFFF"/>
        </w:rPr>
        <w:fldChar w:fldCharType="separate"/>
      </w:r>
      <w:r w:rsidR="008A40E1" w:rsidRPr="008A40E1">
        <w:rPr>
          <w:noProof/>
          <w:color w:val="000000"/>
          <w:shd w:val="clear" w:color="auto" w:fill="FFFFFF"/>
        </w:rPr>
        <w:t>(Begun, Aquadro, and Begun 1995)</w:t>
      </w:r>
      <w:r w:rsidR="003E3967" w:rsidRPr="00753C05">
        <w:rPr>
          <w:color w:val="000000"/>
          <w:shd w:val="clear" w:color="auto" w:fill="FFFFFF"/>
        </w:rPr>
        <w:fldChar w:fldCharType="end"/>
      </w:r>
      <w:commentRangeEnd w:id="12"/>
      <w:r w:rsidR="000F2A63">
        <w:rPr>
          <w:rStyle w:val="CommentReference"/>
        </w:rPr>
        <w:commentReference w:id="12"/>
      </w:r>
      <w:r w:rsidR="003E3967" w:rsidRPr="00753C05">
        <w:rPr>
          <w:color w:val="000000"/>
          <w:shd w:val="clear" w:color="auto" w:fill="FFFFFF"/>
        </w:rPr>
        <w:t>, Netherlands</w:t>
      </w:r>
      <w:r w:rsidR="009E1A83" w:rsidRPr="00753C05">
        <w:rPr>
          <w:color w:val="000000"/>
          <w:shd w:val="clear" w:color="auto" w:fill="FFFFFF"/>
        </w:rPr>
        <w:t xml:space="preserve"> </w:t>
      </w:r>
      <w:r w:rsidR="003E3967" w:rsidRPr="00753C05">
        <w:rPr>
          <w:color w:val="000000"/>
          <w:shd w:val="clear" w:color="auto" w:fill="FFFFFF"/>
        </w:rPr>
        <w:fldChar w:fldCharType="begin" w:fldLock="1"/>
      </w:r>
      <w:r w:rsidR="008A40E1">
        <w:rPr>
          <w:color w:val="000000"/>
          <w:shd w:val="clear" w:color="auto" w:fill="FFFFFF"/>
        </w:rPr>
        <w:instrText>ADDIN CSL_CITATION {"citationItems":[{"id":"ITEM-1","itemData":{"DOI":"10.1046/j.1420-9101.2003.00621.x","ISSN":"1010-061X","author":[{"dropping-particle":"","family":"Bochdanovits","given":"Z.","non-dropping-particle":"","parse-names":false,"suffix":""},{"dropping-particle":"","family":"Jong","given":"G.","non-dropping-particle":"","parse-names":false,"suffix":""}],"container-title":"Journal of Evolutionary Biology","id":"ITEM-1","issue":"6","issued":{"date-parts":[["2003","11","1"]]},"page":"1159-1167","publisher":"John Wiley &amp; Sons, Ltd (10.1111)","title":"Temperature dependent larval resource allocation shaping adult body size in Drosophila melanogaster","type":"article-journal","volume":"16"},"uris":["http://www.mendeley.com/documents/?uuid=64701452-9059-3463-b03a-162236d39c9a"]}],"mendeley":{"formattedCitation":"(Bochdanovits and Jong 2003)","plainTextFormattedCitation":"(Bochdanovits and Jong 2003)","previouslyFormattedCitation":"(Bochdanovits &amp; Jong, 2003)"},"properties":{"noteIndex":0},"schema":"https://github.com/citation-style-language/schema/raw/master/csl-citation.json"}</w:instrText>
      </w:r>
      <w:r w:rsidR="003E3967" w:rsidRPr="00753C05">
        <w:rPr>
          <w:color w:val="000000"/>
          <w:shd w:val="clear" w:color="auto" w:fill="FFFFFF"/>
        </w:rPr>
        <w:fldChar w:fldCharType="separate"/>
      </w:r>
      <w:r w:rsidR="008A40E1" w:rsidRPr="008A40E1">
        <w:rPr>
          <w:noProof/>
          <w:color w:val="000000"/>
          <w:shd w:val="clear" w:color="auto" w:fill="FFFFFF"/>
        </w:rPr>
        <w:t>(Bochdanovits and Jong 2003)</w:t>
      </w:r>
      <w:r w:rsidR="003E3967" w:rsidRPr="00753C05">
        <w:rPr>
          <w:color w:val="000000"/>
          <w:shd w:val="clear" w:color="auto" w:fill="FFFFFF"/>
        </w:rPr>
        <w:fldChar w:fldCharType="end"/>
      </w:r>
      <w:r w:rsidR="003E3967" w:rsidRPr="00753C05">
        <w:rPr>
          <w:color w:val="000000"/>
          <w:shd w:val="clear" w:color="auto" w:fill="FFFFFF"/>
        </w:rPr>
        <w:t>, Ithaca NY, Tasmania, and Zimbabwe</w:t>
      </w:r>
      <w:r w:rsidR="009E1A83" w:rsidRPr="00753C05">
        <w:rPr>
          <w:color w:val="000000"/>
          <w:shd w:val="clear" w:color="auto" w:fill="FFFFFF"/>
        </w:rPr>
        <w:t xml:space="preserve"> </w:t>
      </w:r>
      <w:r w:rsidR="003E3967" w:rsidRPr="00753C05">
        <w:rPr>
          <w:color w:val="000000"/>
          <w:shd w:val="clear" w:color="auto" w:fill="FFFFFF"/>
        </w:rPr>
        <w:fldChar w:fldCharType="begin" w:fldLock="1"/>
      </w:r>
      <w:r w:rsidR="008A40E1">
        <w:rPr>
          <w:color w:val="000000"/>
          <w:shd w:val="clear" w:color="auto" w:fill="FFFFFF"/>
        </w:rPr>
        <w:instrText>ADDIN CSL_CITATION {"citationItems":[{"id":"ITEM-1","itemData":{"DOI":"10.1038/365548a0","ISSN":"0028-0836","abstract":"UNDERSTANDING genetic evolution within species requires an accurate description of variation within and between populations and the ability to distinguish between the potential causes of an observed distribution of variation. In the cosmopolitan species Drosophila melanogaster, previous studies suggested that gene flow within and between continents is extensive1 and that most of the nuclear gene variation is found within, rather than among, populations2,3. Here we present evidence that a population from Zimbabwe is more than twice as variable as those from the United States of America at the DNA sequence level, that most variants are not shared between the two geographic regions, and that there are nearly fixed differences between the Zimbabwe and USA samples in genomic regions experiencing low recombination rates. It appears that there is an unappreciated degree of population structure in D. melanogaster and that equilibrium models of molecular evolution are inappropriate for this species.","author":[{"dropping-particle":"","family":"Begun","given":"David J.","non-dropping-particle":"","parse-names":false,"suffix":""},{"dropping-particle":"","family":"Aquadro","given":"Charles F.","non-dropping-particle":"","parse-names":false,"suffix":""}],"container-title":"Nature","id":"ITEM-1","issue":"6446","issued":{"date-parts":[["1993","10"]]},"page":"548-550","publisher":"Nature Publishing Group","title":"African and North American populations of Drosophila melanogaster are very different at the DNA level","type":"article-journal","volume":"365"},"uris":["http://www.mendeley.com/documents/?uuid=526d4a91-4c71-3057-a9e6-355d5bf935c3"]}],"mendeley":{"formattedCitation":"(Begun and Aquadro 1993)","plainTextFormattedCitation":"(Begun and Aquadro 1993)","previouslyFormattedCitation":"(Begun &amp; Aquadro, 1993)"},"properties":{"noteIndex":0},"schema":"https://github.com/citation-style-language/schema/raw/master/csl-citation.json"}</w:instrText>
      </w:r>
      <w:r w:rsidR="003E3967" w:rsidRPr="00753C05">
        <w:rPr>
          <w:color w:val="000000"/>
          <w:shd w:val="clear" w:color="auto" w:fill="FFFFFF"/>
        </w:rPr>
        <w:fldChar w:fldCharType="separate"/>
      </w:r>
      <w:r w:rsidR="008A40E1" w:rsidRPr="008A40E1">
        <w:rPr>
          <w:noProof/>
          <w:color w:val="000000"/>
          <w:shd w:val="clear" w:color="auto" w:fill="FFFFFF"/>
        </w:rPr>
        <w:t>(Begun and Aquadro 1993)</w:t>
      </w:r>
      <w:r w:rsidR="003E3967" w:rsidRPr="00753C05">
        <w:rPr>
          <w:color w:val="000000"/>
          <w:shd w:val="clear" w:color="auto" w:fill="FFFFFF"/>
        </w:rPr>
        <w:fldChar w:fldCharType="end"/>
      </w:r>
      <w:r>
        <w:rPr>
          <w:color w:val="000000"/>
          <w:shd w:val="clear" w:color="auto" w:fill="FFFFFF"/>
        </w:rPr>
        <w:t xml:space="preserve">, </w:t>
      </w:r>
      <w:r w:rsidR="003E3967" w:rsidRPr="00753C05">
        <w:rPr>
          <w:color w:val="000000"/>
          <w:shd w:val="clear" w:color="auto" w:fill="FFFFFF"/>
        </w:rPr>
        <w:t>were round-robin crossed</w:t>
      </w:r>
      <w:r w:rsidR="009E26C0">
        <w:rPr>
          <w:color w:val="000000"/>
          <w:shd w:val="clear" w:color="auto" w:fill="FFFFFF"/>
        </w:rPr>
        <w:t xml:space="preserve">, </w:t>
      </w:r>
      <w:r w:rsidR="003E3967" w:rsidRPr="00753C05">
        <w:rPr>
          <w:color w:val="000000"/>
          <w:shd w:val="clear" w:color="auto" w:fill="FFFFFF"/>
        </w:rPr>
        <w:t xml:space="preserve">first per population, then across populations, </w:t>
      </w:r>
      <w:r w:rsidR="004A0239">
        <w:rPr>
          <w:color w:val="000000"/>
          <w:shd w:val="clear" w:color="auto" w:fill="FFFFFF"/>
        </w:rPr>
        <w:t>making a genetically diverse population</w:t>
      </w:r>
      <w:r w:rsidR="003E3967" w:rsidRPr="00753C05">
        <w:rPr>
          <w:color w:val="000000"/>
          <w:shd w:val="clear" w:color="auto" w:fill="FFFFFF"/>
        </w:rPr>
        <w:t xml:space="preserve">. We obtained the resulting </w:t>
      </w:r>
      <w:proofErr w:type="spellStart"/>
      <w:r w:rsidR="003E3967" w:rsidRPr="00753C05">
        <w:rPr>
          <w:color w:val="000000"/>
          <w:shd w:val="clear" w:color="auto" w:fill="FFFFFF"/>
        </w:rPr>
        <w:t>megapopulation</w:t>
      </w:r>
      <w:proofErr w:type="spellEnd"/>
      <w:r w:rsidR="003E3967" w:rsidRPr="00753C05">
        <w:rPr>
          <w:color w:val="000000"/>
          <w:shd w:val="clear" w:color="auto" w:fill="FFFFFF"/>
        </w:rPr>
        <w:t xml:space="preserve"> from the laboratory of Andy Clark at Cornell University. We then maintained a large population, named Population C3, with non-overlapping 14-day generations at population size of 2,000 flies </w:t>
      </w:r>
      <w:r>
        <w:rPr>
          <w:color w:val="000000"/>
          <w:shd w:val="clear" w:color="auto" w:fill="FFFFFF"/>
        </w:rPr>
        <w:t>at</w:t>
      </w:r>
      <w:r w:rsidR="003E3967" w:rsidRPr="00753C05">
        <w:rPr>
          <w:color w:val="000000"/>
          <w:shd w:val="clear" w:color="auto" w:fill="FFFFFF"/>
        </w:rPr>
        <w:t xml:space="preserve"> ~25</w:t>
      </w:r>
      <w:r w:rsidR="001C3736" w:rsidRPr="00753C05">
        <w:rPr>
          <w:color w:val="000000"/>
          <w:shd w:val="clear" w:color="auto" w:fill="FFFFFF"/>
        </w:rPr>
        <w:t xml:space="preserve">° </w:t>
      </w:r>
      <w:r w:rsidR="003E3967" w:rsidRPr="00753C05">
        <w:rPr>
          <w:color w:val="000000"/>
          <w:shd w:val="clear" w:color="auto" w:fill="FFFFFF"/>
        </w:rPr>
        <w:t xml:space="preserve">C, 12h light:12h dark cycles. </w:t>
      </w:r>
      <w:r w:rsidR="003E3967" w:rsidRPr="00753C05">
        <w:rPr>
          <w:color w:val="000000"/>
        </w:rPr>
        <w:t>For the past 72 generations, population</w:t>
      </w:r>
      <w:r w:rsidR="004A0239">
        <w:rPr>
          <w:color w:val="000000"/>
        </w:rPr>
        <w:t xml:space="preserve"> C3</w:t>
      </w:r>
      <w:r w:rsidR="003E3967" w:rsidRPr="00753C05">
        <w:rPr>
          <w:color w:val="000000"/>
        </w:rPr>
        <w:t xml:space="preserve"> was maintained on a </w:t>
      </w:r>
      <w:r w:rsidR="0008490D">
        <w:rPr>
          <w:color w:val="000000"/>
        </w:rPr>
        <w:t>Cornmeal</w:t>
      </w:r>
      <w:r w:rsidR="003E3967" w:rsidRPr="00753C05">
        <w:rPr>
          <w:color w:val="000000"/>
        </w:rPr>
        <w:t xml:space="preserve"> diet (12 g/L agar, 29 g/L yeast, 0.710 g/L cornmeal and 0.092 g/L molasses) and prior to that </w:t>
      </w:r>
      <w:r w:rsidR="000F2A63">
        <w:rPr>
          <w:color w:val="000000"/>
        </w:rPr>
        <w:t>it was</w:t>
      </w:r>
      <w:r w:rsidR="003E3967" w:rsidRPr="00753C05">
        <w:rPr>
          <w:color w:val="000000"/>
        </w:rPr>
        <w:t xml:space="preserve"> maintained on a </w:t>
      </w:r>
      <w:r w:rsidR="0008490D">
        <w:rPr>
          <w:color w:val="000000"/>
        </w:rPr>
        <w:t>Glucose</w:t>
      </w:r>
      <w:r w:rsidR="003E3967" w:rsidRPr="00753C05">
        <w:rPr>
          <w:color w:val="000000"/>
        </w:rPr>
        <w:t xml:space="preserve"> diet (100g/L yeast, 100g/L glucose, 1% Drosophila agar). </w:t>
      </w:r>
      <w:r w:rsidR="008F4C44">
        <w:rPr>
          <w:color w:val="000000"/>
        </w:rPr>
        <w:t xml:space="preserve">At the start of each experiment, flies were reared at densities of 60-80 eggs per vial on </w:t>
      </w:r>
      <w:r w:rsidR="0008490D">
        <w:rPr>
          <w:color w:val="000000"/>
        </w:rPr>
        <w:t>Cornmeal</w:t>
      </w:r>
      <w:r w:rsidR="008F4C44">
        <w:rPr>
          <w:color w:val="000000"/>
        </w:rPr>
        <w:t xml:space="preserve"> diet. </w:t>
      </w:r>
    </w:p>
    <w:p w14:paraId="0A7EE790" w14:textId="77777777" w:rsidR="00CB3B43" w:rsidRDefault="00CB3B43" w:rsidP="00CB3B43">
      <w:pPr>
        <w:spacing w:line="480" w:lineRule="auto"/>
        <w:rPr>
          <w:bCs/>
          <w:i/>
          <w:color w:val="000000"/>
          <w:u w:val="single"/>
        </w:rPr>
      </w:pPr>
    </w:p>
    <w:p w14:paraId="13B1ED9C" w14:textId="4A7F236D" w:rsidR="00CB3B43" w:rsidRPr="00753C05" w:rsidRDefault="00CB3B43" w:rsidP="00CB3B43">
      <w:pPr>
        <w:spacing w:line="480" w:lineRule="auto"/>
        <w:rPr>
          <w:i/>
          <w:color w:val="000000"/>
        </w:rPr>
      </w:pPr>
      <w:r w:rsidRPr="00753C05">
        <w:rPr>
          <w:bCs/>
          <w:i/>
          <w:color w:val="000000"/>
          <w:u w:val="single"/>
        </w:rPr>
        <w:t>Fungal Pathogen</w:t>
      </w:r>
      <w:r w:rsidRPr="00753C05">
        <w:rPr>
          <w:i/>
          <w:color w:val="000000"/>
        </w:rPr>
        <w:t xml:space="preserve"> </w:t>
      </w:r>
    </w:p>
    <w:p w14:paraId="2BF531DF" w14:textId="3AB1A7DC" w:rsidR="00CB3B43" w:rsidRDefault="00CB3B43" w:rsidP="00CB3B43">
      <w:pPr>
        <w:spacing w:line="480" w:lineRule="auto"/>
        <w:ind w:firstLine="720"/>
        <w:rPr>
          <w:color w:val="000000"/>
        </w:rPr>
      </w:pPr>
      <w:r w:rsidRPr="00753C05">
        <w:rPr>
          <w:color w:val="000000"/>
        </w:rPr>
        <w:t xml:space="preserve">Two strains of the entomopathogenic fungus </w:t>
      </w:r>
      <w:r w:rsidRPr="00753C05">
        <w:rPr>
          <w:i/>
          <w:iCs/>
          <w:color w:val="000000"/>
        </w:rPr>
        <w:t xml:space="preserve">Beauveria </w:t>
      </w:r>
      <w:proofErr w:type="spellStart"/>
      <w:r w:rsidRPr="00753C05">
        <w:rPr>
          <w:i/>
          <w:iCs/>
          <w:color w:val="000000"/>
        </w:rPr>
        <w:t>bassiana</w:t>
      </w:r>
      <w:proofErr w:type="spellEnd"/>
      <w:r w:rsidRPr="00753C05">
        <w:rPr>
          <w:i/>
          <w:iCs/>
          <w:color w:val="000000"/>
        </w:rPr>
        <w:t xml:space="preserve"> </w:t>
      </w:r>
      <w:r w:rsidRPr="00753C05">
        <w:rPr>
          <w:color w:val="000000"/>
        </w:rPr>
        <w:t>were used</w:t>
      </w:r>
      <w:r w:rsidR="00A77348">
        <w:rPr>
          <w:color w:val="000000"/>
        </w:rPr>
        <w:t xml:space="preserve">: </w:t>
      </w:r>
      <w:r w:rsidRPr="00753C05">
        <w:rPr>
          <w:color w:val="000000"/>
        </w:rPr>
        <w:t>ARSEF 12460 (USDA Agricultural Research Service Collection of Entomopathogenic Fungi, Ithaca, NY)</w:t>
      </w:r>
      <w:r w:rsidR="00A77348">
        <w:rPr>
          <w:color w:val="000000"/>
        </w:rPr>
        <w:t>, which</w:t>
      </w:r>
      <w:r w:rsidRPr="00753C05">
        <w:rPr>
          <w:color w:val="000000"/>
        </w:rPr>
        <w:t xml:space="preserve"> was isolated from one </w:t>
      </w:r>
      <w:r w:rsidRPr="00753C05">
        <w:rPr>
          <w:i/>
          <w:iCs/>
          <w:color w:val="000000"/>
        </w:rPr>
        <w:t>Drosophila melanogaster</w:t>
      </w:r>
      <w:r w:rsidRPr="00753C05">
        <w:rPr>
          <w:color w:val="000000"/>
        </w:rPr>
        <w:t xml:space="preserve"> that was infected with ARSEF 8246 (which itself was isolated from the </w:t>
      </w:r>
      <w:proofErr w:type="spellStart"/>
      <w:r w:rsidRPr="00753C05">
        <w:rPr>
          <w:color w:val="000000"/>
        </w:rPr>
        <w:t>shorefly</w:t>
      </w:r>
      <w:proofErr w:type="spellEnd"/>
      <w:r w:rsidRPr="00753C05">
        <w:rPr>
          <w:color w:val="000000"/>
        </w:rPr>
        <w:t xml:space="preserve">, </w:t>
      </w:r>
      <w:proofErr w:type="spellStart"/>
      <w:r w:rsidRPr="00753C05">
        <w:rPr>
          <w:i/>
          <w:iCs/>
          <w:color w:val="000000"/>
        </w:rPr>
        <w:t>Scatella</w:t>
      </w:r>
      <w:proofErr w:type="spellEnd"/>
      <w:r w:rsidRPr="00753C05">
        <w:rPr>
          <w:i/>
          <w:iCs/>
          <w:color w:val="000000"/>
        </w:rPr>
        <w:t xml:space="preserve"> </w:t>
      </w:r>
      <w:proofErr w:type="spellStart"/>
      <w:r w:rsidRPr="00753C05">
        <w:rPr>
          <w:i/>
          <w:iCs/>
          <w:color w:val="000000"/>
        </w:rPr>
        <w:t>tenuicosta</w:t>
      </w:r>
      <w:proofErr w:type="spellEnd"/>
      <w:r w:rsidRPr="00753C05">
        <w:rPr>
          <w:color w:val="000000"/>
        </w:rPr>
        <w:t>)</w:t>
      </w:r>
      <w:r w:rsidR="00A77348">
        <w:rPr>
          <w:color w:val="000000"/>
        </w:rPr>
        <w:t xml:space="preserve">, and </w:t>
      </w:r>
      <w:r w:rsidRPr="00753C05">
        <w:rPr>
          <w:color w:val="000000"/>
        </w:rPr>
        <w:t>GHA</w:t>
      </w:r>
      <w:r w:rsidR="00A77348">
        <w:rPr>
          <w:color w:val="000000"/>
        </w:rPr>
        <w:t>, which</w:t>
      </w:r>
      <w:r w:rsidRPr="00753C05">
        <w:rPr>
          <w:color w:val="000000"/>
        </w:rPr>
        <w:t xml:space="preserve"> was obtained from </w:t>
      </w:r>
      <w:proofErr w:type="spellStart"/>
      <w:r w:rsidRPr="00753C05">
        <w:rPr>
          <w:color w:val="000000"/>
          <w:shd w:val="clear" w:color="auto" w:fill="FFFFFF"/>
        </w:rPr>
        <w:t>Mycotech</w:t>
      </w:r>
      <w:proofErr w:type="spellEnd"/>
      <w:r w:rsidRPr="00753C05">
        <w:rPr>
          <w:color w:val="000000"/>
          <w:shd w:val="clear" w:color="auto" w:fill="FFFFFF"/>
        </w:rPr>
        <w:t xml:space="preserve">, Inc. (now </w:t>
      </w:r>
      <w:proofErr w:type="spellStart"/>
      <w:r w:rsidRPr="00753C05">
        <w:rPr>
          <w:color w:val="000000"/>
          <w:shd w:val="clear" w:color="auto" w:fill="FFFFFF"/>
        </w:rPr>
        <w:t>Bioworks</w:t>
      </w:r>
      <w:proofErr w:type="spellEnd"/>
      <w:r w:rsidRPr="00753C05">
        <w:rPr>
          <w:color w:val="000000"/>
          <w:shd w:val="clear" w:color="auto" w:fill="FFFFFF"/>
        </w:rPr>
        <w:t>, Inc., Victor NY, lot number TGA1-96-06B)</w:t>
      </w:r>
      <w:r w:rsidRPr="00753C05">
        <w:rPr>
          <w:color w:val="000000"/>
        </w:rPr>
        <w:t xml:space="preserve">. Fungal spores were stored at -4° C. </w:t>
      </w:r>
      <w:r w:rsidR="00A77348">
        <w:rPr>
          <w:color w:val="000000"/>
        </w:rPr>
        <w:t xml:space="preserve">Prior to use, spores </w:t>
      </w:r>
      <w:proofErr w:type="gramStart"/>
      <w:r w:rsidR="00A77348">
        <w:rPr>
          <w:color w:val="000000"/>
        </w:rPr>
        <w:t>were allowed to</w:t>
      </w:r>
      <w:proofErr w:type="gramEnd"/>
      <w:r w:rsidR="00A77348">
        <w:rPr>
          <w:color w:val="000000"/>
        </w:rPr>
        <w:t xml:space="preserve"> warm to room temperature. </w:t>
      </w:r>
    </w:p>
    <w:p w14:paraId="58684874" w14:textId="2AC303C8" w:rsidR="00CB3B43" w:rsidRDefault="00CB3B43" w:rsidP="00CB3B43">
      <w:pPr>
        <w:spacing w:line="480" w:lineRule="auto"/>
        <w:ind w:firstLine="720"/>
        <w:rPr>
          <w:color w:val="000000"/>
        </w:rPr>
      </w:pPr>
    </w:p>
    <w:p w14:paraId="4C93187A" w14:textId="77777777" w:rsidR="00CB3B43" w:rsidRPr="00753C05" w:rsidRDefault="00CB3B43" w:rsidP="00CB3B43">
      <w:pPr>
        <w:spacing w:line="480" w:lineRule="auto"/>
        <w:rPr>
          <w:i/>
          <w:u w:val="single"/>
        </w:rPr>
      </w:pPr>
      <w:r w:rsidRPr="00753C05">
        <w:rPr>
          <w:bCs/>
          <w:i/>
          <w:color w:val="000000"/>
          <w:u w:val="single"/>
        </w:rPr>
        <w:t>Fungal Inoculation by Spray</w:t>
      </w:r>
    </w:p>
    <w:p w14:paraId="3F7F3D65" w14:textId="28F1C72D" w:rsidR="00CB3B43" w:rsidRDefault="00836101" w:rsidP="00CB3B43">
      <w:pPr>
        <w:spacing w:line="480" w:lineRule="auto"/>
        <w:ind w:firstLine="720"/>
        <w:rPr>
          <w:color w:val="000000"/>
        </w:rPr>
      </w:pPr>
      <w:r>
        <w:rPr>
          <w:color w:val="000000"/>
        </w:rPr>
        <w:t>Flies were briefly anesthetized with CO</w:t>
      </w:r>
      <w:r w:rsidRPr="00836101">
        <w:rPr>
          <w:color w:val="000000"/>
          <w:vertAlign w:val="subscript"/>
        </w:rPr>
        <w:t>2</w:t>
      </w:r>
      <w:r>
        <w:rPr>
          <w:color w:val="000000"/>
        </w:rPr>
        <w:t xml:space="preserve"> and then moved onto Petri dishes placed on ice to maintain anesthesia while they were </w:t>
      </w:r>
      <w:r w:rsidR="00CB3B43" w:rsidRPr="00753C05">
        <w:rPr>
          <w:color w:val="000000"/>
        </w:rPr>
        <w:t xml:space="preserve">sprayed </w:t>
      </w:r>
      <w:r>
        <w:rPr>
          <w:color w:val="000000"/>
        </w:rPr>
        <w:t xml:space="preserve">either with 5mL of a control fungal-free suspension of 0.03% </w:t>
      </w:r>
      <w:proofErr w:type="spellStart"/>
      <w:r>
        <w:rPr>
          <w:color w:val="000000"/>
        </w:rPr>
        <w:t>Silwet</w:t>
      </w:r>
      <w:proofErr w:type="spellEnd"/>
      <w:r>
        <w:rPr>
          <w:color w:val="000000"/>
        </w:rPr>
        <w:t xml:space="preserve"> in autoclaved DI water, or with 5mL of a fungal suspension of 0</w:t>
      </w:r>
      <w:r w:rsidRPr="00753C05">
        <w:rPr>
          <w:color w:val="000000"/>
        </w:rPr>
        <w:t xml:space="preserve">.3g of </w:t>
      </w:r>
      <w:r w:rsidRPr="00753C05">
        <w:rPr>
          <w:i/>
          <w:iCs/>
          <w:color w:val="000000"/>
        </w:rPr>
        <w:t xml:space="preserve">Beauveria </w:t>
      </w:r>
      <w:proofErr w:type="spellStart"/>
      <w:r w:rsidRPr="00753C05">
        <w:rPr>
          <w:i/>
          <w:iCs/>
          <w:color w:val="000000"/>
        </w:rPr>
        <w:t>bassiana</w:t>
      </w:r>
      <w:proofErr w:type="spellEnd"/>
      <w:r w:rsidRPr="00753C05">
        <w:rPr>
          <w:color w:val="000000"/>
        </w:rPr>
        <w:t xml:space="preserve"> spores (either ARSEF 12460 or GHA) </w:t>
      </w:r>
      <w:r>
        <w:rPr>
          <w:color w:val="000000"/>
        </w:rPr>
        <w:t>suspended</w:t>
      </w:r>
      <w:r w:rsidRPr="00753C05">
        <w:rPr>
          <w:color w:val="000000"/>
        </w:rPr>
        <w:t xml:space="preserve"> in 25 mL of 0.03% </w:t>
      </w:r>
      <w:proofErr w:type="spellStart"/>
      <w:r w:rsidRPr="00753C05">
        <w:rPr>
          <w:color w:val="000000"/>
        </w:rPr>
        <w:t>Silwet</w:t>
      </w:r>
      <w:proofErr w:type="spellEnd"/>
      <w:r w:rsidRPr="00753C05">
        <w:rPr>
          <w:color w:val="000000"/>
        </w:rPr>
        <w:t xml:space="preserve"> (Plant media, a division of bio world)</w:t>
      </w:r>
      <w:r>
        <w:rPr>
          <w:color w:val="000000"/>
        </w:rPr>
        <w:t xml:space="preserve">. Sprays were done using </w:t>
      </w:r>
      <w:r w:rsidR="00CB3B43" w:rsidRPr="00753C05">
        <w:rPr>
          <w:color w:val="000000"/>
        </w:rPr>
        <w:t xml:space="preserve">a custom-built spray tower </w:t>
      </w:r>
      <w:r w:rsidR="00CB3B43" w:rsidRPr="00753C05">
        <w:rPr>
          <w:color w:val="000000"/>
        </w:rPr>
        <w:fldChar w:fldCharType="begin" w:fldLock="1"/>
      </w:r>
      <w:r w:rsidR="00CB3B43">
        <w:rPr>
          <w:color w:val="000000"/>
        </w:rPr>
        <w:instrText>ADDIN CSL_CITATION {"citationItems":[{"id":"ITEM-1","itemData":{"DOI":"10.1093/jee/89.6.1418","ISSN":"1938-291X","author":[{"dropping-particle":"","family":"Vandenberg","given":"John D.","non-dropping-particle":"","parse-names":false,"suffix":""}],"container-title":"Journal of Economic Entomology","id":"ITEM-1","issue":"6","issued":{"date-parts":[["1996","12","1"]]},"page":"1418-1423","publisher":"Narnia","title":"Standardized Bioassay and Screening of Beauveria bassiana and Paecilomyces fumosoroseus Against the Russian Wheat Aphid (Homoptera: Aphididae)","type":"article-journal","volume":"89"},"uris":["http://www.mendeley.com/documents/?uuid=1dda65f5-830e-36fc-bd58-455567b5d2bf"]}],"mendeley":{"formattedCitation":"(Vandenberg 1996)","plainTextFormattedCitation":"(Vandenberg 1996)","previouslyFormattedCitation":"(Vandenberg, 1996)"},"properties":{"noteIndex":0},"schema":"https://github.com/citation-style-language/schema/raw/master/csl-citation.json"}</w:instrText>
      </w:r>
      <w:r w:rsidR="00CB3B43" w:rsidRPr="00753C05">
        <w:rPr>
          <w:color w:val="000000"/>
        </w:rPr>
        <w:fldChar w:fldCharType="separate"/>
      </w:r>
      <w:r w:rsidR="00CB3B43" w:rsidRPr="008A40E1">
        <w:rPr>
          <w:noProof/>
          <w:color w:val="000000"/>
        </w:rPr>
        <w:t>(Vandenberg 1996)</w:t>
      </w:r>
      <w:r w:rsidR="00CB3B43" w:rsidRPr="00753C05">
        <w:rPr>
          <w:color w:val="000000"/>
        </w:rPr>
        <w:fldChar w:fldCharType="end"/>
      </w:r>
      <w:r>
        <w:rPr>
          <w:color w:val="000000"/>
        </w:rPr>
        <w:t xml:space="preserve">. The spray dose was double checked by placing a microscope slide cover next to the flies during inoculation, then resuspending the slide and counting the number of spores in a </w:t>
      </w:r>
      <w:commentRangeStart w:id="13"/>
      <w:r>
        <w:rPr>
          <w:color w:val="000000"/>
        </w:rPr>
        <w:t>10uL</w:t>
      </w:r>
      <w:commentRangeEnd w:id="13"/>
      <w:r>
        <w:rPr>
          <w:rStyle w:val="CommentReference"/>
        </w:rPr>
        <w:commentReference w:id="13"/>
      </w:r>
      <w:r>
        <w:rPr>
          <w:color w:val="000000"/>
        </w:rPr>
        <w:t xml:space="preserve"> suspension. Each spray introduced </w:t>
      </w:r>
      <w:r w:rsidR="00B12BEA">
        <w:rPr>
          <w:color w:val="000000"/>
        </w:rPr>
        <w:t>~</w:t>
      </w:r>
      <w:r w:rsidR="00B12BEA" w:rsidRPr="00753C05">
        <w:rPr>
          <w:color w:val="000000"/>
        </w:rPr>
        <w:t>10</w:t>
      </w:r>
      <w:r w:rsidR="00B12BEA" w:rsidRPr="00753C05">
        <w:rPr>
          <w:color w:val="000000"/>
          <w:vertAlign w:val="superscript"/>
        </w:rPr>
        <w:t>3</w:t>
      </w:r>
      <w:r w:rsidR="00B12BEA" w:rsidRPr="00753C05">
        <w:rPr>
          <w:color w:val="000000"/>
        </w:rPr>
        <w:t xml:space="preserve"> spores/mm</w:t>
      </w:r>
      <w:r w:rsidR="00B12BEA" w:rsidRPr="00753C05">
        <w:rPr>
          <w:color w:val="000000"/>
          <w:vertAlign w:val="superscript"/>
        </w:rPr>
        <w:t xml:space="preserve">2 </w:t>
      </w:r>
      <w:r w:rsidR="00B12BEA" w:rsidRPr="00753C05">
        <w:rPr>
          <w:color w:val="000000"/>
        </w:rPr>
        <w:t>onto the surface of anesthetized flies</w:t>
      </w:r>
      <w:r>
        <w:rPr>
          <w:color w:val="000000"/>
        </w:rPr>
        <w:t xml:space="preserve">. After the spray, flies from each treatment were moved to </w:t>
      </w:r>
      <w:r w:rsidR="009E26C0">
        <w:rPr>
          <w:color w:val="000000"/>
        </w:rPr>
        <w:t xml:space="preserve">separate </w:t>
      </w:r>
      <w:r w:rsidR="00CB3B43" w:rsidRPr="00753C05">
        <w:rPr>
          <w:color w:val="000000"/>
        </w:rPr>
        <w:t>acrylic cages (Volume: 450 cm³)</w:t>
      </w:r>
      <w:r>
        <w:rPr>
          <w:color w:val="000000"/>
        </w:rPr>
        <w:t xml:space="preserve">, </w:t>
      </w:r>
      <w:r w:rsidR="00CB3B43" w:rsidRPr="00753C05">
        <w:rPr>
          <w:color w:val="000000"/>
        </w:rPr>
        <w:t xml:space="preserve">fed with </w:t>
      </w:r>
      <w:r w:rsidR="00CB3B43">
        <w:rPr>
          <w:color w:val="000000"/>
        </w:rPr>
        <w:t xml:space="preserve">a </w:t>
      </w:r>
      <w:r w:rsidR="00CB3B43" w:rsidRPr="00753C05">
        <w:rPr>
          <w:color w:val="000000"/>
        </w:rPr>
        <w:t xml:space="preserve">Petri </w:t>
      </w:r>
      <w:r w:rsidR="00CB3B43">
        <w:rPr>
          <w:color w:val="000000"/>
        </w:rPr>
        <w:t>dish</w:t>
      </w:r>
      <w:r w:rsidR="00CB3B43" w:rsidRPr="00753C05">
        <w:rPr>
          <w:color w:val="000000"/>
        </w:rPr>
        <w:t xml:space="preserve"> of fly medium</w:t>
      </w:r>
      <w:r>
        <w:rPr>
          <w:color w:val="000000"/>
        </w:rPr>
        <w:t>,</w:t>
      </w:r>
      <w:r w:rsidR="00CB3B43" w:rsidRPr="00753C05">
        <w:rPr>
          <w:color w:val="000000"/>
        </w:rPr>
        <w:t xml:space="preserve"> and kept at ~100% humidity for 24 hours. In high humidity conditions, fungal conidia germinate, and the hypha</w:t>
      </w:r>
      <w:r w:rsidR="009E26C0">
        <w:rPr>
          <w:color w:val="000000"/>
        </w:rPr>
        <w:t>e</w:t>
      </w:r>
      <w:r w:rsidR="00CB3B43" w:rsidRPr="00753C05">
        <w:rPr>
          <w:color w:val="000000"/>
        </w:rPr>
        <w:t xml:space="preserve"> penetrate the insect cuticle and grow in the hemocoel </w:t>
      </w:r>
      <w:r w:rsidR="00CB3B43" w:rsidRPr="00753C05">
        <w:rPr>
          <w:color w:val="000000"/>
        </w:rPr>
        <w:fldChar w:fldCharType="begin" w:fldLock="1"/>
      </w:r>
      <w:r w:rsidR="00CB3B43">
        <w:rPr>
          <w:color w:val="000000"/>
        </w:rPr>
        <w:instrText>ADDIN CSL_CITATION {"citationItems":[{"id":"ITEM-1","itemData":{"DOI":"10.1016/0966-842X(96)10022-6","ISSN":"0966842X","author":[{"dropping-particle":"","family":"Clarkson","given":"John M.","non-dropping-particle":"","parse-names":false,"suffix":""},{"dropping-particle":"","family":"Charnley","given":"A.Keith","non-dropping-particle":"","parse-names":false,"suffix":""}],"container-title":"Trends in Microbiology","id":"ITEM-1","issue":"5","issued":{"date-parts":[["1996","5"]]},"page":"197-203","title":"New insights into the mechanisms of fungal pathogenesis in insects","type":"article-journal","volume":"4"},"uris":["http://www.mendeley.com/documents/?uuid=a367bc1d-882f-354d-9f60-628c004c77e5"]}],"mendeley":{"formattedCitation":"(Clarkson and Charnley 1996)","plainTextFormattedCitation":"(Clarkson and Charnley 1996)","previouslyFormattedCitation":"(Clarkson &amp; Charnley, 1996)"},"properties":{"noteIndex":0},"schema":"https://github.com/citation-style-language/schema/raw/master/csl-citation.json"}</w:instrText>
      </w:r>
      <w:r w:rsidR="00CB3B43" w:rsidRPr="00753C05">
        <w:rPr>
          <w:color w:val="000000"/>
        </w:rPr>
        <w:fldChar w:fldCharType="separate"/>
      </w:r>
      <w:r w:rsidR="00CB3B43" w:rsidRPr="008A40E1">
        <w:rPr>
          <w:noProof/>
          <w:color w:val="000000"/>
        </w:rPr>
        <w:t>(Clarkson and Charnley 1996)</w:t>
      </w:r>
      <w:r w:rsidR="00CB3B43" w:rsidRPr="00753C05">
        <w:rPr>
          <w:color w:val="000000"/>
        </w:rPr>
        <w:fldChar w:fldCharType="end"/>
      </w:r>
      <w:r w:rsidR="00CB3B43" w:rsidRPr="00753C05">
        <w:rPr>
          <w:color w:val="000000"/>
        </w:rPr>
        <w:t xml:space="preserve">. </w:t>
      </w:r>
      <w:r w:rsidR="00CB3B43">
        <w:rPr>
          <w:color w:val="000000"/>
        </w:rPr>
        <w:t xml:space="preserve">After 24 hours, </w:t>
      </w:r>
      <w:r w:rsidR="009E26C0">
        <w:rPr>
          <w:color w:val="000000"/>
        </w:rPr>
        <w:t xml:space="preserve">humidity was reduced to </w:t>
      </w:r>
      <w:r w:rsidR="00CB3B43">
        <w:rPr>
          <w:color w:val="000000"/>
        </w:rPr>
        <w:t>60%</w:t>
      </w:r>
      <w:r w:rsidR="009E26C0">
        <w:rPr>
          <w:color w:val="000000"/>
        </w:rPr>
        <w:t xml:space="preserve"> for the duration of each assay. </w:t>
      </w:r>
    </w:p>
    <w:p w14:paraId="4AA0F5D3" w14:textId="77777777" w:rsidR="00327CBB" w:rsidRDefault="00327CBB" w:rsidP="00CB3B43">
      <w:pPr>
        <w:spacing w:line="480" w:lineRule="auto"/>
        <w:rPr>
          <w:i/>
          <w:color w:val="000000"/>
          <w:u w:val="single"/>
        </w:rPr>
      </w:pPr>
    </w:p>
    <w:p w14:paraId="00CE9114" w14:textId="5C7A3F4B" w:rsidR="00CB3B43" w:rsidRPr="00753C05" w:rsidRDefault="00CB3B43" w:rsidP="00CB3B43">
      <w:pPr>
        <w:spacing w:line="480" w:lineRule="auto"/>
        <w:rPr>
          <w:i/>
          <w:color w:val="000000"/>
          <w:u w:val="single"/>
        </w:rPr>
      </w:pPr>
      <w:r w:rsidRPr="00753C05">
        <w:rPr>
          <w:i/>
          <w:color w:val="000000"/>
          <w:u w:val="single"/>
        </w:rPr>
        <w:t xml:space="preserve">Mortality </w:t>
      </w:r>
    </w:p>
    <w:p w14:paraId="21CA8A63" w14:textId="1F48C6A5" w:rsidR="00327CBB" w:rsidRDefault="00CB3B43" w:rsidP="00CB3B43">
      <w:pPr>
        <w:spacing w:line="480" w:lineRule="auto"/>
        <w:ind w:firstLine="720"/>
        <w:rPr>
          <w:color w:val="000000"/>
        </w:rPr>
      </w:pPr>
      <w:r w:rsidRPr="00753C05">
        <w:rPr>
          <w:color w:val="000000"/>
        </w:rPr>
        <w:t>Dead flies were removed daily from all cages to avoid secondary inoculation of live flies by spores on the cuticles of the deceased flies and to record the numbers of dead females and males.</w:t>
      </w:r>
      <w:r w:rsidR="00F94C5D">
        <w:rPr>
          <w:color w:val="000000"/>
        </w:rPr>
        <w:t xml:space="preserve"> Food plates were replaced with fresh ones daily. </w:t>
      </w:r>
    </w:p>
    <w:p w14:paraId="74D3E486" w14:textId="77777777" w:rsidR="00F94C5D" w:rsidRDefault="00F94C5D" w:rsidP="003C5BAF">
      <w:pPr>
        <w:spacing w:line="480" w:lineRule="auto"/>
        <w:rPr>
          <w:bCs/>
          <w:i/>
          <w:color w:val="000000"/>
          <w:u w:val="single"/>
        </w:rPr>
      </w:pPr>
    </w:p>
    <w:p w14:paraId="035D1190" w14:textId="2AFC55F8" w:rsidR="003E3967" w:rsidRDefault="00CB3B43" w:rsidP="003C5BAF">
      <w:pPr>
        <w:spacing w:line="480" w:lineRule="auto"/>
        <w:rPr>
          <w:bCs/>
          <w:i/>
          <w:color w:val="000000"/>
          <w:u w:val="single"/>
        </w:rPr>
      </w:pPr>
      <w:r>
        <w:rPr>
          <w:bCs/>
          <w:i/>
          <w:color w:val="000000"/>
          <w:u w:val="single"/>
        </w:rPr>
        <w:lastRenderedPageBreak/>
        <w:t xml:space="preserve">Experiment 1: Effects of mating </w:t>
      </w:r>
      <w:r w:rsidR="00586A22">
        <w:rPr>
          <w:bCs/>
          <w:i/>
          <w:color w:val="000000"/>
          <w:u w:val="single"/>
        </w:rPr>
        <w:t xml:space="preserve">and sex </w:t>
      </w:r>
      <w:r>
        <w:rPr>
          <w:bCs/>
          <w:i/>
          <w:color w:val="000000"/>
          <w:u w:val="single"/>
        </w:rPr>
        <w:t xml:space="preserve">on </w:t>
      </w:r>
      <w:r w:rsidR="00885E77">
        <w:rPr>
          <w:bCs/>
          <w:i/>
          <w:color w:val="000000"/>
          <w:u w:val="single"/>
        </w:rPr>
        <w:t xml:space="preserve">post-infection </w:t>
      </w:r>
      <w:r w:rsidR="00586A22">
        <w:rPr>
          <w:bCs/>
          <w:i/>
          <w:color w:val="000000"/>
          <w:u w:val="single"/>
        </w:rPr>
        <w:t>survival</w:t>
      </w:r>
      <w:r w:rsidR="00966CB8">
        <w:rPr>
          <w:bCs/>
          <w:i/>
          <w:color w:val="000000"/>
          <w:u w:val="single"/>
        </w:rPr>
        <w:t xml:space="preserve"> of D. melanogaster when inoculated with B. </w:t>
      </w:r>
      <w:proofErr w:type="spellStart"/>
      <w:r w:rsidR="00966CB8">
        <w:rPr>
          <w:bCs/>
          <w:i/>
          <w:color w:val="000000"/>
          <w:u w:val="single"/>
        </w:rPr>
        <w:t>bassiana</w:t>
      </w:r>
      <w:proofErr w:type="spellEnd"/>
      <w:r w:rsidR="00966CB8">
        <w:rPr>
          <w:bCs/>
          <w:i/>
          <w:color w:val="000000"/>
          <w:u w:val="single"/>
        </w:rPr>
        <w:t xml:space="preserve"> strain ARESEF 12460</w:t>
      </w:r>
      <w:r w:rsidR="00586A22">
        <w:rPr>
          <w:bCs/>
          <w:i/>
          <w:color w:val="000000"/>
          <w:u w:val="single"/>
        </w:rPr>
        <w:t xml:space="preserve"> </w:t>
      </w:r>
    </w:p>
    <w:p w14:paraId="12D018B9" w14:textId="12DABBB8" w:rsidR="00327CBB" w:rsidRPr="004D2FC2" w:rsidRDefault="00021477" w:rsidP="00885E77">
      <w:pPr>
        <w:spacing w:line="480" w:lineRule="auto"/>
        <w:ind w:firstLine="720"/>
        <w:rPr>
          <w:color w:val="000000"/>
        </w:rPr>
      </w:pPr>
      <w:r>
        <w:rPr>
          <w:color w:val="000000"/>
        </w:rPr>
        <w:t>To test the effects of mating on post-infection survival, t</w:t>
      </w:r>
      <w:r w:rsidR="003E3967" w:rsidRPr="00753C05">
        <w:rPr>
          <w:color w:val="000000"/>
        </w:rPr>
        <w:t>hree mating condi</w:t>
      </w:r>
      <w:r w:rsidR="002E0E21">
        <w:rPr>
          <w:color w:val="000000"/>
        </w:rPr>
        <w:t xml:space="preserve">tions (virgin, </w:t>
      </w:r>
      <w:r w:rsidR="003E3967" w:rsidRPr="00753C05">
        <w:rPr>
          <w:color w:val="000000"/>
        </w:rPr>
        <w:t xml:space="preserve">mated, and cohabit) were </w:t>
      </w:r>
      <w:r w:rsidR="00885E77">
        <w:rPr>
          <w:color w:val="000000"/>
        </w:rPr>
        <w:t>established</w:t>
      </w:r>
      <w:r w:rsidR="003E3967" w:rsidRPr="00753C05">
        <w:rPr>
          <w:color w:val="000000"/>
        </w:rPr>
        <w:t xml:space="preserve"> as follows.</w:t>
      </w:r>
      <w:r w:rsidR="00F83338" w:rsidRPr="00753C05">
        <w:rPr>
          <w:color w:val="000000"/>
        </w:rPr>
        <w:t> </w:t>
      </w:r>
      <w:r w:rsidR="00B71970">
        <w:rPr>
          <w:color w:val="000000"/>
        </w:rPr>
        <w:t>To ensure virginity of flies, o</w:t>
      </w:r>
      <w:r w:rsidR="003E3967" w:rsidRPr="00753C05">
        <w:rPr>
          <w:color w:val="000000"/>
        </w:rPr>
        <w:t xml:space="preserve">n day five from egg, third instar larvae were transferred from rearing vials into individual straws using a paint brush. The straws had </w:t>
      </w:r>
      <w:r w:rsidR="0008490D">
        <w:rPr>
          <w:color w:val="000000"/>
        </w:rPr>
        <w:t>Cornmeal</w:t>
      </w:r>
      <w:r>
        <w:rPr>
          <w:color w:val="000000"/>
        </w:rPr>
        <w:t xml:space="preserve"> </w:t>
      </w:r>
      <w:r w:rsidR="003E3967" w:rsidRPr="00753C05">
        <w:rPr>
          <w:color w:val="000000"/>
        </w:rPr>
        <w:t xml:space="preserve">food on one </w:t>
      </w:r>
      <w:r w:rsidR="001C3736" w:rsidRPr="00753C05">
        <w:rPr>
          <w:color w:val="000000"/>
        </w:rPr>
        <w:t>end and</w:t>
      </w:r>
      <w:r w:rsidR="003E3967" w:rsidRPr="00753C05">
        <w:rPr>
          <w:color w:val="000000"/>
        </w:rPr>
        <w:t xml:space="preserve"> were sealed with pipette tips on both ends. On day 12 from egg (2-3 days post </w:t>
      </w:r>
      <w:proofErr w:type="spellStart"/>
      <w:r w:rsidR="003E3967" w:rsidRPr="00753C05">
        <w:rPr>
          <w:color w:val="000000"/>
        </w:rPr>
        <w:t>eclosion</w:t>
      </w:r>
      <w:proofErr w:type="spellEnd"/>
      <w:r w:rsidR="003E3967" w:rsidRPr="00753C05">
        <w:rPr>
          <w:color w:val="000000"/>
        </w:rPr>
        <w:t>), emerged flies were sexed while still in their straws, and the food in the straw was replaced. On day 16 from egg, flies were moved from straws to vials at densities of 30 flies/vial, using</w:t>
      </w:r>
      <w:r w:rsidR="00D15C8C">
        <w:rPr>
          <w:color w:val="000000"/>
        </w:rPr>
        <w:t xml:space="preserve"> brief</w:t>
      </w:r>
      <w:r w:rsidR="003E3967" w:rsidRPr="00753C05">
        <w:rPr>
          <w:color w:val="000000"/>
        </w:rPr>
        <w:t xml:space="preserve"> CO</w:t>
      </w:r>
      <w:r w:rsidR="003E3967" w:rsidRPr="00753C05">
        <w:rPr>
          <w:color w:val="000000"/>
          <w:vertAlign w:val="subscript"/>
        </w:rPr>
        <w:t xml:space="preserve">2 </w:t>
      </w:r>
      <w:r w:rsidR="003E3967" w:rsidRPr="00753C05">
        <w:rPr>
          <w:color w:val="000000"/>
        </w:rPr>
        <w:t>anesthesia. At this stage, the 30 flies in the vial were either all male or all female for the virgin groups, or half male and half female for the mated and cohabit</w:t>
      </w:r>
      <w:r w:rsidR="00D15C8C">
        <w:rPr>
          <w:color w:val="000000"/>
        </w:rPr>
        <w:t>ing</w:t>
      </w:r>
      <w:r w:rsidR="003E3967" w:rsidRPr="00753C05">
        <w:rPr>
          <w:color w:val="000000"/>
        </w:rPr>
        <w:t xml:space="preserve"> groups. After 24 hours, on day 17 from egg, the flies were sprayed with fungus or control suspension. </w:t>
      </w:r>
      <w:r w:rsidR="004D2FC2" w:rsidRPr="00753C05">
        <w:rPr>
          <w:color w:val="000000"/>
        </w:rPr>
        <w:t>For each spray, 60 flies were anesthetized using carbon dioxide for 5 minutes on a CO</w:t>
      </w:r>
      <w:r w:rsidR="004D2FC2" w:rsidRPr="00753C05">
        <w:rPr>
          <w:color w:val="000000"/>
          <w:vertAlign w:val="subscript"/>
        </w:rPr>
        <w:t>2</w:t>
      </w:r>
      <w:r w:rsidR="004D2FC2" w:rsidRPr="00753C05">
        <w:rPr>
          <w:color w:val="000000"/>
        </w:rPr>
        <w:t xml:space="preserve"> pad</w:t>
      </w:r>
      <w:r w:rsidR="00B71970">
        <w:rPr>
          <w:color w:val="000000"/>
        </w:rPr>
        <w:t xml:space="preserve"> </w:t>
      </w:r>
      <w:r w:rsidR="004D2FC2" w:rsidRPr="00753C05">
        <w:rPr>
          <w:color w:val="000000"/>
        </w:rPr>
        <w:t xml:space="preserve">to allow sorting by sex, then placed on ice for the </w:t>
      </w:r>
      <w:r w:rsidR="00D15C8C">
        <w:rPr>
          <w:color w:val="000000"/>
        </w:rPr>
        <w:t>~</w:t>
      </w:r>
      <w:r w:rsidR="004D2FC2" w:rsidRPr="00753C05">
        <w:rPr>
          <w:color w:val="000000"/>
        </w:rPr>
        <w:t>2 minutes of the spray time</w:t>
      </w:r>
      <w:r w:rsidR="00D15C8C">
        <w:rPr>
          <w:color w:val="000000"/>
        </w:rPr>
        <w:t xml:space="preserve">. </w:t>
      </w:r>
      <w:r w:rsidR="003E3967" w:rsidRPr="00753C05">
        <w:rPr>
          <w:color w:val="000000"/>
        </w:rPr>
        <w:t>For the virgin groups, males and females were sprayed separately and kept in separate cages after the spray. For the mated groups, after 24 hours of mating in vials, males and females were sprayed separately and maintained in separate cages. Lastly, for the cohabit</w:t>
      </w:r>
      <w:r w:rsidR="00D15C8C">
        <w:rPr>
          <w:color w:val="000000"/>
        </w:rPr>
        <w:t>ing</w:t>
      </w:r>
      <w:r w:rsidR="003E3967" w:rsidRPr="00753C05">
        <w:rPr>
          <w:color w:val="000000"/>
        </w:rPr>
        <w:t xml:space="preserve"> groups, after 24 hours of mating in vials, males and females were sprayed together and cohabited in the same cages after the spray. </w:t>
      </w:r>
      <w:r w:rsidR="004D2FC2" w:rsidRPr="00753C05">
        <w:rPr>
          <w:color w:val="000000"/>
        </w:rPr>
        <w:t xml:space="preserve">Flies were in cages at densities of </w:t>
      </w:r>
      <w:r w:rsidR="00B71970">
        <w:rPr>
          <w:color w:val="000000"/>
        </w:rPr>
        <w:t>~</w:t>
      </w:r>
      <w:r w:rsidR="004D2FC2" w:rsidRPr="00753C05">
        <w:rPr>
          <w:color w:val="000000"/>
        </w:rPr>
        <w:t xml:space="preserve">60 same sex flies/cage, or 30 males </w:t>
      </w:r>
      <w:r w:rsidR="00B71970">
        <w:rPr>
          <w:color w:val="000000"/>
        </w:rPr>
        <w:t>and</w:t>
      </w:r>
      <w:r w:rsidR="004D2FC2" w:rsidRPr="00753C05">
        <w:rPr>
          <w:color w:val="000000"/>
        </w:rPr>
        <w:t xml:space="preserve"> 30 females per cage.</w:t>
      </w:r>
      <w:r w:rsidR="004D2FC2">
        <w:rPr>
          <w:color w:val="000000"/>
        </w:rPr>
        <w:t xml:space="preserve"> </w:t>
      </w:r>
      <w:r w:rsidR="007125FE">
        <w:rPr>
          <w:color w:val="000000"/>
        </w:rPr>
        <w:t>At least 257</w:t>
      </w:r>
      <w:r w:rsidR="00B71970">
        <w:rPr>
          <w:color w:val="000000"/>
        </w:rPr>
        <w:t xml:space="preserve"> flies per sex per treatment were tested. </w:t>
      </w:r>
      <w:r w:rsidR="00D15C8C">
        <w:rPr>
          <w:color w:val="000000"/>
        </w:rPr>
        <w:t xml:space="preserve">Food plates in cages were replaced daily, and eggs laid on the plates by </w:t>
      </w:r>
      <w:r w:rsidR="00327CBB" w:rsidRPr="00753C05">
        <w:rPr>
          <w:color w:val="000000"/>
        </w:rPr>
        <w:t>cohabiting and 24-hour mated females</w:t>
      </w:r>
      <w:r w:rsidR="00D15C8C">
        <w:rPr>
          <w:color w:val="000000"/>
        </w:rPr>
        <w:t xml:space="preserve"> were kept and</w:t>
      </w:r>
      <w:r w:rsidR="00327CBB" w:rsidRPr="00753C05">
        <w:rPr>
          <w:color w:val="000000"/>
        </w:rPr>
        <w:t xml:space="preserve"> incubated for 7 days </w:t>
      </w:r>
      <w:r w:rsidR="00327CBB" w:rsidRPr="00753C05">
        <w:rPr>
          <w:color w:val="000000"/>
        </w:rPr>
        <w:lastRenderedPageBreak/>
        <w:t>until pupation</w:t>
      </w:r>
      <w:r w:rsidR="00D15C8C">
        <w:rPr>
          <w:color w:val="000000"/>
        </w:rPr>
        <w:t>, at which point the number of pupae were counting as a proxy of offspring count.</w:t>
      </w:r>
      <w:r w:rsidR="00122B06">
        <w:rPr>
          <w:color w:val="000000"/>
        </w:rPr>
        <w:t xml:space="preserve"> Mortality and fecundity were followed for 21 days post spray. </w:t>
      </w:r>
    </w:p>
    <w:p w14:paraId="0E98DC37" w14:textId="77777777" w:rsidR="00327CBB" w:rsidRPr="00753C05" w:rsidRDefault="00327CBB" w:rsidP="003C5BAF">
      <w:pPr>
        <w:spacing w:line="480" w:lineRule="auto"/>
        <w:rPr>
          <w:bCs/>
          <w:i/>
          <w:color w:val="000000"/>
          <w:u w:val="single"/>
        </w:rPr>
      </w:pPr>
    </w:p>
    <w:p w14:paraId="404AC216" w14:textId="0B64E384" w:rsidR="003E3967" w:rsidRPr="00753C05" w:rsidRDefault="00C17150" w:rsidP="003C5BAF">
      <w:pPr>
        <w:spacing w:line="480" w:lineRule="auto"/>
        <w:rPr>
          <w:i/>
          <w:u w:val="single"/>
        </w:rPr>
      </w:pPr>
      <w:r>
        <w:rPr>
          <w:bCs/>
          <w:i/>
          <w:color w:val="000000"/>
          <w:u w:val="single"/>
        </w:rPr>
        <w:t>Statistical Analysis</w:t>
      </w:r>
      <w:r w:rsidR="0069066B">
        <w:rPr>
          <w:bCs/>
          <w:i/>
          <w:color w:val="000000"/>
          <w:u w:val="single"/>
        </w:rPr>
        <w:t xml:space="preserve"> of Experiment 1</w:t>
      </w:r>
    </w:p>
    <w:p w14:paraId="0F0499D7" w14:textId="5053DE3F" w:rsidR="003E3967" w:rsidRPr="00753C05" w:rsidRDefault="003E3967" w:rsidP="003C5BAF">
      <w:pPr>
        <w:spacing w:line="480" w:lineRule="auto"/>
        <w:ind w:firstLine="720"/>
        <w:rPr>
          <w:rFonts w:eastAsia="Calibri"/>
          <w:iCs/>
        </w:rPr>
      </w:pPr>
      <w:r w:rsidRPr="00753C05">
        <w:rPr>
          <w:color w:val="000000"/>
        </w:rPr>
        <w:t>All analyses were performed in the statistical software R (</w:t>
      </w:r>
      <w:hyperlink r:id="rId12" w:history="1">
        <w:r w:rsidR="0001798D" w:rsidRPr="0031669D">
          <w:rPr>
            <w:rStyle w:val="Hyperlink"/>
          </w:rPr>
          <w:t>https://www</w:t>
        </w:r>
      </w:hyperlink>
      <w:r w:rsidRPr="00753C05">
        <w:rPr>
          <w:color w:val="000000"/>
        </w:rPr>
        <w:t>.r</w:t>
      </w:r>
      <w:r w:rsidR="001C3736" w:rsidRPr="00753C05">
        <w:rPr>
          <w:color w:val="000000"/>
        </w:rPr>
        <w:noBreakHyphen/>
      </w:r>
      <w:r w:rsidRPr="00753C05">
        <w:rPr>
          <w:color w:val="000000"/>
        </w:rPr>
        <w:t xml:space="preserve">project.org/). To determine the effects of mating on the survival of female and male </w:t>
      </w:r>
      <w:r w:rsidRPr="00753C05">
        <w:rPr>
          <w:i/>
          <w:color w:val="000000"/>
        </w:rPr>
        <w:t>D. melanogaster</w:t>
      </w:r>
      <w:r w:rsidRPr="00753C05">
        <w:rPr>
          <w:color w:val="000000"/>
        </w:rPr>
        <w:t xml:space="preserve"> when inoculated with the entomopathogenic fungus, </w:t>
      </w:r>
      <w:r w:rsidRPr="00753C05">
        <w:rPr>
          <w:i/>
          <w:iCs/>
          <w:color w:val="000000"/>
        </w:rPr>
        <w:t xml:space="preserve">B. </w:t>
      </w:r>
      <w:proofErr w:type="spellStart"/>
      <w:r w:rsidRPr="00753C05">
        <w:rPr>
          <w:i/>
          <w:iCs/>
          <w:color w:val="000000"/>
        </w:rPr>
        <w:t>bassiana</w:t>
      </w:r>
      <w:proofErr w:type="spellEnd"/>
      <w:r w:rsidRPr="00753C05">
        <w:rPr>
          <w:color w:val="000000"/>
        </w:rPr>
        <w:t>, we used the Cox Proportional Hazard model</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{"citationItems":[{"id":"ITEM-1","itemData":{"ISBN":"201917:56:14","abstract":"The analysis of censored failure times is considered. It is assumed that on each individual are available values of one or more explanatory variables. The hazard function (age-specific failure rate) is taken to be a function of the explanatory variables and unknown regression coefficients multiplied by an arbitrary and unknown function of time. A conditional likelihood is obtained, leading to inferences about the unknown regression coefficients. Some generalizations are outlined.","author":[{"dropping-particle":"","family":"Cox","given":"D R","non-dropping-particle":"","parse-names":false,"suffix":""}],"id":"ITEM-1","issued":{"date-parts":[["0"]]},"title":"972] 187 Regression Models and Life-Tables","type":"report"},"uris":["http://www.mendeley.com/documents/?uuid=5e53f5e0-cd54-3c79-9257-d3c27576885c"]}],"mendeley":{"formattedCitation":"(Cox n.d.)"},"properties":{"noteIndex":0},"schema":"https://github.com/citation-style-language/schema/raw/master/csl-citation.json"}</w:instrText>
      </w:r>
      <w:r w:rsidRPr="00753C05">
        <w:rPr>
          <w:color w:val="000000"/>
        </w:rPr>
        <w:fldChar w:fldCharType="separate"/>
      </w:r>
      <w:r w:rsidR="008A40E1" w:rsidRPr="008A40E1">
        <w:rPr>
          <w:noProof/>
          <w:color w:val="000000"/>
        </w:rPr>
        <w:t>(Cox n.d.)</w:t>
      </w:r>
      <w:r w:rsidRPr="00753C05">
        <w:rPr>
          <w:color w:val="000000"/>
        </w:rPr>
        <w:fldChar w:fldCharType="end"/>
      </w:r>
      <w:r w:rsidRPr="00753C05">
        <w:rPr>
          <w:color w:val="000000"/>
        </w:rPr>
        <w:t xml:space="preserve"> with a novel approach via Bootstrap for creating confidence intervals for survival probabilities of the model. Before building the model, we tested the difference among all the replicates by Kaplan-Meier survival function</w:t>
      </w:r>
      <w:r w:rsidR="00453BD1" w:rsidRPr="00753C05">
        <w:rPr>
          <w:color w:val="000000"/>
        </w:rPr>
        <w:t xml:space="preserve"> </w:t>
      </w:r>
      <w:r w:rsidRPr="00753C05">
        <w:rPr>
          <w:color w:val="000000"/>
        </w:rPr>
        <w:fldChar w:fldCharType="begin" w:fldLock="1"/>
      </w:r>
      <w:r w:rsidR="008A40E1">
        <w:rPr>
          <w:color w:val="000000"/>
        </w:rPr>
        <w:instrText>ADDIN CSL_CITATION {"citationItems":[{"id":"ITEM-1","itemData":{"abstract":"JSTOR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 In lifetesting, medical follow-up, and other fields the observation of the time of occurrence of the event of interest (called a death) may be prevented for some of the items of the sample by the previous occurrence of some other event (called a loss). Losses may be either accidental or controlled, the latter resulting from a decision to terminate certain observations. In either case it is usually assumed in this paper that the lifetime (age at death) is independent of the potential loss time; in practice this assumption deserves careful scrutiny. Despite the resulting incompleteness of the data, it is desired to estimate the proportion P(t) of items in the population whose lifetimes would exceed t (in the absence of such losses), without making any assumption about the form of the function P(t). The observation for each item of a suitable initial event, marking the beginning of its lifetime, is presupposed. For random samples of size N the product-limit (PL) estimate can be defined as follows: List and label the N observed lifetimes (whether to death or loss) in order of increasing magnitude, so that one has o &lt;tjI &lt;t.2' &lt; ?. .&lt;tN'. Then P(t) =11r [(N-r)/(N-r+1)], where r assumes those values for which tr'&lt;t and for which tr/ measures the time to death. This estimate is the distribution, unrestricted as to form, which maximizes the likelihood of the observations. Other estimates that are discussed are the actuarial estimates (which are also products, but with the number of factors usually reduced by grouping); and reduced-sample (RS) estimates, which require that losses not be accidental, so that the limits of observation (potential loss times) are known even for those items whose deaths are observed. When no losses occur at ages less than t, the estimate of P(t) in all cases reduces to the usual binomial estimate, namely, the observed proportion of survivors. CONTENTS","author":[{"dropping-particle":"","family":"Kaplan","given":"E L","non-dropping-particle":"","parse-names":false,"suffix":""},{"dropping-particle":"","family":"Meier","given":"Paul","non-dropping-particle":"","parse-names":false,"suffix":""}],"container-title":"Source: Journal of the American Statistical Association","id":"ITEM-1","issue":"282","issued":{"date-parts":[["1958"]]},"number-of-pages":"50","title":"Nonparametric Estimation from Incomplete Observations NONPARAMETRIC ESTIMATION FROM INCOMPLETE OBSERVATIONS*","type":"report","volume":"53"},"uris":["http://www.mendeley.com/documents/?uuid=cb083d9a-7864-3cce-9ef7-769f5ea66e6d"]}],"mendeley":{"formattedCitation":"(Kaplan and Meier 1958)","plainTextFormattedCitation":"(Kaplan and Meier 1958)","previouslyFormattedCitation":"(Kaplan &amp; Meier, 1958)"},"properties":{"noteIndex":0},"schema":"https://github.com/citation-style-language/schema/raw/master/csl-citation.json"}</w:instrText>
      </w:r>
      <w:r w:rsidRPr="00753C05">
        <w:rPr>
          <w:color w:val="000000"/>
        </w:rPr>
        <w:fldChar w:fldCharType="separate"/>
      </w:r>
      <w:r w:rsidR="008A40E1" w:rsidRPr="008A40E1">
        <w:rPr>
          <w:noProof/>
          <w:color w:val="000000"/>
        </w:rPr>
        <w:t>(Kaplan and Meier 1958)</w:t>
      </w:r>
      <w:r w:rsidRPr="00753C05">
        <w:rPr>
          <w:color w:val="000000"/>
        </w:rPr>
        <w:fldChar w:fldCharType="end"/>
      </w:r>
      <w:r w:rsidRPr="00753C05">
        <w:rPr>
          <w:color w:val="000000"/>
        </w:rPr>
        <w:t xml:space="preserve"> as well as log-rank test</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{"citationItems":[{"id":"ITEM-1","itemData":{"ISSN":"0069-0112","PMID":"5910392","author":[{"dropping-particle":"","family":"Mantel","given":"N","non-dropping-particle":"","parse-names":false,"suffix":""}],"container-title":"Cancer chemotherapy reports","id":"ITEM-1","issue":"3","issued":{"date-parts":[["1966","3"]]},"page":"163-70","title":"Evaluation of survival data and two new rank order statistics arising in its consideration.","type":"article-journal","volume":"50"},"uris":["http://www.mendeley.com/documents/?uuid=d51be010-0d8f-3b39-9ecf-cbee38210a7b"]}],"mendeley":{"formattedCitation":"(Mantel 1966)","plainTextFormattedCitation":"(Mantel 1966)","previouslyFormattedCitation":"(Mantel, 1966)"},"properties":{"noteIndex":0},"schema":"https://github.com/citation-style-language/schema/raw/master/csl-citation.json"}</w:instrText>
      </w:r>
      <w:r w:rsidRPr="00753C05">
        <w:rPr>
          <w:color w:val="000000"/>
        </w:rPr>
        <w:fldChar w:fldCharType="separate"/>
      </w:r>
      <w:r w:rsidR="008A40E1" w:rsidRPr="008A40E1">
        <w:rPr>
          <w:noProof/>
          <w:color w:val="000000"/>
        </w:rPr>
        <w:t>(Mantel 1966)</w:t>
      </w:r>
      <w:r w:rsidRPr="00753C05">
        <w:rPr>
          <w:color w:val="000000"/>
        </w:rPr>
        <w:fldChar w:fldCharType="end"/>
      </w:r>
      <w:r w:rsidR="00521E71">
        <w:rPr>
          <w:color w:val="000000"/>
        </w:rPr>
        <w:t xml:space="preserve"> and found no differences among the four replicates</w:t>
      </w:r>
      <w:r w:rsidRPr="00753C05">
        <w:rPr>
          <w:color w:val="000000"/>
        </w:rPr>
        <w:t>. To check the proportional hazards assumption, a scaled Schoenfeld residual was plotted and a test using the Schoenfeld residuals against the transformed time was conducted for each covariate. If any covariate broke the assumption, a time-dependent Cox PH model was proposed, in which the time splitting point was selected by a stratified model. With additional interaction terms, a best time-dependent Cox PH model was chosen by both likelihood test score and Akaike information criterion</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10.1007/978-1-4612-1694-0_15","author":[{"dropping-particle":"","family":"Akaike","given":"Hirotogu","non-dropping-particle":"","parse-names":false,"suffix":""}],"id":"ITEM-1","issued":{"date-parts":[["1998"]]},"page":"199-213","publisher":"Springer, New York, NY","title":"Information Theory and an Extension of the Maximum Likelihood Principle","type":"chapter"},"uris":["http://www.mendeley.com/documents/?uuid=654d50bb-65c8-3661-b2df-d6372bcccf13"]}],"mendeley":{"formattedCitation":"(Akaike 1998)","plainTextFormattedCitation":"(Akaike 1998)","previouslyFormattedCitation":"(Akaike, 1998)"},"properties":{"noteIndex":0},"schema":"https://github.com/citation-style-language/schema/raw/master/csl-citation.json"}</w:instrText>
      </w:r>
      <w:r w:rsidRPr="00753C05">
        <w:rPr>
          <w:color w:val="000000"/>
        </w:rPr>
        <w:fldChar w:fldCharType="separate"/>
      </w:r>
      <w:r w:rsidR="008A40E1" w:rsidRPr="008A40E1">
        <w:rPr>
          <w:noProof/>
          <w:color w:val="000000"/>
        </w:rPr>
        <w:t>(Akaike 1998)</w:t>
      </w:r>
      <w:r w:rsidRPr="00753C05">
        <w:rPr>
          <w:color w:val="000000"/>
        </w:rPr>
        <w:fldChar w:fldCharType="end"/>
      </w:r>
      <w:r w:rsidRPr="00753C05">
        <w:rPr>
          <w:color w:val="000000"/>
        </w:rPr>
        <w:t xml:space="preserve">. To detect any influential outliers, every observation was assessed by its delta-beta value for each predictor of the best model. Influential outliers were kept in the model as we had no reason to think they resulted from error. </w:t>
      </w:r>
      <w:r w:rsidRPr="00753C05">
        <w:rPr>
          <w:rFonts w:eastAsia="Calibri"/>
          <w:iCs/>
        </w:rPr>
        <w:t xml:space="preserve">The Cox PH model not only allows for hazard ratio estimates but also for predicted survival probabilities. Rather than constructing confidence intervals in a traditional method using standard errors, we resampled observations of each fly group 1,000 times with </w:t>
      </w:r>
      <w:r w:rsidRPr="00753C05">
        <w:rPr>
          <w:rFonts w:eastAsia="Calibri"/>
          <w:iCs/>
        </w:rPr>
        <w:lastRenderedPageBreak/>
        <w:t xml:space="preserve">replacement to construct 95% confidence intervals for a linear combination of the covariates in the model. </w:t>
      </w:r>
    </w:p>
    <w:p w14:paraId="7D6034DB" w14:textId="7E97C9A3" w:rsidR="003E3967" w:rsidRPr="00753C05" w:rsidRDefault="003E3967" w:rsidP="003C5BAF">
      <w:pPr>
        <w:spacing w:line="480" w:lineRule="auto"/>
        <w:rPr>
          <w:color w:val="000000"/>
        </w:rPr>
      </w:pPr>
      <w:r w:rsidRPr="00753C05">
        <w:rPr>
          <w:color w:val="000000"/>
        </w:rPr>
        <w:t>To quantify the effect of mating on survival percent in the study, a time-dependent Cox Proportional Hazard model was proposed (</w:t>
      </w:r>
      <w:r w:rsidR="005559F1">
        <w:rPr>
          <w:color w:val="000000"/>
        </w:rPr>
        <w:t>Model 1</w:t>
      </w:r>
      <w:r w:rsidRPr="00753C05">
        <w:rPr>
          <w:color w:val="000000"/>
        </w:rPr>
        <w:t xml:space="preserve">). </w:t>
      </w:r>
    </w:p>
    <w:p w14:paraId="280FE4D0" w14:textId="4D670472" w:rsidR="00976650" w:rsidRPr="00753C05" w:rsidRDefault="00976650" w:rsidP="003C5BAF">
      <w:pPr>
        <w:spacing w:line="480" w:lineRule="auto"/>
        <w:rPr>
          <w:color w:val="000000"/>
        </w:rPr>
      </w:pPr>
    </w:p>
    <w:p w14:paraId="04225FE3" w14:textId="04F31FB2" w:rsidR="00976650" w:rsidRPr="00753C05" w:rsidRDefault="00976650" w:rsidP="003C5BAF">
      <w:pPr>
        <w:pStyle w:val="NormalWeb"/>
        <w:tabs>
          <w:tab w:val="right" w:pos="8550"/>
        </w:tabs>
        <w:spacing w:line="480" w:lineRule="auto"/>
        <w:ind w:right="1440"/>
        <w:rPr>
          <w:color w:val="000000"/>
        </w:rPr>
      </w:pPr>
      <m:oMath>
        <m:r>
          <w:rPr>
            <w:rFonts w:ascii="Cambria Math" w:hAnsi="Cambria Math"/>
            <w:color w:val="000000"/>
            <w:kern w:val="24"/>
          </w:rPr>
          <m:t>coxph</m:t>
        </m:r>
        <m:d>
          <m:dPr>
            <m:ctrlPr>
              <w:rPr>
                <w:rFonts w:ascii="Cambria Math" w:hAnsi="Cambria Math"/>
                <w:i/>
                <w:iCs/>
                <w:color w:val="000000"/>
                <w:kern w:val="24"/>
              </w:rPr>
            </m:ctrlPr>
          </m:dPr>
          <m:e>
            <m:r>
              <w:rPr>
                <w:rFonts w:ascii="Cambria Math" w:hAnsi="Cambria Math"/>
                <w:color w:val="000000"/>
                <w:kern w:val="24"/>
              </w:rPr>
              <m:t>time, event</m:t>
            </m:r>
          </m:e>
        </m:d>
        <m:r>
          <w:rPr>
            <w:rFonts w:ascii="Cambria Math" w:hAnsi="Cambria Math"/>
            <w:color w:val="000000"/>
            <w:kern w:val="24"/>
          </w:rPr>
          <m:t> = Fungal+Mated+Cohabit+Sex+Fungal × Sex</m:t>
        </m:r>
        <m:r>
          <w:rPr>
            <w:rFonts w:ascii="Cambria Math" w:eastAsia="Cambria Math" w:hAnsi="Cambria Math"/>
            <w:color w:val="000000"/>
            <w:kern w:val="24"/>
          </w:rPr>
          <m:t>+Mated × Sex+Fungal × Mated</m:t>
        </m:r>
      </m:oMath>
      <w:r w:rsidRPr="00753C05">
        <w:rPr>
          <w:color w:val="000000"/>
          <w:kern w:val="24"/>
        </w:rPr>
        <w:t>.</w:t>
      </w:r>
      <w:r w:rsidRPr="00753C05">
        <w:rPr>
          <w:color w:val="000000"/>
          <w:kern w:val="24"/>
        </w:rPr>
        <w:tab/>
        <w:t>(</w:t>
      </w:r>
      <w:r w:rsidR="005559F1">
        <w:rPr>
          <w:color w:val="000000"/>
          <w:kern w:val="24"/>
        </w:rPr>
        <w:t>Model 1</w:t>
      </w:r>
      <w:r w:rsidRPr="00753C05">
        <w:rPr>
          <w:color w:val="000000"/>
          <w:kern w:val="24"/>
        </w:rPr>
        <w:t>)</w:t>
      </w:r>
    </w:p>
    <w:p w14:paraId="0A463114" w14:textId="4DB42E4F" w:rsidR="003E3967" w:rsidRPr="00753C05" w:rsidRDefault="003E3967" w:rsidP="003C5BAF">
      <w:pPr>
        <w:spacing w:line="480" w:lineRule="auto"/>
        <w:rPr>
          <w:rFonts w:eastAsia="Calibri"/>
          <w:b/>
        </w:rPr>
      </w:pPr>
    </w:p>
    <w:p w14:paraId="3CFF7F53" w14:textId="16ED9F86" w:rsidR="005559F1" w:rsidRDefault="003E3967" w:rsidP="003C5BAF">
      <w:pPr>
        <w:spacing w:line="480" w:lineRule="auto"/>
        <w:ind w:firstLine="720"/>
        <w:rPr>
          <w:color w:val="000000"/>
        </w:rPr>
      </w:pPr>
      <w:r w:rsidRPr="00753C05">
        <w:rPr>
          <w:color w:val="000000"/>
        </w:rPr>
        <w:t xml:space="preserve">In this Cox PH model, the 21-day experiment time was split into </w:t>
      </w:r>
      <w:r w:rsidR="005C73F4" w:rsidRPr="00753C05">
        <w:rPr>
          <w:color w:val="000000"/>
        </w:rPr>
        <w:t>three</w:t>
      </w:r>
      <w:r w:rsidRPr="00753C05">
        <w:rPr>
          <w:color w:val="000000"/>
        </w:rPr>
        <w:t xml:space="preserve"> time intervals: 0-5, 5-11, and 11-21. This transformed covariates Fungal, Mated, and Cohabit to time-dependent ones. Each time-dependent covariate has different coefficient estimates over the time intervals</w:t>
      </w:r>
      <w:r w:rsidR="005559F1">
        <w:rPr>
          <w:color w:val="000000"/>
        </w:rPr>
        <w:t>:</w:t>
      </w:r>
    </w:p>
    <w:p w14:paraId="350D9B31" w14:textId="77777777" w:rsidR="005559F1" w:rsidRDefault="005559F1" w:rsidP="003C5BAF">
      <w:pPr>
        <w:spacing w:line="480" w:lineRule="auto"/>
        <w:ind w:firstLine="720"/>
        <w:rPr>
          <w:color w:val="000000"/>
        </w:rPr>
      </w:pPr>
    </w:p>
    <w:tbl>
      <w:tblPr>
        <w:tblW w:w="8543" w:type="dxa"/>
        <w:tblCellMar>
          <w:left w:w="0" w:type="dxa"/>
          <w:right w:w="0" w:type="dxa"/>
        </w:tblCellMar>
        <w:tblLook w:val="04A0" w:firstRow="1" w:lastRow="0" w:firstColumn="1" w:lastColumn="0" w:noHBand="0" w:noVBand="1"/>
      </w:tblPr>
      <w:tblGrid>
        <w:gridCol w:w="8543"/>
      </w:tblGrid>
      <w:tr w:rsidR="005559F1" w:rsidRPr="005559F1" w14:paraId="1D46E44D" w14:textId="77777777" w:rsidTr="005559F1">
        <w:trPr>
          <w:trHeight w:val="480"/>
        </w:trPr>
        <w:tc>
          <w:tcPr>
            <w:tcW w:w="8543" w:type="dxa"/>
            <w:tcBorders>
              <w:top w:val="single" w:sz="8" w:space="0" w:color="000000"/>
              <w:left w:val="nil"/>
              <w:bottom w:val="nil"/>
              <w:right w:val="nil"/>
            </w:tcBorders>
            <w:shd w:val="clear" w:color="auto" w:fill="auto"/>
            <w:tcMar>
              <w:top w:w="58" w:type="dxa"/>
              <w:left w:w="115" w:type="dxa"/>
              <w:bottom w:w="58" w:type="dxa"/>
              <w:right w:w="115" w:type="dxa"/>
            </w:tcMar>
            <w:hideMark/>
          </w:tcPr>
          <w:p w14:paraId="00D59878" w14:textId="1FDBB23E" w:rsidR="005559F1" w:rsidRPr="005559F1" w:rsidRDefault="005559F1" w:rsidP="005559F1">
            <w:pPr>
              <w:spacing w:line="480" w:lineRule="auto"/>
              <w:ind w:firstLine="720"/>
              <w:rPr>
                <w:color w:val="000000"/>
              </w:rPr>
            </w:pPr>
            <m:oMathPara>
              <m:oMathParaPr>
                <m:jc m:val="centerGroup"/>
              </m:oMathParaPr>
              <m:oMath>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0-5</m:t>
                    </m:r>
                  </m:sub>
                </m:sSub>
                <m:r>
                  <w:rPr>
                    <w:rFonts w:ascii="Cambria Math" w:hAnsi="Cambria Math"/>
                    <w:color w:val="000000"/>
                  </w:rPr>
                  <m:t>(</m:t>
                </m:r>
                <m:r>
                  <m:rPr>
                    <m:sty m:val="bi"/>
                  </m:rPr>
                  <w:rPr>
                    <w:rFonts w:ascii="Cambria Math" w:hAnsi="Cambria Math"/>
                    <w:color w:val="000000"/>
                  </w:rPr>
                  <m:t>x</m:t>
                </m:r>
                <m:r>
                  <w:rPr>
                    <w:rFonts w:ascii="Cambria Math" w:hAnsi="Cambria Math"/>
                    <w:color w:val="000000"/>
                  </w:rPr>
                  <m:t>) = </m:t>
                </m:r>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o</m:t>
                    </m:r>
                  </m:sub>
                </m:sSub>
                <m:r>
                  <m:rPr>
                    <m:sty m:val="p"/>
                  </m:rPr>
                  <w:rPr>
                    <w:rFonts w:ascii="Cambria Math" w:hAnsi="Cambria Math"/>
                    <w:color w:val="000000"/>
                  </w:rPr>
                  <m:t>exp</m:t>
                </m:r>
                <m:r>
                  <w:rPr>
                    <w:rFonts w:ascii="Cambria Math" w:hAnsi="Cambria Math"/>
                    <w:color w:val="000000"/>
                  </w:rPr>
                  <m:t>[1.04</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m:t>
                    </m:r>
                  </m:sub>
                </m:sSub>
                <m:r>
                  <w:rPr>
                    <w:rFonts w:ascii="Cambria Math" w:hAnsi="Cambria Math"/>
                    <w:color w:val="000000"/>
                  </w:rPr>
                  <m:t>+0.24</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m:t>
                    </m:r>
                  </m:sub>
                </m:sSub>
                <m:r>
                  <w:rPr>
                    <w:rFonts w:ascii="Cambria Math" w:hAnsi="Cambria Math"/>
                    <w:color w:val="000000"/>
                  </w:rPr>
                  <m:t>+1.03</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Cohabit</m:t>
                    </m:r>
                  </m:sub>
                </m:sSub>
                <m:r>
                  <w:rPr>
                    <w:rFonts w:ascii="Cambria Math" w:hAnsi="Cambria Math"/>
                    <w:color w:val="000000"/>
                  </w:rPr>
                  <m:t>+0.75</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Male</m:t>
                    </m:r>
                  </m:sub>
                </m:sSub>
                <m:r>
                  <w:rPr>
                    <w:rFonts w:ascii="Cambria Math" w:hAnsi="Cambria Math"/>
                    <w:color w:val="000000"/>
                  </w:rPr>
                  <m:t>-0.46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 Male</m:t>
                    </m:r>
                  </m:sub>
                </m:sSub>
                <m:r>
                  <w:rPr>
                    <w:rFonts w:ascii="Cambria Math" w:hAnsi="Cambria Math"/>
                    <w:color w:val="000000"/>
                  </w:rPr>
                  <m:t> -0.59</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 Male</m:t>
                    </m:r>
                  </m:sub>
                </m:sSub>
                <m:r>
                  <w:rPr>
                    <w:rFonts w:ascii="Cambria Math" w:hAnsi="Cambria Math"/>
                    <w:color w:val="000000"/>
                  </w:rPr>
                  <m:t>+0.76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 Mated</m:t>
                    </m:r>
                  </m:sub>
                </m:sSub>
                <m:r>
                  <w:rPr>
                    <w:rFonts w:ascii="Cambria Math" w:hAnsi="Cambria Math"/>
                    <w:color w:val="000000"/>
                  </w:rPr>
                  <m:t>]</m:t>
                </m:r>
              </m:oMath>
            </m:oMathPara>
          </w:p>
        </w:tc>
      </w:tr>
      <w:tr w:rsidR="005559F1" w:rsidRPr="005559F1" w14:paraId="7B59018D" w14:textId="77777777" w:rsidTr="005559F1">
        <w:trPr>
          <w:trHeight w:val="480"/>
        </w:trPr>
        <w:tc>
          <w:tcPr>
            <w:tcW w:w="8543" w:type="dxa"/>
            <w:tcBorders>
              <w:top w:val="nil"/>
              <w:left w:val="nil"/>
              <w:bottom w:val="nil"/>
              <w:right w:val="nil"/>
            </w:tcBorders>
            <w:shd w:val="clear" w:color="auto" w:fill="auto"/>
            <w:tcMar>
              <w:top w:w="58" w:type="dxa"/>
              <w:left w:w="115" w:type="dxa"/>
              <w:bottom w:w="58" w:type="dxa"/>
              <w:right w:w="115" w:type="dxa"/>
            </w:tcMar>
            <w:hideMark/>
          </w:tcPr>
          <w:p w14:paraId="43B113FF" w14:textId="5A4EF0DB" w:rsidR="005559F1" w:rsidRPr="005559F1" w:rsidRDefault="005559F1" w:rsidP="005559F1">
            <w:pPr>
              <w:spacing w:line="480" w:lineRule="auto"/>
              <w:ind w:firstLine="720"/>
              <w:rPr>
                <w:color w:val="000000"/>
              </w:rPr>
            </w:pPr>
            <m:oMathPara>
              <m:oMathParaPr>
                <m:jc m:val="centerGroup"/>
              </m:oMathParaPr>
              <m:oMath>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5-11</m:t>
                    </m:r>
                  </m:sub>
                </m:sSub>
                <m:d>
                  <m:dPr>
                    <m:ctrlPr>
                      <w:rPr>
                        <w:rFonts w:ascii="Cambria Math" w:hAnsi="Cambria Math"/>
                        <w:i/>
                        <w:iCs/>
                        <w:color w:val="000000"/>
                      </w:rPr>
                    </m:ctrlPr>
                  </m:dPr>
                  <m:e>
                    <m:r>
                      <m:rPr>
                        <m:sty m:val="bi"/>
                      </m:rPr>
                      <w:rPr>
                        <w:rFonts w:ascii="Cambria Math" w:hAnsi="Cambria Math"/>
                        <w:color w:val="000000"/>
                      </w:rPr>
                      <m:t>x</m:t>
                    </m:r>
                  </m:e>
                </m:d>
                <m:r>
                  <w:rPr>
                    <w:rFonts w:ascii="Cambria Math" w:hAnsi="Cambria Math"/>
                    <w:color w:val="000000"/>
                  </w:rPr>
                  <m:t> = </m:t>
                </m:r>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o</m:t>
                    </m:r>
                  </m:sub>
                </m:sSub>
                <m:func>
                  <m:funcPr>
                    <m:ctrlPr>
                      <w:rPr>
                        <w:rFonts w:ascii="Cambria Math" w:hAnsi="Cambria Math"/>
                        <w:i/>
                        <w:iCs/>
                        <w:color w:val="000000"/>
                      </w:rPr>
                    </m:ctrlPr>
                  </m:funcPr>
                  <m:fName>
                    <m:r>
                      <m:rPr>
                        <m:sty m:val="p"/>
                      </m:rPr>
                      <w:rPr>
                        <w:rFonts w:ascii="Cambria Math" w:hAnsi="Cambria Math"/>
                        <w:color w:val="000000"/>
                      </w:rPr>
                      <m:t>exp</m:t>
                    </m:r>
                  </m:fName>
                  <m:e>
                    <m:d>
                      <m:dPr>
                        <m:begChr m:val="["/>
                        <m:endChr m:val="]"/>
                        <m:ctrlPr>
                          <w:rPr>
                            <w:rFonts w:ascii="Cambria Math" w:hAnsi="Cambria Math"/>
                            <w:i/>
                            <w:iCs/>
                            <w:color w:val="000000"/>
                          </w:rPr>
                        </m:ctrlPr>
                      </m:dPr>
                      <m:e>
                        <m:r>
                          <w:rPr>
                            <w:rFonts w:ascii="Cambria Math" w:hAnsi="Cambria Math"/>
                            <w:color w:val="000000"/>
                          </w:rPr>
                          <m:t>3.94</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m:t>
                            </m:r>
                          </m:sub>
                        </m:sSub>
                        <m:r>
                          <w:rPr>
                            <w:rFonts w:ascii="Cambria Math" w:hAnsi="Cambria Math"/>
                            <w:color w:val="000000"/>
                          </w:rPr>
                          <m:t>+0.22</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m:t>
                            </m:r>
                          </m:sub>
                        </m:sSub>
                        <m:r>
                          <w:rPr>
                            <w:rFonts w:ascii="Cambria Math" w:hAnsi="Cambria Math"/>
                            <w:color w:val="000000"/>
                          </w:rPr>
                          <m:t>+1.52</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Cohabit</m:t>
                            </m:r>
                          </m:sub>
                        </m:sSub>
                        <m:r>
                          <w:rPr>
                            <w:rFonts w:ascii="Cambria Math" w:hAnsi="Cambria Math"/>
                            <w:color w:val="000000"/>
                          </w:rPr>
                          <m:t>+0.75</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Male</m:t>
                            </m:r>
                          </m:sub>
                        </m:sSub>
                        <m:r>
                          <w:rPr>
                            <w:rFonts w:ascii="Cambria Math" w:hAnsi="Cambria Math"/>
                            <w:color w:val="000000"/>
                          </w:rPr>
                          <m:t>-0.46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 Male</m:t>
                            </m:r>
                          </m:sub>
                        </m:sSub>
                        <m:r>
                          <w:rPr>
                            <w:rFonts w:ascii="Cambria Math" w:hAnsi="Cambria Math"/>
                            <w:color w:val="000000"/>
                          </w:rPr>
                          <m:t> -0.59</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 Male</m:t>
                            </m:r>
                          </m:sub>
                        </m:sSub>
                        <m:r>
                          <w:rPr>
                            <w:rFonts w:ascii="Cambria Math" w:hAnsi="Cambria Math"/>
                            <w:color w:val="000000"/>
                          </w:rPr>
                          <m:t>+0.76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 Mated</m:t>
                            </m:r>
                          </m:sub>
                        </m:sSub>
                      </m:e>
                    </m:d>
                  </m:e>
                </m:func>
              </m:oMath>
            </m:oMathPara>
          </w:p>
        </w:tc>
      </w:tr>
      <w:tr w:rsidR="005559F1" w:rsidRPr="005559F1" w14:paraId="5367202C" w14:textId="77777777" w:rsidTr="005559F1">
        <w:trPr>
          <w:trHeight w:val="492"/>
        </w:trPr>
        <w:tc>
          <w:tcPr>
            <w:tcW w:w="8543" w:type="dxa"/>
            <w:tcBorders>
              <w:top w:val="nil"/>
              <w:left w:val="nil"/>
              <w:bottom w:val="single" w:sz="8" w:space="0" w:color="000000"/>
              <w:right w:val="nil"/>
            </w:tcBorders>
            <w:shd w:val="clear" w:color="auto" w:fill="auto"/>
            <w:tcMar>
              <w:top w:w="58" w:type="dxa"/>
              <w:left w:w="115" w:type="dxa"/>
              <w:bottom w:w="58" w:type="dxa"/>
              <w:right w:w="115" w:type="dxa"/>
            </w:tcMar>
            <w:hideMark/>
          </w:tcPr>
          <w:p w14:paraId="209D7390" w14:textId="13305F48" w:rsidR="005559F1" w:rsidRPr="005559F1" w:rsidRDefault="005559F1" w:rsidP="005559F1">
            <w:pPr>
              <w:spacing w:line="480" w:lineRule="auto"/>
              <w:ind w:firstLine="720"/>
              <w:rPr>
                <w:color w:val="000000"/>
              </w:rPr>
            </w:pPr>
            <m:oMathPara>
              <m:oMathParaPr>
                <m:jc m:val="centerGroup"/>
              </m:oMathParaPr>
              <m:oMath>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11-21</m:t>
                    </m:r>
                  </m:sub>
                </m:sSub>
                <m:d>
                  <m:dPr>
                    <m:ctrlPr>
                      <w:rPr>
                        <w:rFonts w:ascii="Cambria Math" w:hAnsi="Cambria Math"/>
                        <w:i/>
                        <w:iCs/>
                        <w:color w:val="000000"/>
                      </w:rPr>
                    </m:ctrlPr>
                  </m:dPr>
                  <m:e>
                    <m:r>
                      <m:rPr>
                        <m:sty m:val="bi"/>
                      </m:rPr>
                      <w:rPr>
                        <w:rFonts w:ascii="Cambria Math" w:hAnsi="Cambria Math"/>
                        <w:color w:val="000000"/>
                      </w:rPr>
                      <m:t>x</m:t>
                    </m:r>
                  </m:e>
                </m:d>
                <m:r>
                  <w:rPr>
                    <w:rFonts w:ascii="Cambria Math" w:hAnsi="Cambria Math"/>
                    <w:color w:val="000000"/>
                  </w:rPr>
                  <m:t> = </m:t>
                </m:r>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o</m:t>
                    </m:r>
                  </m:sub>
                </m:sSub>
                <m:func>
                  <m:funcPr>
                    <m:ctrlPr>
                      <w:rPr>
                        <w:rFonts w:ascii="Cambria Math" w:hAnsi="Cambria Math"/>
                        <w:i/>
                        <w:iCs/>
                        <w:color w:val="000000"/>
                      </w:rPr>
                    </m:ctrlPr>
                  </m:funcPr>
                  <m:fName>
                    <m:r>
                      <m:rPr>
                        <m:sty m:val="p"/>
                      </m:rPr>
                      <w:rPr>
                        <w:rFonts w:ascii="Cambria Math" w:hAnsi="Cambria Math"/>
                        <w:color w:val="000000"/>
                      </w:rPr>
                      <m:t>exp</m:t>
                    </m:r>
                  </m:fName>
                  <m:e>
                    <m:d>
                      <m:dPr>
                        <m:begChr m:val="["/>
                        <m:endChr m:val="]"/>
                        <m:ctrlPr>
                          <w:rPr>
                            <w:rFonts w:ascii="Cambria Math" w:hAnsi="Cambria Math"/>
                            <w:i/>
                            <w:iCs/>
                            <w:color w:val="000000"/>
                          </w:rPr>
                        </m:ctrlPr>
                      </m:dPr>
                      <m:e>
                        <m:r>
                          <w:rPr>
                            <w:rFonts w:ascii="Cambria Math" w:hAnsi="Cambria Math"/>
                            <w:color w:val="000000"/>
                          </w:rPr>
                          <m:t>3.66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m:t>
                            </m:r>
                          </m:sub>
                        </m:sSub>
                        <m:r>
                          <w:rPr>
                            <w:rFonts w:ascii="Cambria Math" w:hAnsi="Cambria Math"/>
                            <w:color w:val="000000"/>
                          </w:rPr>
                          <m:t>-0.07</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m:t>
                            </m:r>
                          </m:sub>
                        </m:sSub>
                        <m:r>
                          <w:rPr>
                            <w:rFonts w:ascii="Cambria Math" w:hAnsi="Cambria Math"/>
                            <w:color w:val="000000"/>
                          </w:rPr>
                          <m:t>+0.83</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Cohabit</m:t>
                            </m:r>
                          </m:sub>
                        </m:sSub>
                        <m:r>
                          <w:rPr>
                            <w:rFonts w:ascii="Cambria Math" w:hAnsi="Cambria Math"/>
                            <w:color w:val="000000"/>
                          </w:rPr>
                          <m:t>+0.75</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Male</m:t>
                            </m:r>
                          </m:sub>
                        </m:sSub>
                        <m:r>
                          <w:rPr>
                            <w:rFonts w:ascii="Cambria Math" w:hAnsi="Cambria Math"/>
                            <w:color w:val="000000"/>
                          </w:rPr>
                          <m:t>-0.46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 Male</m:t>
                            </m:r>
                          </m:sub>
                        </m:sSub>
                        <m:r>
                          <w:rPr>
                            <w:rFonts w:ascii="Cambria Math" w:hAnsi="Cambria Math"/>
                            <w:color w:val="000000"/>
                          </w:rPr>
                          <m:t> -0.59</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 Male</m:t>
                            </m:r>
                          </m:sub>
                        </m:sSub>
                        <m:r>
                          <w:rPr>
                            <w:rFonts w:ascii="Cambria Math" w:hAnsi="Cambria Math"/>
                            <w:color w:val="000000"/>
                          </w:rPr>
                          <m:t>+0.76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Fungal Mated</m:t>
                            </m:r>
                          </m:sub>
                        </m:sSub>
                      </m:e>
                    </m:d>
                  </m:e>
                </m:func>
              </m:oMath>
            </m:oMathPara>
          </w:p>
        </w:tc>
      </w:tr>
    </w:tbl>
    <w:p w14:paraId="131DE191" w14:textId="77777777" w:rsidR="005559F1" w:rsidRDefault="005559F1" w:rsidP="003C5BAF">
      <w:pPr>
        <w:spacing w:line="480" w:lineRule="auto"/>
        <w:ind w:firstLine="720"/>
        <w:rPr>
          <w:color w:val="000000"/>
        </w:rPr>
      </w:pPr>
    </w:p>
    <w:p w14:paraId="34538790" w14:textId="6E066248" w:rsidR="003E3967" w:rsidRDefault="003E3967" w:rsidP="003C5BAF">
      <w:pPr>
        <w:spacing w:line="480" w:lineRule="auto"/>
        <w:ind w:firstLine="720"/>
        <w:rPr>
          <w:color w:val="000000"/>
        </w:rPr>
      </w:pPr>
      <w:r w:rsidRPr="00753C05">
        <w:rPr>
          <w:color w:val="000000"/>
        </w:rPr>
        <w:lastRenderedPageBreak/>
        <w:t xml:space="preserve">The Cox PH model gave us a measure of the effect of mating on survival at any time point by looking at the hazard ratio estimates, </w:t>
      </w:r>
      <w:proofErr w:type="gramStart"/>
      <w:r w:rsidRPr="00753C05">
        <w:rPr>
          <w:color w:val="000000"/>
        </w:rPr>
        <w:t>and also</w:t>
      </w:r>
      <w:proofErr w:type="gramEnd"/>
      <w:r w:rsidRPr="00753C05">
        <w:rPr>
          <w:color w:val="000000"/>
        </w:rPr>
        <w:t xml:space="preserve"> compared survival probabilities over a span of 21 days visually. </w:t>
      </w:r>
    </w:p>
    <w:p w14:paraId="257F00B0" w14:textId="77777777" w:rsidR="00586A22" w:rsidRDefault="00586A22" w:rsidP="00586A22">
      <w:pPr>
        <w:spacing w:line="480" w:lineRule="auto"/>
        <w:ind w:firstLine="720"/>
        <w:rPr>
          <w:color w:val="000000"/>
        </w:rPr>
      </w:pPr>
      <w:r w:rsidRPr="00753C05">
        <w:rPr>
          <w:color w:val="000000"/>
        </w:rPr>
        <w:t>We also investigated the effects of infection and mating status on offspring count via the analysis of variance (ANOVA)</w:t>
      </w:r>
      <w:r w:rsidRPr="00753C05">
        <w:rPr>
          <w:color w:val="000000"/>
        </w:rPr>
        <w:fldChar w:fldCharType="begin" w:fldLock="1"/>
      </w:r>
      <w:r>
        <w:rPr>
          <w:color w:val="000000"/>
        </w:rPr>
        <w:instrText>ADDIN CSL_CITATION {"citationItems":[{"id":"ITEM-1","itemData":{"author":[{"dropping-particle":"","family":"Fisher","given":"Ronald","non-dropping-particle":"","parse-names":false,"suffix":""}],"id":"ITEM-1","issued":{"date-parts":[["1932"]]},"publisher":"Oliver and Boyd","publisher-place":"Edinburgh","title":"Statistical methods for research workers,","type":"book"},"uris":["http://www.mendeley.com/documents/?uuid=8cb0be16-2937-3220-81f2-480c5b207c21"]}],"mendeley":{"formattedCitation":"(Fisher 1932)","plainTextFormattedCitation":"(Fisher 1932)","previouslyFormattedCitation":"(Fisher, 1932)"},"properties":{"noteIndex":0},"schema":"https://github.com/citation-style-language/schema/raw/master/csl-citation.json"}</w:instrText>
      </w:r>
      <w:r w:rsidRPr="00753C05">
        <w:rPr>
          <w:color w:val="000000"/>
        </w:rPr>
        <w:fldChar w:fldCharType="separate"/>
      </w:r>
      <w:r w:rsidRPr="008A40E1">
        <w:rPr>
          <w:noProof/>
          <w:color w:val="000000"/>
        </w:rPr>
        <w:t>(Fisher 1932)</w:t>
      </w:r>
      <w:r w:rsidRPr="00753C05">
        <w:rPr>
          <w:color w:val="000000"/>
        </w:rPr>
        <w:fldChar w:fldCharType="end"/>
      </w:r>
      <w:r w:rsidRPr="00753C05">
        <w:rPr>
          <w:color w:val="000000"/>
        </w:rPr>
        <w:t>. We first calculated the number of offspring counts per surviving female fly and assessed the mean values of different groups of treatments and mating statuses. The analysis not only examined the main effects but also explored with the interaction effects between treatments and mating statuses. Based on the final model, the means with standard error and 95% confidence intervals were calculated. Also, multiple pairwise-comparison between means of groups were performed to indicate which groups were significantly different from others.</w:t>
      </w:r>
    </w:p>
    <w:p w14:paraId="61F94CB5" w14:textId="0CACC4A0" w:rsidR="00586A22" w:rsidRDefault="00586A22" w:rsidP="003C5BAF">
      <w:pPr>
        <w:spacing w:line="480" w:lineRule="auto"/>
        <w:ind w:firstLine="720"/>
        <w:rPr>
          <w:color w:val="000000"/>
        </w:rPr>
      </w:pPr>
    </w:p>
    <w:p w14:paraId="5AFFE964" w14:textId="68BF4418" w:rsidR="00586A22" w:rsidRPr="00586A22" w:rsidRDefault="00586A22" w:rsidP="00586A22">
      <w:pPr>
        <w:spacing w:line="480" w:lineRule="auto"/>
        <w:rPr>
          <w:i/>
          <w:iCs/>
          <w:color w:val="000000"/>
        </w:rPr>
      </w:pPr>
      <w:r w:rsidRPr="00586A22">
        <w:rPr>
          <w:i/>
          <w:iCs/>
          <w:color w:val="000000"/>
        </w:rPr>
        <w:t xml:space="preserve">Experiment 2: </w:t>
      </w:r>
      <w:r w:rsidR="008F4C44">
        <w:rPr>
          <w:i/>
          <w:iCs/>
          <w:color w:val="000000"/>
        </w:rPr>
        <w:t xml:space="preserve">Sexual dimorphism in post-infection survival of D. melanogaster when inoculated with B. </w:t>
      </w:r>
      <w:proofErr w:type="spellStart"/>
      <w:r w:rsidR="008F4C44">
        <w:rPr>
          <w:i/>
          <w:iCs/>
          <w:color w:val="000000"/>
        </w:rPr>
        <w:t>bassiana</w:t>
      </w:r>
      <w:proofErr w:type="spellEnd"/>
      <w:r w:rsidR="008F4C44">
        <w:rPr>
          <w:i/>
          <w:iCs/>
          <w:color w:val="000000"/>
        </w:rPr>
        <w:t xml:space="preserve"> strain GHA</w:t>
      </w:r>
    </w:p>
    <w:p w14:paraId="54D2D284" w14:textId="15A9CEBA" w:rsidR="0086110D" w:rsidRDefault="0086110D" w:rsidP="003C5BAF">
      <w:pPr>
        <w:spacing w:line="480" w:lineRule="auto"/>
        <w:ind w:firstLine="720"/>
        <w:rPr>
          <w:color w:val="000000"/>
        </w:rPr>
      </w:pPr>
      <w:r>
        <w:rPr>
          <w:color w:val="000000"/>
        </w:rPr>
        <w:t>On</w:t>
      </w:r>
      <w:r w:rsidR="00122B06">
        <w:rPr>
          <w:color w:val="000000"/>
        </w:rPr>
        <w:t xml:space="preserve"> day 12 from egg, </w:t>
      </w:r>
      <w:r w:rsidR="007125FE">
        <w:rPr>
          <w:color w:val="000000"/>
        </w:rPr>
        <w:t xml:space="preserve">flies were transferred out of the rearing vials and into fresh </w:t>
      </w:r>
      <w:r w:rsidR="0008490D">
        <w:rPr>
          <w:color w:val="000000"/>
        </w:rPr>
        <w:t>Cornmeal</w:t>
      </w:r>
      <w:r w:rsidR="007125FE">
        <w:rPr>
          <w:color w:val="000000"/>
        </w:rPr>
        <w:t xml:space="preserve"> vials in groups of </w:t>
      </w:r>
      <w:r>
        <w:rPr>
          <w:color w:val="000000"/>
        </w:rPr>
        <w:t>15 males and 15 females</w:t>
      </w:r>
      <w:r w:rsidR="007125FE">
        <w:rPr>
          <w:color w:val="000000"/>
        </w:rPr>
        <w:t xml:space="preserve">. </w:t>
      </w:r>
      <w:r w:rsidRPr="009E06F2">
        <w:rPr>
          <w:rFonts w:eastAsia="Calibri"/>
        </w:rPr>
        <w:t>To separate and count the flies by sex, we anesthetized them using a CO</w:t>
      </w:r>
      <w:r w:rsidRPr="009E06F2">
        <w:rPr>
          <w:rFonts w:eastAsia="Calibri"/>
          <w:vertAlign w:val="subscript"/>
        </w:rPr>
        <w:t>2</w:t>
      </w:r>
      <w:r w:rsidRPr="009E06F2">
        <w:rPr>
          <w:rFonts w:eastAsia="Calibri"/>
        </w:rPr>
        <w:t xml:space="preserve"> gun for 10 seconds and put them on the CO</w:t>
      </w:r>
      <w:r w:rsidRPr="009E06F2">
        <w:rPr>
          <w:rFonts w:eastAsia="Calibri"/>
          <w:vertAlign w:val="subscript"/>
        </w:rPr>
        <w:t>2</w:t>
      </w:r>
      <w:r w:rsidRPr="009E06F2">
        <w:rPr>
          <w:rFonts w:eastAsia="Calibri"/>
        </w:rPr>
        <w:t xml:space="preserve"> pad for ~3 minutes.</w:t>
      </w:r>
      <w:r>
        <w:rPr>
          <w:color w:val="000000"/>
        </w:rPr>
        <w:t xml:space="preserve"> </w:t>
      </w:r>
      <w:r w:rsidR="00122B06">
        <w:rPr>
          <w:color w:val="000000"/>
        </w:rPr>
        <w:t xml:space="preserve">Then on day </w:t>
      </w:r>
      <w:r w:rsidR="0001798D">
        <w:rPr>
          <w:color w:val="000000"/>
        </w:rPr>
        <w:t>17 from egg, flies were inoculated with GHA or control suspension</w:t>
      </w:r>
      <w:r w:rsidR="00122B06">
        <w:rPr>
          <w:color w:val="000000"/>
        </w:rPr>
        <w:t>s</w:t>
      </w:r>
      <w:r w:rsidR="0001798D">
        <w:rPr>
          <w:color w:val="000000"/>
        </w:rPr>
        <w:t>.</w:t>
      </w:r>
      <w:r>
        <w:rPr>
          <w:color w:val="000000"/>
        </w:rPr>
        <w:t xml:space="preserve"> For each spray, 60 flies were anesthetized with </w:t>
      </w:r>
      <w:r w:rsidR="007125FE" w:rsidRPr="009E06F2">
        <w:rPr>
          <w:rFonts w:eastAsia="Calibri"/>
        </w:rPr>
        <w:t>CO</w:t>
      </w:r>
      <w:r w:rsidR="007125FE" w:rsidRPr="009E06F2">
        <w:rPr>
          <w:rFonts w:eastAsia="Calibri"/>
          <w:vertAlign w:val="subscript"/>
        </w:rPr>
        <w:t>2</w:t>
      </w:r>
      <w:r>
        <w:rPr>
          <w:color w:val="000000"/>
        </w:rPr>
        <w:t xml:space="preserve"> for 15 seconds to immobilize </w:t>
      </w:r>
      <w:r w:rsidR="007125FE">
        <w:rPr>
          <w:color w:val="000000"/>
        </w:rPr>
        <w:t>them</w:t>
      </w:r>
      <w:r>
        <w:rPr>
          <w:color w:val="000000"/>
        </w:rPr>
        <w:t xml:space="preserve"> and </w:t>
      </w:r>
      <w:r w:rsidR="007125FE">
        <w:rPr>
          <w:color w:val="000000"/>
        </w:rPr>
        <w:t xml:space="preserve">placed on Petri dishes </w:t>
      </w:r>
      <w:r>
        <w:rPr>
          <w:color w:val="000000"/>
        </w:rPr>
        <w:t>on ice for the ~2 minutes of the spray time. Males and females were sprayed together and cohabited together after the spray.</w:t>
      </w:r>
      <w:r w:rsidR="0001798D">
        <w:rPr>
          <w:color w:val="000000"/>
        </w:rPr>
        <w:t xml:space="preserve"> Mortality was followed for 21 days post spray. </w:t>
      </w:r>
      <w:r w:rsidR="007125FE">
        <w:rPr>
          <w:color w:val="000000"/>
        </w:rPr>
        <w:t>At least 500 flies were tested per sex per treatment.</w:t>
      </w:r>
    </w:p>
    <w:p w14:paraId="284DD605" w14:textId="77777777" w:rsidR="00740337" w:rsidRDefault="00740337" w:rsidP="0001798D">
      <w:pPr>
        <w:spacing w:line="480" w:lineRule="auto"/>
        <w:rPr>
          <w:i/>
          <w:iCs/>
          <w:color w:val="000000"/>
        </w:rPr>
      </w:pPr>
    </w:p>
    <w:p w14:paraId="031DC8C0" w14:textId="00466999" w:rsidR="0001798D" w:rsidRPr="0001798D" w:rsidRDefault="0001798D" w:rsidP="0001798D">
      <w:pPr>
        <w:spacing w:line="480" w:lineRule="auto"/>
        <w:rPr>
          <w:i/>
          <w:iCs/>
          <w:color w:val="000000"/>
        </w:rPr>
      </w:pPr>
      <w:r w:rsidRPr="0001798D">
        <w:rPr>
          <w:i/>
          <w:iCs/>
          <w:color w:val="000000"/>
        </w:rPr>
        <w:t>Statistical analysis</w:t>
      </w:r>
      <w:r w:rsidR="00740337">
        <w:rPr>
          <w:i/>
          <w:iCs/>
          <w:color w:val="000000"/>
        </w:rPr>
        <w:t xml:space="preserve"> of Experiment 2:</w:t>
      </w:r>
    </w:p>
    <w:p w14:paraId="332FAF6C" w14:textId="4105CAD3" w:rsidR="005C73F4" w:rsidRPr="00753C05" w:rsidRDefault="003E3967" w:rsidP="008B6BF3">
      <w:pPr>
        <w:spacing w:line="480" w:lineRule="auto"/>
        <w:ind w:firstLine="720"/>
        <w:rPr>
          <w:color w:val="000000"/>
        </w:rPr>
      </w:pPr>
      <w:r w:rsidRPr="00753C05">
        <w:rPr>
          <w:color w:val="000000"/>
        </w:rPr>
        <w:t xml:space="preserve">Sexual dimorphism </w:t>
      </w:r>
      <w:r w:rsidR="0001798D">
        <w:rPr>
          <w:color w:val="000000"/>
        </w:rPr>
        <w:t xml:space="preserve">in survival after </w:t>
      </w:r>
      <w:r w:rsidRPr="00753C05">
        <w:rPr>
          <w:color w:val="000000"/>
        </w:rPr>
        <w:t>GHA</w:t>
      </w:r>
      <w:r w:rsidR="0001798D">
        <w:rPr>
          <w:color w:val="000000"/>
        </w:rPr>
        <w:t xml:space="preserve"> inoculation</w:t>
      </w:r>
      <w:r w:rsidRPr="00753C05">
        <w:rPr>
          <w:color w:val="000000"/>
        </w:rPr>
        <w:t xml:space="preserve"> was analyzed similar</w:t>
      </w:r>
      <w:r w:rsidR="0001798D">
        <w:rPr>
          <w:color w:val="000000"/>
        </w:rPr>
        <w:t>ly as in Experiment 1</w:t>
      </w:r>
      <w:r w:rsidRPr="00753C05">
        <w:rPr>
          <w:color w:val="000000"/>
        </w:rPr>
        <w:t xml:space="preserve"> (</w:t>
      </w:r>
      <w:r w:rsidR="00500785" w:rsidRPr="00753C05">
        <w:rPr>
          <w:color w:val="000000"/>
        </w:rPr>
        <w:t xml:space="preserve">see </w:t>
      </w:r>
      <w:r w:rsidR="0001798D">
        <w:rPr>
          <w:color w:val="000000"/>
        </w:rPr>
        <w:t>Model 2</w:t>
      </w:r>
      <w:r w:rsidRPr="00753C05">
        <w:rPr>
          <w:color w:val="000000"/>
        </w:rPr>
        <w:t xml:space="preserve">). </w:t>
      </w:r>
    </w:p>
    <w:p w14:paraId="6E521AF5" w14:textId="77777777" w:rsidR="005C73F4" w:rsidRPr="00753C05" w:rsidRDefault="005C73F4" w:rsidP="003C5BAF">
      <w:pPr>
        <w:spacing w:line="480" w:lineRule="auto"/>
        <w:rPr>
          <w:color w:val="000000"/>
        </w:rPr>
      </w:pPr>
    </w:p>
    <w:p w14:paraId="1B127A9E" w14:textId="366DEB3C" w:rsidR="003E3967" w:rsidRPr="00753C05" w:rsidRDefault="005C73F4" w:rsidP="003C5BAF">
      <w:pPr>
        <w:tabs>
          <w:tab w:val="right" w:pos="8640"/>
        </w:tabs>
        <w:spacing w:line="480" w:lineRule="auto"/>
        <w:rPr>
          <w:color w:val="000000"/>
        </w:rPr>
      </w:pPr>
      <m:oMath>
        <m:r>
          <w:rPr>
            <w:rFonts w:ascii="Cambria Math" w:hAnsi="Cambria Math"/>
            <w:color w:val="000000"/>
            <w:kern w:val="24"/>
          </w:rPr>
          <m:t>coxph</m:t>
        </m:r>
        <m:d>
          <m:dPr>
            <m:ctrlPr>
              <w:rPr>
                <w:rFonts w:ascii="Cambria Math" w:hAnsi="Cambria Math"/>
                <w:i/>
                <w:iCs/>
                <w:color w:val="000000"/>
                <w:kern w:val="24"/>
              </w:rPr>
            </m:ctrlPr>
          </m:dPr>
          <m:e>
            <m:r>
              <w:rPr>
                <w:rFonts w:ascii="Cambria Math" w:hAnsi="Cambria Math"/>
                <w:color w:val="000000"/>
                <w:kern w:val="24"/>
              </w:rPr>
              <m:t>time, event</m:t>
            </m:r>
          </m:e>
        </m:d>
        <m:r>
          <w:rPr>
            <w:rFonts w:ascii="Cambria Math" w:hAnsi="Cambria Math"/>
            <w:color w:val="000000"/>
            <w:kern w:val="24"/>
          </w:rPr>
          <m:t> = Fungal+Sex</m:t>
        </m:r>
      </m:oMath>
      <w:r w:rsidRPr="00753C05">
        <w:rPr>
          <w:color w:val="000000"/>
          <w:kern w:val="24"/>
        </w:rPr>
        <w:tab/>
        <w:t>(</w:t>
      </w:r>
      <w:r w:rsidR="0001798D">
        <w:rPr>
          <w:color w:val="000000"/>
        </w:rPr>
        <w:t>Model 2</w:t>
      </w:r>
      <w:r w:rsidR="003E3967" w:rsidRPr="00753C05">
        <w:rPr>
          <w:color w:val="000000"/>
        </w:rPr>
        <w:t>)</w:t>
      </w:r>
    </w:p>
    <w:p w14:paraId="7D1C5D69" w14:textId="77777777" w:rsidR="005C73F4" w:rsidRPr="00753C05" w:rsidRDefault="005C73F4" w:rsidP="003C5BAF">
      <w:pPr>
        <w:spacing w:line="480" w:lineRule="auto"/>
        <w:ind w:firstLine="720"/>
        <w:rPr>
          <w:color w:val="000000"/>
        </w:rPr>
      </w:pPr>
    </w:p>
    <w:p w14:paraId="5CDBC818" w14:textId="1430D9E3" w:rsidR="0001798D" w:rsidRPr="00753C05" w:rsidRDefault="0027261F" w:rsidP="0027261F">
      <w:pPr>
        <w:spacing w:line="480" w:lineRule="auto"/>
        <w:ind w:firstLine="720"/>
        <w:rPr>
          <w:color w:val="000000"/>
        </w:rPr>
      </w:pPr>
      <w:r>
        <w:rPr>
          <w:color w:val="000000"/>
        </w:rPr>
        <w:t xml:space="preserve">The </w:t>
      </w:r>
      <w:r w:rsidR="0001798D" w:rsidRPr="00753C05">
        <w:rPr>
          <w:color w:val="000000"/>
        </w:rPr>
        <w:t>time-dependent covariates have different coefficient estimates over the time intervals 0-8 days, 8-12 days and 12-21 days</w:t>
      </w:r>
      <w:r w:rsidR="0001798D">
        <w:rPr>
          <w:color w:val="000000"/>
        </w:rPr>
        <w:t>:</w:t>
      </w:r>
    </w:p>
    <w:tbl>
      <w:tblPr>
        <w:tblW w:w="7717" w:type="dxa"/>
        <w:tblCellMar>
          <w:left w:w="0" w:type="dxa"/>
          <w:right w:w="0" w:type="dxa"/>
        </w:tblCellMar>
        <w:tblLook w:val="04A0" w:firstRow="1" w:lastRow="0" w:firstColumn="1" w:lastColumn="0" w:noHBand="0" w:noVBand="1"/>
      </w:tblPr>
      <w:tblGrid>
        <w:gridCol w:w="7717"/>
      </w:tblGrid>
      <w:tr w:rsidR="0001798D" w:rsidRPr="0001798D" w14:paraId="3C695913" w14:textId="77777777" w:rsidTr="0001798D">
        <w:trPr>
          <w:trHeight w:val="590"/>
        </w:trPr>
        <w:tc>
          <w:tcPr>
            <w:tcW w:w="7717" w:type="dxa"/>
            <w:tcBorders>
              <w:top w:val="single" w:sz="8" w:space="0" w:color="000000"/>
              <w:left w:val="nil"/>
              <w:bottom w:val="nil"/>
              <w:right w:val="nil"/>
            </w:tcBorders>
            <w:shd w:val="clear" w:color="auto" w:fill="auto"/>
            <w:tcMar>
              <w:top w:w="58" w:type="dxa"/>
              <w:left w:w="115" w:type="dxa"/>
              <w:bottom w:w="58" w:type="dxa"/>
              <w:right w:w="115" w:type="dxa"/>
            </w:tcMar>
            <w:hideMark/>
          </w:tcPr>
          <w:p w14:paraId="68F28F1E" w14:textId="6165A429" w:rsidR="0001798D" w:rsidRPr="0001798D" w:rsidRDefault="0001798D" w:rsidP="0001798D">
            <w:pPr>
              <w:spacing w:line="480" w:lineRule="auto"/>
              <w:ind w:firstLine="720"/>
              <w:rPr>
                <w:color w:val="000000"/>
              </w:rPr>
            </w:pPr>
            <m:oMathPara>
              <m:oMathParaPr>
                <m:jc m:val="centerGroup"/>
              </m:oMathParaPr>
              <m:oMath>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0-8</m:t>
                    </m:r>
                  </m:sub>
                </m:sSub>
                <m:r>
                  <w:rPr>
                    <w:rFonts w:ascii="Cambria Math" w:hAnsi="Cambria Math"/>
                    <w:color w:val="000000"/>
                  </w:rPr>
                  <m:t>(</m:t>
                </m:r>
                <m:r>
                  <m:rPr>
                    <m:sty m:val="bi"/>
                  </m:rPr>
                  <w:rPr>
                    <w:rFonts w:ascii="Cambria Math" w:hAnsi="Cambria Math"/>
                    <w:color w:val="000000"/>
                  </w:rPr>
                  <m:t>x</m:t>
                </m:r>
                <m:r>
                  <w:rPr>
                    <w:rFonts w:ascii="Cambria Math" w:hAnsi="Cambria Math"/>
                    <w:color w:val="000000"/>
                  </w:rPr>
                  <m:t>) = </m:t>
                </m:r>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o</m:t>
                    </m:r>
                  </m:sub>
                </m:sSub>
                <m:r>
                  <m:rPr>
                    <m:sty m:val="p"/>
                  </m:rPr>
                  <w:rPr>
                    <w:rFonts w:ascii="Cambria Math" w:hAnsi="Cambria Math"/>
                    <w:color w:val="000000"/>
                  </w:rPr>
                  <m:t>exp</m:t>
                </m:r>
                <m:r>
                  <w:rPr>
                    <w:rFonts w:ascii="Cambria Math" w:hAnsi="Cambria Math"/>
                    <w:color w:val="000000"/>
                  </w:rPr>
                  <m:t>[4.18</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GHA</m:t>
                    </m:r>
                  </m:sub>
                </m:sSub>
                <m:r>
                  <w:rPr>
                    <w:rFonts w:ascii="Cambria Math" w:hAnsi="Cambria Math"/>
                    <w:color w:val="000000"/>
                  </w:rPr>
                  <m:t>-0.79</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m:t>
                    </m:r>
                  </m:sub>
                </m:sSub>
                <m:r>
                  <w:rPr>
                    <w:rFonts w:ascii="Cambria Math" w:hAnsi="Cambria Math"/>
                    <w:color w:val="000000"/>
                  </w:rPr>
                  <m:t>]</m:t>
                </m:r>
              </m:oMath>
            </m:oMathPara>
          </w:p>
        </w:tc>
      </w:tr>
      <w:tr w:rsidR="0001798D" w:rsidRPr="0001798D" w14:paraId="61642DCE" w14:textId="77777777" w:rsidTr="0001798D">
        <w:trPr>
          <w:trHeight w:val="575"/>
        </w:trPr>
        <w:tc>
          <w:tcPr>
            <w:tcW w:w="7717" w:type="dxa"/>
            <w:tcBorders>
              <w:top w:val="nil"/>
              <w:left w:val="nil"/>
              <w:bottom w:val="nil"/>
              <w:right w:val="nil"/>
            </w:tcBorders>
            <w:shd w:val="clear" w:color="auto" w:fill="auto"/>
            <w:tcMar>
              <w:top w:w="58" w:type="dxa"/>
              <w:left w:w="115" w:type="dxa"/>
              <w:bottom w:w="58" w:type="dxa"/>
              <w:right w:w="115" w:type="dxa"/>
            </w:tcMar>
            <w:hideMark/>
          </w:tcPr>
          <w:p w14:paraId="308B0C50" w14:textId="03933429" w:rsidR="0001798D" w:rsidRPr="0001798D" w:rsidRDefault="0001798D" w:rsidP="0001798D">
            <w:pPr>
              <w:spacing w:line="480" w:lineRule="auto"/>
              <w:ind w:firstLine="720"/>
              <w:rPr>
                <w:color w:val="000000"/>
              </w:rPr>
            </w:pPr>
            <m:oMathPara>
              <m:oMathParaPr>
                <m:jc m:val="centerGroup"/>
              </m:oMathParaPr>
              <m:oMath>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8-12</m:t>
                    </m:r>
                  </m:sub>
                </m:sSub>
                <m:r>
                  <w:rPr>
                    <w:rFonts w:ascii="Cambria Math" w:hAnsi="Cambria Math"/>
                    <w:color w:val="000000"/>
                  </w:rPr>
                  <m:t>(</m:t>
                </m:r>
                <m:r>
                  <m:rPr>
                    <m:sty m:val="bi"/>
                  </m:rPr>
                  <w:rPr>
                    <w:rFonts w:ascii="Cambria Math" w:hAnsi="Cambria Math"/>
                    <w:color w:val="000000"/>
                  </w:rPr>
                  <m:t>x</m:t>
                </m:r>
                <m:r>
                  <w:rPr>
                    <w:rFonts w:ascii="Cambria Math" w:hAnsi="Cambria Math"/>
                    <w:color w:val="000000"/>
                  </w:rPr>
                  <m:t>) = </m:t>
                </m:r>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o</m:t>
                    </m:r>
                  </m:sub>
                </m:sSub>
                <m:r>
                  <m:rPr>
                    <m:sty m:val="p"/>
                  </m:rPr>
                  <w:rPr>
                    <w:rFonts w:ascii="Cambria Math" w:hAnsi="Cambria Math"/>
                    <w:color w:val="000000"/>
                  </w:rPr>
                  <m:t>exp</m:t>
                </m:r>
                <m:r>
                  <w:rPr>
                    <w:rFonts w:ascii="Cambria Math" w:hAnsi="Cambria Math"/>
                    <w:color w:val="000000"/>
                  </w:rPr>
                  <m:t>[4.18</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GHA</m:t>
                    </m:r>
                  </m:sub>
                </m:sSub>
                <m:r>
                  <w:rPr>
                    <w:rFonts w:ascii="Cambria Math" w:hAnsi="Cambria Math"/>
                    <w:color w:val="000000"/>
                  </w:rPr>
                  <m:t>+0.36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m:t>
                    </m:r>
                  </m:sub>
                </m:sSub>
                <m:r>
                  <w:rPr>
                    <w:rFonts w:ascii="Cambria Math" w:hAnsi="Cambria Math"/>
                    <w:color w:val="000000"/>
                  </w:rPr>
                  <m:t>]</m:t>
                </m:r>
              </m:oMath>
            </m:oMathPara>
          </w:p>
        </w:tc>
      </w:tr>
      <w:tr w:rsidR="0001798D" w:rsidRPr="0001798D" w14:paraId="79B9EEAD" w14:textId="77777777" w:rsidTr="0001798D">
        <w:trPr>
          <w:trHeight w:val="575"/>
        </w:trPr>
        <w:tc>
          <w:tcPr>
            <w:tcW w:w="7717" w:type="dxa"/>
            <w:tcBorders>
              <w:top w:val="nil"/>
              <w:left w:val="nil"/>
              <w:bottom w:val="single" w:sz="8" w:space="0" w:color="000000"/>
              <w:right w:val="nil"/>
            </w:tcBorders>
            <w:shd w:val="clear" w:color="auto" w:fill="auto"/>
            <w:tcMar>
              <w:top w:w="58" w:type="dxa"/>
              <w:left w:w="115" w:type="dxa"/>
              <w:bottom w:w="58" w:type="dxa"/>
              <w:right w:w="115" w:type="dxa"/>
            </w:tcMar>
            <w:hideMark/>
          </w:tcPr>
          <w:p w14:paraId="5B3E2262" w14:textId="504A156A" w:rsidR="0001798D" w:rsidRPr="0001798D" w:rsidRDefault="0001798D" w:rsidP="0001798D">
            <w:pPr>
              <w:spacing w:line="480" w:lineRule="auto"/>
              <w:ind w:firstLine="720"/>
              <w:rPr>
                <w:color w:val="000000"/>
              </w:rPr>
            </w:pPr>
            <m:oMathPara>
              <m:oMathParaPr>
                <m:jc m:val="centerGroup"/>
              </m:oMathParaPr>
              <m:oMath>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12-21</m:t>
                    </m:r>
                  </m:sub>
                </m:sSub>
                <m:r>
                  <w:rPr>
                    <w:rFonts w:ascii="Cambria Math" w:hAnsi="Cambria Math"/>
                    <w:color w:val="000000"/>
                  </w:rPr>
                  <m:t>(</m:t>
                </m:r>
                <m:r>
                  <m:rPr>
                    <m:sty m:val="bi"/>
                  </m:rPr>
                  <w:rPr>
                    <w:rFonts w:ascii="Cambria Math" w:hAnsi="Cambria Math"/>
                    <w:color w:val="000000"/>
                  </w:rPr>
                  <m:t>x</m:t>
                </m:r>
                <m:r>
                  <w:rPr>
                    <w:rFonts w:ascii="Cambria Math" w:hAnsi="Cambria Math"/>
                    <w:color w:val="000000"/>
                  </w:rPr>
                  <m:t>) = </m:t>
                </m:r>
                <m:sSub>
                  <m:sSubPr>
                    <m:ctrlPr>
                      <w:rPr>
                        <w:rFonts w:ascii="Cambria Math" w:hAnsi="Cambria Math"/>
                        <w:i/>
                        <w:iCs/>
                        <w:color w:val="000000"/>
                      </w:rPr>
                    </m:ctrlPr>
                  </m:sSubPr>
                  <m:e>
                    <m:r>
                      <w:rPr>
                        <w:rFonts w:ascii="Cambria Math" w:hAnsi="Cambria Math"/>
                        <w:color w:val="000000"/>
                      </w:rPr>
                      <m:t>h</m:t>
                    </m:r>
                  </m:e>
                  <m:sub>
                    <m:r>
                      <w:rPr>
                        <w:rFonts w:ascii="Cambria Math" w:hAnsi="Cambria Math"/>
                        <w:color w:val="000000"/>
                      </w:rPr>
                      <m:t>o</m:t>
                    </m:r>
                  </m:sub>
                </m:sSub>
                <m:r>
                  <m:rPr>
                    <m:sty m:val="p"/>
                  </m:rPr>
                  <w:rPr>
                    <w:rFonts w:ascii="Cambria Math" w:hAnsi="Cambria Math"/>
                    <w:color w:val="000000"/>
                  </w:rPr>
                  <m:t>exp</m:t>
                </m:r>
                <m:r>
                  <w:rPr>
                    <w:rFonts w:ascii="Cambria Math" w:hAnsi="Cambria Math"/>
                    <w:color w:val="000000"/>
                  </w:rPr>
                  <m:t>[4.18</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GHA</m:t>
                    </m:r>
                  </m:sub>
                </m:sSub>
                <m:r>
                  <w:rPr>
                    <w:rFonts w:ascii="Cambria Math" w:hAnsi="Cambria Math"/>
                    <w:color w:val="000000"/>
                  </w:rPr>
                  <m:t>+0.26</m:t>
                </m:r>
                <m:sSub>
                  <m:sSubPr>
                    <m:ctrlPr>
                      <w:rPr>
                        <w:rFonts w:ascii="Cambria Math" w:hAnsi="Cambria Math"/>
                        <w:i/>
                        <w:iCs/>
                        <w:color w:val="000000"/>
                      </w:rPr>
                    </m:ctrlPr>
                  </m:sSubPr>
                  <m:e>
                    <m:r>
                      <w:rPr>
                        <w:rFonts w:ascii="Cambria Math" w:hAnsi="Cambria Math"/>
                        <w:color w:val="000000"/>
                      </w:rPr>
                      <m:t>I</m:t>
                    </m:r>
                  </m:e>
                  <m:sub>
                    <m:r>
                      <w:rPr>
                        <w:rFonts w:ascii="Cambria Math" w:hAnsi="Cambria Math"/>
                        <w:color w:val="000000"/>
                      </w:rPr>
                      <m:t>Mated</m:t>
                    </m:r>
                  </m:sub>
                </m:sSub>
                <m:r>
                  <w:rPr>
                    <w:rFonts w:ascii="Cambria Math" w:hAnsi="Cambria Math"/>
                    <w:color w:val="000000"/>
                  </w:rPr>
                  <m:t>]</m:t>
                </m:r>
              </m:oMath>
            </m:oMathPara>
          </w:p>
        </w:tc>
      </w:tr>
    </w:tbl>
    <w:p w14:paraId="4B341AB9" w14:textId="4A8AA93C" w:rsidR="00856530" w:rsidRDefault="00856530" w:rsidP="003C5BAF">
      <w:pPr>
        <w:spacing w:line="480" w:lineRule="auto"/>
        <w:ind w:firstLine="720"/>
        <w:rPr>
          <w:color w:val="000000"/>
        </w:rPr>
      </w:pPr>
    </w:p>
    <w:p w14:paraId="29D5D289" w14:textId="77777777" w:rsidR="0090234C" w:rsidRDefault="0090234C" w:rsidP="0001798D">
      <w:pPr>
        <w:spacing w:line="480" w:lineRule="auto"/>
        <w:rPr>
          <w:i/>
          <w:iCs/>
          <w:color w:val="000000"/>
        </w:rPr>
      </w:pPr>
    </w:p>
    <w:p w14:paraId="460015BD" w14:textId="4FC72E25" w:rsidR="00855425" w:rsidRDefault="00855425" w:rsidP="00855425">
      <w:pPr>
        <w:spacing w:line="480" w:lineRule="auto"/>
        <w:rPr>
          <w:rFonts w:eastAsia="Calibri"/>
          <w:i/>
          <w:iCs/>
        </w:rPr>
      </w:pPr>
      <w:r w:rsidRPr="00855425">
        <w:rPr>
          <w:rFonts w:eastAsia="Calibri"/>
          <w:i/>
          <w:iCs/>
        </w:rPr>
        <w:t xml:space="preserve">Experiment </w:t>
      </w:r>
      <w:r w:rsidR="00875402">
        <w:rPr>
          <w:rFonts w:eastAsia="Calibri"/>
          <w:i/>
          <w:iCs/>
        </w:rPr>
        <w:t>3</w:t>
      </w:r>
      <w:r w:rsidRPr="00855425">
        <w:rPr>
          <w:rFonts w:eastAsia="Calibri"/>
          <w:i/>
          <w:iCs/>
        </w:rPr>
        <w:t xml:space="preserve">: Effects of </w:t>
      </w:r>
      <w:r w:rsidR="0008490D">
        <w:rPr>
          <w:rFonts w:eastAsia="Calibri"/>
          <w:i/>
          <w:iCs/>
        </w:rPr>
        <w:t>Cornmeal</w:t>
      </w:r>
      <w:r w:rsidR="00CE6C26">
        <w:rPr>
          <w:rFonts w:eastAsia="Calibri"/>
          <w:i/>
          <w:iCs/>
        </w:rPr>
        <w:t xml:space="preserve"> and </w:t>
      </w:r>
      <w:r w:rsidR="0008490D">
        <w:rPr>
          <w:rFonts w:eastAsia="Calibri"/>
          <w:i/>
          <w:iCs/>
        </w:rPr>
        <w:t>Glucose</w:t>
      </w:r>
      <w:r w:rsidR="00CE6C26">
        <w:rPr>
          <w:rFonts w:eastAsia="Calibri"/>
          <w:i/>
          <w:iCs/>
        </w:rPr>
        <w:t xml:space="preserve"> diets on sexual dimorphism in post-infection survival of D. melanogaster inoculated with B. </w:t>
      </w:r>
      <w:proofErr w:type="spellStart"/>
      <w:r w:rsidR="00CE6C26">
        <w:rPr>
          <w:rFonts w:eastAsia="Calibri"/>
          <w:i/>
          <w:iCs/>
        </w:rPr>
        <w:t>bassiana</w:t>
      </w:r>
      <w:proofErr w:type="spellEnd"/>
      <w:r w:rsidR="00CE6C26">
        <w:rPr>
          <w:rFonts w:eastAsia="Calibri"/>
          <w:i/>
          <w:iCs/>
        </w:rPr>
        <w:t xml:space="preserve"> strain GHA</w:t>
      </w:r>
    </w:p>
    <w:p w14:paraId="5A2A81CF" w14:textId="741B9367" w:rsidR="0008490D" w:rsidRDefault="007125FE" w:rsidP="00875402">
      <w:pPr>
        <w:spacing w:line="480" w:lineRule="auto"/>
        <w:ind w:firstLine="720"/>
        <w:rPr>
          <w:rFonts w:eastAsia="Calibri"/>
        </w:rPr>
      </w:pPr>
      <w:r>
        <w:rPr>
          <w:rFonts w:eastAsia="Calibri"/>
        </w:rPr>
        <w:t xml:space="preserve">The methods used were the same as in Experiment 2 with the following differences. On day 12, the flies were separated into vials that contained either </w:t>
      </w:r>
      <w:r w:rsidR="0008490D">
        <w:rPr>
          <w:rFonts w:eastAsia="Calibri"/>
        </w:rPr>
        <w:t>Cornmeal</w:t>
      </w:r>
      <w:r>
        <w:rPr>
          <w:rFonts w:eastAsia="Calibri"/>
        </w:rPr>
        <w:t xml:space="preserve"> diet or </w:t>
      </w:r>
      <w:r w:rsidR="0008490D">
        <w:rPr>
          <w:rFonts w:eastAsia="Calibri"/>
        </w:rPr>
        <w:t>Glucose</w:t>
      </w:r>
      <w:r>
        <w:rPr>
          <w:rFonts w:eastAsia="Calibri"/>
        </w:rPr>
        <w:t xml:space="preserve"> diet. </w:t>
      </w:r>
      <w:r w:rsidR="00DC46D5">
        <w:rPr>
          <w:rFonts w:eastAsia="Calibri"/>
        </w:rPr>
        <w:t xml:space="preserve">Flies were sprayed with either GHA or control suspension on day 15 from egg, and then moved to cages and fed with either </w:t>
      </w:r>
      <w:r w:rsidR="0008490D">
        <w:rPr>
          <w:rFonts w:eastAsia="Calibri"/>
        </w:rPr>
        <w:t>Cornmeal</w:t>
      </w:r>
      <w:r w:rsidR="00DC46D5">
        <w:rPr>
          <w:rFonts w:eastAsia="Calibri"/>
        </w:rPr>
        <w:t xml:space="preserve"> diet or </w:t>
      </w:r>
      <w:r w:rsidR="0008490D">
        <w:rPr>
          <w:rFonts w:eastAsia="Calibri"/>
        </w:rPr>
        <w:t>Glucose</w:t>
      </w:r>
    </w:p>
    <w:p w14:paraId="24D468C2" w14:textId="3FC7418D" w:rsidR="007125FE" w:rsidRDefault="00DC46D5" w:rsidP="0008490D">
      <w:pPr>
        <w:spacing w:line="480" w:lineRule="auto"/>
        <w:rPr>
          <w:rFonts w:eastAsia="Calibri"/>
        </w:rPr>
      </w:pPr>
      <w:r>
        <w:rPr>
          <w:rFonts w:eastAsia="Calibri"/>
        </w:rPr>
        <w:t xml:space="preserve"> diet. The four dietary conditions tested were as follows:</w:t>
      </w:r>
    </w:p>
    <w:p w14:paraId="197952A8" w14:textId="77777777" w:rsidR="007125FE" w:rsidRDefault="007125FE" w:rsidP="00875402">
      <w:pPr>
        <w:spacing w:line="480" w:lineRule="auto"/>
        <w:ind w:firstLine="720"/>
        <w:rPr>
          <w:rFonts w:eastAsia="Calibri"/>
        </w:rPr>
      </w:pPr>
    </w:p>
    <w:p w14:paraId="25F4B48F" w14:textId="77777777" w:rsidR="00855425" w:rsidRPr="009E06F2" w:rsidRDefault="00855425" w:rsidP="00855425">
      <w:pPr>
        <w:rPr>
          <w:rFonts w:eastAsia="Calibri"/>
        </w:rPr>
      </w:pPr>
    </w:p>
    <w:tbl>
      <w:tblPr>
        <w:tblW w:w="5000" w:type="pct"/>
        <w:tblCellMar>
          <w:top w:w="58" w:type="dxa"/>
          <w:left w:w="115" w:type="dxa"/>
          <w:bottom w:w="58" w:type="dxa"/>
          <w:right w:w="115" w:type="dxa"/>
        </w:tblCellMar>
        <w:tblLook w:val="04A0" w:firstRow="1" w:lastRow="0" w:firstColumn="1" w:lastColumn="0" w:noHBand="0" w:noVBand="1"/>
      </w:tblPr>
      <w:tblGrid>
        <w:gridCol w:w="2880"/>
        <w:gridCol w:w="2881"/>
        <w:gridCol w:w="2879"/>
      </w:tblGrid>
      <w:tr w:rsidR="007E4069" w:rsidRPr="009E06F2" w14:paraId="0ED5556C" w14:textId="77777777" w:rsidTr="007E4069">
        <w:trPr>
          <w:trHeight w:val="264"/>
        </w:trPr>
        <w:tc>
          <w:tcPr>
            <w:tcW w:w="1667" w:type="pct"/>
            <w:tcBorders>
              <w:top w:val="single" w:sz="4" w:space="0" w:color="auto"/>
              <w:left w:val="nil"/>
              <w:bottom w:val="single" w:sz="4" w:space="0" w:color="auto"/>
              <w:right w:val="nil"/>
            </w:tcBorders>
          </w:tcPr>
          <w:p w14:paraId="2C3A1CDC" w14:textId="51F606F2" w:rsidR="007E4069" w:rsidRPr="009E06F2" w:rsidRDefault="007E4069" w:rsidP="002E14FF">
            <w:pPr>
              <w:jc w:val="center"/>
              <w:rPr>
                <w:rFonts w:eastAsia="Calibri"/>
                <w:bCs/>
                <w:color w:val="000000"/>
                <w:lang w:eastAsia="zh-CN"/>
              </w:rPr>
            </w:pPr>
            <w:r>
              <w:rPr>
                <w:rFonts w:eastAsia="Calibri"/>
                <w:bCs/>
                <w:color w:val="000000"/>
                <w:lang w:eastAsia="zh-CN"/>
              </w:rPr>
              <w:lastRenderedPageBreak/>
              <w:t>Treatment name on graphs</w:t>
            </w:r>
          </w:p>
        </w:tc>
        <w:tc>
          <w:tcPr>
            <w:tcW w:w="1667" w:type="pct"/>
            <w:tcBorders>
              <w:top w:val="single" w:sz="4" w:space="0" w:color="auto"/>
              <w:left w:val="nil"/>
              <w:bottom w:val="single" w:sz="4" w:space="0" w:color="auto"/>
              <w:right w:val="nil"/>
            </w:tcBorders>
            <w:shd w:val="clear" w:color="auto" w:fill="auto"/>
            <w:vAlign w:val="bottom"/>
            <w:hideMark/>
          </w:tcPr>
          <w:p w14:paraId="49CD5400" w14:textId="2A1CC18E" w:rsidR="007E4069" w:rsidRPr="009E06F2" w:rsidRDefault="007E4069" w:rsidP="002E14FF">
            <w:pPr>
              <w:jc w:val="center"/>
              <w:rPr>
                <w:rFonts w:eastAsia="Calibri"/>
                <w:bCs/>
                <w:color w:val="000000"/>
                <w:lang w:eastAsia="zh-CN"/>
              </w:rPr>
            </w:pPr>
            <w:r w:rsidRPr="009E06F2">
              <w:rPr>
                <w:rFonts w:eastAsia="Calibri"/>
                <w:bCs/>
                <w:color w:val="000000"/>
                <w:lang w:eastAsia="zh-CN"/>
              </w:rPr>
              <w:t>Day 12- 14</w:t>
            </w:r>
            <w:r>
              <w:rPr>
                <w:rFonts w:eastAsia="Calibri"/>
                <w:bCs/>
                <w:color w:val="000000"/>
                <w:lang w:eastAsia="zh-CN"/>
              </w:rPr>
              <w:t xml:space="preserve"> (before spray)</w:t>
            </w:r>
          </w:p>
        </w:tc>
        <w:tc>
          <w:tcPr>
            <w:tcW w:w="1666" w:type="pct"/>
            <w:tcBorders>
              <w:top w:val="single" w:sz="4" w:space="0" w:color="auto"/>
              <w:left w:val="nil"/>
              <w:bottom w:val="single" w:sz="4" w:space="0" w:color="auto"/>
              <w:right w:val="nil"/>
            </w:tcBorders>
            <w:vAlign w:val="bottom"/>
          </w:tcPr>
          <w:p w14:paraId="651C6ED9" w14:textId="0775B828" w:rsidR="007E4069" w:rsidRPr="009E06F2" w:rsidRDefault="007E4069" w:rsidP="002E14FF">
            <w:pPr>
              <w:jc w:val="center"/>
              <w:rPr>
                <w:rFonts w:eastAsia="Calibri"/>
                <w:bCs/>
                <w:color w:val="000000"/>
                <w:lang w:eastAsia="zh-CN"/>
              </w:rPr>
            </w:pPr>
            <w:r w:rsidRPr="009E06F2">
              <w:rPr>
                <w:rFonts w:eastAsia="Calibri"/>
                <w:bCs/>
                <w:color w:val="000000"/>
                <w:lang w:eastAsia="zh-CN"/>
              </w:rPr>
              <w:t xml:space="preserve">Day 15- </w:t>
            </w:r>
            <w:commentRangeStart w:id="14"/>
            <w:r w:rsidRPr="009E06F2">
              <w:rPr>
                <w:rFonts w:eastAsia="Calibri"/>
                <w:bCs/>
                <w:color w:val="000000"/>
                <w:lang w:eastAsia="zh-CN"/>
              </w:rPr>
              <w:t>2</w:t>
            </w:r>
            <w:r w:rsidRPr="00867A2E">
              <w:rPr>
                <w:rFonts w:eastAsia="Calibri"/>
                <w:bCs/>
                <w:color w:val="000000"/>
                <w:highlight w:val="yellow"/>
                <w:lang w:eastAsia="zh-CN"/>
              </w:rPr>
              <w:t>9</w:t>
            </w:r>
            <w:commentRangeEnd w:id="14"/>
            <w:r w:rsidR="00867A2E" w:rsidRPr="00867A2E">
              <w:rPr>
                <w:rStyle w:val="CommentReference"/>
                <w:highlight w:val="yellow"/>
              </w:rPr>
              <w:commentReference w:id="14"/>
            </w:r>
            <w:r>
              <w:rPr>
                <w:rFonts w:eastAsia="Calibri"/>
                <w:bCs/>
                <w:color w:val="000000"/>
                <w:lang w:eastAsia="zh-CN"/>
              </w:rPr>
              <w:t xml:space="preserve"> (after spray)</w:t>
            </w:r>
          </w:p>
        </w:tc>
      </w:tr>
      <w:tr w:rsidR="007E4069" w:rsidRPr="009E06F2" w14:paraId="5F580CCF" w14:textId="77777777" w:rsidTr="007E4069">
        <w:trPr>
          <w:trHeight w:val="264"/>
        </w:trPr>
        <w:tc>
          <w:tcPr>
            <w:tcW w:w="1667" w:type="pct"/>
            <w:tcBorders>
              <w:top w:val="nil"/>
              <w:left w:val="nil"/>
              <w:bottom w:val="nil"/>
              <w:right w:val="nil"/>
            </w:tcBorders>
          </w:tcPr>
          <w:p w14:paraId="48BFBA70" w14:textId="591A29BC" w:rsidR="007E4069" w:rsidRPr="009E06F2" w:rsidRDefault="007E4069" w:rsidP="002E14FF">
            <w:pPr>
              <w:jc w:val="center"/>
              <w:rPr>
                <w:rFonts w:eastAsia="Calibri"/>
                <w:color w:val="000000"/>
                <w:lang w:eastAsia="zh-CN"/>
              </w:rPr>
            </w:pPr>
            <w:r>
              <w:rPr>
                <w:rFonts w:eastAsia="Calibri"/>
                <w:color w:val="000000"/>
                <w:lang w:eastAsia="zh-CN"/>
              </w:rPr>
              <w:t>C</w:t>
            </w:r>
            <w:r w:rsidR="00855890">
              <w:rPr>
                <w:rFonts w:eastAsia="Calibri"/>
                <w:color w:val="000000"/>
                <w:lang w:eastAsia="zh-CN"/>
              </w:rPr>
              <w:t>/</w:t>
            </w:r>
            <w:r>
              <w:rPr>
                <w:rFonts w:eastAsia="Calibri"/>
                <w:color w:val="000000"/>
                <w:lang w:eastAsia="zh-CN"/>
              </w:rPr>
              <w:t>C</w:t>
            </w:r>
          </w:p>
        </w:tc>
        <w:tc>
          <w:tcPr>
            <w:tcW w:w="1667" w:type="pct"/>
            <w:tcBorders>
              <w:top w:val="nil"/>
              <w:left w:val="nil"/>
              <w:bottom w:val="nil"/>
              <w:right w:val="nil"/>
            </w:tcBorders>
            <w:shd w:val="clear" w:color="auto" w:fill="auto"/>
            <w:noWrap/>
            <w:vAlign w:val="bottom"/>
            <w:hideMark/>
          </w:tcPr>
          <w:p w14:paraId="51EB26D4" w14:textId="78300D15" w:rsidR="007E4069" w:rsidRPr="009E06F2" w:rsidRDefault="003D4F86" w:rsidP="002E14FF">
            <w:pPr>
              <w:jc w:val="center"/>
              <w:rPr>
                <w:rFonts w:eastAsia="Calibri"/>
                <w:color w:val="000000"/>
                <w:lang w:eastAsia="zh-CN"/>
              </w:rPr>
            </w:pPr>
            <w:r>
              <w:rPr>
                <w:rFonts w:eastAsia="Calibri"/>
                <w:color w:val="000000"/>
                <w:lang w:eastAsia="zh-CN"/>
              </w:rPr>
              <w:t>Cornmeal</w:t>
            </w:r>
          </w:p>
        </w:tc>
        <w:tc>
          <w:tcPr>
            <w:tcW w:w="1666" w:type="pct"/>
            <w:tcBorders>
              <w:top w:val="nil"/>
              <w:left w:val="nil"/>
              <w:bottom w:val="nil"/>
              <w:right w:val="nil"/>
            </w:tcBorders>
            <w:vAlign w:val="bottom"/>
          </w:tcPr>
          <w:p w14:paraId="453D64FD" w14:textId="0D9C1843" w:rsidR="007E4069" w:rsidRPr="009E06F2" w:rsidRDefault="003D4F86" w:rsidP="002E14FF">
            <w:pPr>
              <w:jc w:val="center"/>
              <w:rPr>
                <w:rFonts w:eastAsia="Calibri"/>
                <w:color w:val="000000"/>
                <w:lang w:eastAsia="zh-CN"/>
              </w:rPr>
            </w:pPr>
            <w:r>
              <w:rPr>
                <w:rFonts w:eastAsia="Calibri"/>
                <w:color w:val="000000"/>
                <w:lang w:eastAsia="zh-CN"/>
              </w:rPr>
              <w:t>Cornmeal</w:t>
            </w:r>
          </w:p>
        </w:tc>
      </w:tr>
      <w:tr w:rsidR="007E4069" w:rsidRPr="009E06F2" w14:paraId="79131E92" w14:textId="77777777" w:rsidTr="007E4069">
        <w:trPr>
          <w:trHeight w:val="264"/>
        </w:trPr>
        <w:tc>
          <w:tcPr>
            <w:tcW w:w="1667" w:type="pct"/>
            <w:tcBorders>
              <w:top w:val="nil"/>
              <w:left w:val="nil"/>
              <w:right w:val="nil"/>
            </w:tcBorders>
          </w:tcPr>
          <w:p w14:paraId="4DA63B60" w14:textId="5BBFE48A" w:rsidR="007E4069" w:rsidRPr="009E06F2" w:rsidRDefault="007E4069" w:rsidP="002E14FF">
            <w:pPr>
              <w:jc w:val="center"/>
              <w:rPr>
                <w:rFonts w:eastAsia="Calibri"/>
                <w:color w:val="000000"/>
                <w:lang w:eastAsia="zh-CN"/>
              </w:rPr>
            </w:pPr>
            <w:r>
              <w:rPr>
                <w:rFonts w:eastAsia="Calibri"/>
                <w:color w:val="000000"/>
                <w:lang w:eastAsia="zh-CN"/>
              </w:rPr>
              <w:t>C</w:t>
            </w:r>
            <w:r w:rsidR="00855890">
              <w:rPr>
                <w:rFonts w:eastAsia="Calibri"/>
                <w:color w:val="000000"/>
                <w:lang w:eastAsia="zh-CN"/>
              </w:rPr>
              <w:t>/</w:t>
            </w:r>
            <w:r>
              <w:rPr>
                <w:rFonts w:eastAsia="Calibri"/>
                <w:color w:val="000000"/>
                <w:lang w:eastAsia="zh-CN"/>
              </w:rPr>
              <w:t>G</w:t>
            </w:r>
          </w:p>
        </w:tc>
        <w:tc>
          <w:tcPr>
            <w:tcW w:w="1667" w:type="pct"/>
            <w:tcBorders>
              <w:top w:val="nil"/>
              <w:left w:val="nil"/>
              <w:right w:val="nil"/>
            </w:tcBorders>
            <w:shd w:val="clear" w:color="auto" w:fill="auto"/>
            <w:noWrap/>
            <w:vAlign w:val="bottom"/>
          </w:tcPr>
          <w:p w14:paraId="4F9F8E96" w14:textId="0505F085" w:rsidR="007E4069" w:rsidRPr="009E06F2" w:rsidRDefault="003D4F86" w:rsidP="002E14FF">
            <w:pPr>
              <w:jc w:val="center"/>
              <w:rPr>
                <w:rFonts w:eastAsia="Calibri"/>
                <w:color w:val="000000"/>
                <w:lang w:eastAsia="zh-CN"/>
              </w:rPr>
            </w:pPr>
            <w:r>
              <w:rPr>
                <w:rFonts w:eastAsia="Calibri"/>
                <w:color w:val="000000"/>
                <w:lang w:eastAsia="zh-CN"/>
              </w:rPr>
              <w:t>Cornmeal</w:t>
            </w:r>
          </w:p>
        </w:tc>
        <w:tc>
          <w:tcPr>
            <w:tcW w:w="1666" w:type="pct"/>
            <w:tcBorders>
              <w:top w:val="nil"/>
              <w:left w:val="nil"/>
              <w:right w:val="nil"/>
            </w:tcBorders>
            <w:vAlign w:val="bottom"/>
          </w:tcPr>
          <w:p w14:paraId="372DF4BF" w14:textId="433915EE" w:rsidR="007E4069" w:rsidRPr="009E06F2" w:rsidRDefault="003D4F86" w:rsidP="002E14FF">
            <w:pPr>
              <w:jc w:val="center"/>
              <w:rPr>
                <w:rFonts w:eastAsia="Calibri"/>
                <w:color w:val="000000"/>
                <w:lang w:eastAsia="zh-CN"/>
              </w:rPr>
            </w:pPr>
            <w:r>
              <w:rPr>
                <w:rFonts w:eastAsia="Calibri"/>
                <w:color w:val="000000"/>
                <w:lang w:eastAsia="zh-CN"/>
              </w:rPr>
              <w:t>G</w:t>
            </w:r>
            <w:r w:rsidR="007E4069">
              <w:rPr>
                <w:rFonts w:eastAsia="Calibri"/>
                <w:color w:val="000000"/>
                <w:lang w:eastAsia="zh-CN"/>
              </w:rPr>
              <w:t>lucose</w:t>
            </w:r>
          </w:p>
        </w:tc>
      </w:tr>
      <w:tr w:rsidR="007E4069" w:rsidRPr="009E06F2" w14:paraId="55438590" w14:textId="77777777" w:rsidTr="007E4069">
        <w:trPr>
          <w:trHeight w:val="264"/>
        </w:trPr>
        <w:tc>
          <w:tcPr>
            <w:tcW w:w="1667" w:type="pct"/>
            <w:tcBorders>
              <w:top w:val="nil"/>
              <w:left w:val="nil"/>
              <w:right w:val="nil"/>
            </w:tcBorders>
          </w:tcPr>
          <w:p w14:paraId="368F4B91" w14:textId="6BAF7AC4" w:rsidR="007E4069" w:rsidRDefault="007E4069" w:rsidP="002E14FF">
            <w:pPr>
              <w:jc w:val="center"/>
              <w:rPr>
                <w:rFonts w:eastAsia="Calibri"/>
                <w:color w:val="000000"/>
                <w:lang w:eastAsia="zh-CN"/>
              </w:rPr>
            </w:pPr>
            <w:r>
              <w:rPr>
                <w:rFonts w:eastAsia="Calibri"/>
                <w:color w:val="000000"/>
                <w:lang w:eastAsia="zh-CN"/>
              </w:rPr>
              <w:t>G</w:t>
            </w:r>
            <w:r w:rsidR="00855890">
              <w:rPr>
                <w:rFonts w:eastAsia="Calibri"/>
                <w:color w:val="000000"/>
                <w:lang w:eastAsia="zh-CN"/>
              </w:rPr>
              <w:t>/</w:t>
            </w:r>
            <w:r>
              <w:rPr>
                <w:rFonts w:eastAsia="Calibri"/>
                <w:color w:val="000000"/>
                <w:lang w:eastAsia="zh-CN"/>
              </w:rPr>
              <w:t>G</w:t>
            </w:r>
          </w:p>
        </w:tc>
        <w:tc>
          <w:tcPr>
            <w:tcW w:w="1667" w:type="pct"/>
            <w:tcBorders>
              <w:top w:val="nil"/>
              <w:left w:val="nil"/>
              <w:right w:val="nil"/>
            </w:tcBorders>
            <w:shd w:val="clear" w:color="auto" w:fill="auto"/>
            <w:noWrap/>
            <w:vAlign w:val="bottom"/>
          </w:tcPr>
          <w:p w14:paraId="33A3C372" w14:textId="7D40B5E7" w:rsidR="007E4069" w:rsidRPr="009E06F2" w:rsidRDefault="007E4069" w:rsidP="002E14FF">
            <w:pPr>
              <w:jc w:val="center"/>
              <w:rPr>
                <w:rFonts w:eastAsia="Calibri"/>
                <w:color w:val="000000"/>
                <w:lang w:eastAsia="zh-CN"/>
              </w:rPr>
            </w:pPr>
            <w:r>
              <w:rPr>
                <w:rFonts w:eastAsia="Calibri"/>
                <w:color w:val="000000"/>
                <w:lang w:eastAsia="zh-CN"/>
              </w:rPr>
              <w:t>Glucose</w:t>
            </w:r>
          </w:p>
        </w:tc>
        <w:tc>
          <w:tcPr>
            <w:tcW w:w="1666" w:type="pct"/>
            <w:tcBorders>
              <w:top w:val="nil"/>
              <w:left w:val="nil"/>
              <w:right w:val="nil"/>
            </w:tcBorders>
            <w:vAlign w:val="bottom"/>
          </w:tcPr>
          <w:p w14:paraId="2C8DC176" w14:textId="2C0299DF" w:rsidR="007E4069" w:rsidRPr="009E06F2" w:rsidRDefault="007E4069" w:rsidP="002E14FF">
            <w:pPr>
              <w:jc w:val="center"/>
              <w:rPr>
                <w:rFonts w:eastAsia="Calibri"/>
                <w:color w:val="000000"/>
                <w:lang w:eastAsia="zh-CN"/>
              </w:rPr>
            </w:pPr>
            <w:r>
              <w:rPr>
                <w:rFonts w:eastAsia="Calibri"/>
                <w:color w:val="000000"/>
                <w:lang w:eastAsia="zh-CN"/>
              </w:rPr>
              <w:t>Glucose</w:t>
            </w:r>
          </w:p>
        </w:tc>
      </w:tr>
      <w:tr w:rsidR="007E4069" w:rsidRPr="009E06F2" w14:paraId="61D1812B" w14:textId="77777777" w:rsidTr="007E4069">
        <w:trPr>
          <w:trHeight w:val="264"/>
        </w:trPr>
        <w:tc>
          <w:tcPr>
            <w:tcW w:w="1667" w:type="pct"/>
            <w:tcBorders>
              <w:top w:val="nil"/>
              <w:left w:val="nil"/>
              <w:right w:val="nil"/>
            </w:tcBorders>
          </w:tcPr>
          <w:p w14:paraId="2AFCE97E" w14:textId="46059BFA" w:rsidR="007E4069" w:rsidRDefault="007E4069" w:rsidP="002E14FF">
            <w:pPr>
              <w:jc w:val="center"/>
              <w:rPr>
                <w:rFonts w:eastAsia="Calibri"/>
                <w:color w:val="000000"/>
                <w:lang w:eastAsia="zh-CN"/>
              </w:rPr>
            </w:pPr>
            <w:r>
              <w:rPr>
                <w:rFonts w:eastAsia="Calibri"/>
                <w:color w:val="000000"/>
                <w:lang w:eastAsia="zh-CN"/>
              </w:rPr>
              <w:t>G</w:t>
            </w:r>
            <w:r w:rsidR="00855890">
              <w:rPr>
                <w:rFonts w:eastAsia="Calibri"/>
                <w:color w:val="000000"/>
                <w:lang w:eastAsia="zh-CN"/>
              </w:rPr>
              <w:t>/</w:t>
            </w:r>
            <w:r>
              <w:rPr>
                <w:rFonts w:eastAsia="Calibri"/>
                <w:color w:val="000000"/>
                <w:lang w:eastAsia="zh-CN"/>
              </w:rPr>
              <w:t>C</w:t>
            </w:r>
          </w:p>
        </w:tc>
        <w:tc>
          <w:tcPr>
            <w:tcW w:w="1667" w:type="pct"/>
            <w:tcBorders>
              <w:top w:val="nil"/>
              <w:left w:val="nil"/>
              <w:right w:val="nil"/>
            </w:tcBorders>
            <w:shd w:val="clear" w:color="auto" w:fill="auto"/>
            <w:noWrap/>
            <w:vAlign w:val="bottom"/>
          </w:tcPr>
          <w:p w14:paraId="1853D5E5" w14:textId="3252BBD7" w:rsidR="007E4069" w:rsidRPr="009E06F2" w:rsidRDefault="007E4069" w:rsidP="002E14FF">
            <w:pPr>
              <w:jc w:val="center"/>
              <w:rPr>
                <w:rFonts w:eastAsia="Calibri"/>
                <w:color w:val="000000"/>
                <w:lang w:eastAsia="zh-CN"/>
              </w:rPr>
            </w:pPr>
            <w:r>
              <w:rPr>
                <w:rFonts w:eastAsia="Calibri"/>
                <w:color w:val="000000"/>
                <w:lang w:eastAsia="zh-CN"/>
              </w:rPr>
              <w:t>Glucose</w:t>
            </w:r>
          </w:p>
        </w:tc>
        <w:tc>
          <w:tcPr>
            <w:tcW w:w="1666" w:type="pct"/>
            <w:tcBorders>
              <w:top w:val="nil"/>
              <w:left w:val="nil"/>
              <w:right w:val="nil"/>
            </w:tcBorders>
            <w:vAlign w:val="bottom"/>
          </w:tcPr>
          <w:p w14:paraId="63417926" w14:textId="10599E6D" w:rsidR="007E4069" w:rsidRPr="009E06F2" w:rsidRDefault="007E4069" w:rsidP="002E14FF">
            <w:pPr>
              <w:jc w:val="center"/>
              <w:rPr>
                <w:rFonts w:eastAsia="Calibri"/>
                <w:color w:val="000000"/>
                <w:lang w:eastAsia="zh-CN"/>
              </w:rPr>
            </w:pPr>
            <w:r>
              <w:rPr>
                <w:rFonts w:eastAsia="Calibri"/>
                <w:color w:val="000000"/>
                <w:lang w:eastAsia="zh-CN"/>
              </w:rPr>
              <w:t>Cornmeal</w:t>
            </w:r>
          </w:p>
        </w:tc>
      </w:tr>
    </w:tbl>
    <w:p w14:paraId="4772C2AE" w14:textId="0B95C8AA" w:rsidR="00855425" w:rsidRDefault="00855425" w:rsidP="00855425">
      <w:pPr>
        <w:spacing w:line="480" w:lineRule="auto"/>
        <w:ind w:firstLine="720"/>
        <w:rPr>
          <w:rFonts w:eastAsia="Calibri"/>
        </w:rPr>
      </w:pPr>
    </w:p>
    <w:p w14:paraId="61222781" w14:textId="7A25DFEA" w:rsidR="00855425" w:rsidRPr="003C2728" w:rsidRDefault="003C2728" w:rsidP="003C2728">
      <w:pPr>
        <w:spacing w:line="480" w:lineRule="auto"/>
        <w:rPr>
          <w:rFonts w:eastAsia="Calibri"/>
          <w:i/>
          <w:iCs/>
        </w:rPr>
      </w:pPr>
      <w:commentRangeStart w:id="15"/>
      <w:r w:rsidRPr="003C2728">
        <w:rPr>
          <w:rFonts w:eastAsia="Calibri"/>
          <w:i/>
          <w:iCs/>
        </w:rPr>
        <w:t>Statistical Analysis</w:t>
      </w:r>
      <w:r w:rsidR="004242F1">
        <w:rPr>
          <w:rFonts w:eastAsia="Calibri"/>
          <w:i/>
          <w:iCs/>
        </w:rPr>
        <w:t xml:space="preserve"> of Experiment 3</w:t>
      </w:r>
      <w:commentRangeEnd w:id="15"/>
      <w:r w:rsidR="004242F1">
        <w:rPr>
          <w:rStyle w:val="CommentReference"/>
        </w:rPr>
        <w:commentReference w:id="15"/>
      </w:r>
    </w:p>
    <w:p w14:paraId="67657D92" w14:textId="77777777" w:rsidR="00D43371" w:rsidRPr="009E06F2" w:rsidRDefault="00D43371" w:rsidP="00D43371">
      <w:pPr>
        <w:spacing w:line="480" w:lineRule="auto"/>
        <w:rPr>
          <w:color w:val="000000"/>
        </w:rPr>
      </w:pPr>
      <m:oMathPara>
        <m:oMathParaPr>
          <m:jc m:val="centerGroup"/>
        </m:oMathParaPr>
        <m:oMath>
          <m:r>
            <w:rPr>
              <w:rFonts w:ascii="Cambria Math" w:hAnsi="Cambria Math"/>
              <w:color w:val="000000"/>
            </w:rPr>
            <m:t>coxph</m:t>
          </m:r>
          <m:d>
            <m:dPr>
              <m:ctrlPr>
                <w:rPr>
                  <w:rFonts w:ascii="Cambria Math" w:hAnsi="Cambria Math"/>
                  <w:i/>
                  <w:iCs/>
                  <w:color w:val="000000"/>
                </w:rPr>
              </m:ctrlPr>
            </m:dPr>
            <m:e>
              <m:r>
                <w:rPr>
                  <w:rFonts w:ascii="Cambria Math" w:hAnsi="Cambria Math"/>
                  <w:color w:val="000000"/>
                </w:rPr>
                <m:t>time, event</m:t>
              </m:r>
            </m:e>
          </m:d>
          <m:r>
            <w:rPr>
              <w:rFonts w:ascii="Cambria Math" w:hAnsi="Cambria Math"/>
              <w:color w:val="000000"/>
            </w:rPr>
            <m:t>=Fungal+Female+Diet+Fungal ×Female+Fungal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C,G,G</m:t>
              </m:r>
            </m:sub>
          </m:sSub>
          <m:r>
            <w:rPr>
              <w:rFonts w:ascii="Cambria Math" w:hAnsi="Cambria Math"/>
              <w:color w:val="000000"/>
            </w:rPr>
            <m:t>+ Fungal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G,G,C</m:t>
              </m:r>
            </m:sub>
          </m:sSub>
          <m:r>
            <w:rPr>
              <w:rFonts w:ascii="Cambria Math" w:hAnsi="Cambria Math"/>
              <w:color w:val="000000"/>
            </w:rPr>
            <m:t>+Fungal ×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G,G,G</m:t>
              </m:r>
            </m:sub>
          </m:sSub>
          <m:r>
            <w:rPr>
              <w:rFonts w:ascii="Cambria Math" w:hAnsi="Cambria Math"/>
              <w:color w:val="000000"/>
            </w:rPr>
            <m:t>+Fungal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C,C,G</m:t>
              </m:r>
            </m:sub>
          </m:sSub>
          <m:r>
            <w:rPr>
              <w:rFonts w:ascii="Cambria Math" w:hAnsi="Cambria Math"/>
              <w:color w:val="000000"/>
            </w:rPr>
            <m:t>+Fungal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C+Y,C+Y,C</m:t>
              </m:r>
            </m:sub>
          </m:sSub>
          <m:r>
            <m:rPr>
              <m:sty m:val="p"/>
            </m:rPr>
            <w:rPr>
              <w:rFonts w:ascii="Cambria Math" w:hAnsi="Cambria Math"/>
              <w:color w:val="000000"/>
            </w:rPr>
            <m:t>+Fungal </m:t>
          </m:r>
          <m:r>
            <w:rPr>
              <w:rFonts w:ascii="Cambria Math" w:hAnsi="Cambria Math"/>
              <w:color w:val="000000"/>
            </w:rPr>
            <m:t>× Female ×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C,G,G</m:t>
              </m:r>
            </m:sub>
          </m:sSub>
          <m:r>
            <w:rPr>
              <w:rFonts w:ascii="Cambria Math" w:hAnsi="Cambria Math"/>
              <w:color w:val="000000"/>
            </w:rPr>
            <m:t>+</m:t>
          </m:r>
          <m:r>
            <m:rPr>
              <m:sty m:val="p"/>
            </m:rPr>
            <w:rPr>
              <w:rFonts w:ascii="Cambria Math" w:hAnsi="Cambria Math"/>
              <w:color w:val="000000"/>
            </w:rPr>
            <m:t>Fungal </m:t>
          </m:r>
          <m:r>
            <w:rPr>
              <w:rFonts w:ascii="Cambria Math" w:hAnsi="Cambria Math"/>
              <w:color w:val="000000"/>
            </w:rPr>
            <m:t>× Female ×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G,G,C</m:t>
              </m:r>
            </m:sub>
          </m:sSub>
          <m:r>
            <w:rPr>
              <w:rFonts w:ascii="Cambria Math" w:hAnsi="Cambria Math"/>
              <w:color w:val="000000"/>
            </w:rPr>
            <m:t>+</m:t>
          </m:r>
          <m:r>
            <m:rPr>
              <m:sty m:val="p"/>
            </m:rPr>
            <w:rPr>
              <w:rFonts w:ascii="Cambria Math" w:hAnsi="Cambria Math"/>
              <w:color w:val="000000"/>
            </w:rPr>
            <m:t>Fungal </m:t>
          </m:r>
          <m:r>
            <w:rPr>
              <w:rFonts w:ascii="Cambria Math" w:hAnsi="Cambria Math"/>
              <w:color w:val="000000"/>
            </w:rPr>
            <m:t>× Female ×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G,G,G</m:t>
              </m:r>
            </m:sub>
          </m:sSub>
          <m:r>
            <m:rPr>
              <m:sty m:val="p"/>
            </m:rPr>
            <w:rPr>
              <w:rFonts w:ascii="Cambria Math" w:hAnsi="Cambria Math"/>
              <w:color w:val="000000"/>
            </w:rPr>
            <m:t>+Fungal </m:t>
          </m:r>
          <m:r>
            <w:rPr>
              <w:rFonts w:ascii="Cambria Math" w:hAnsi="Cambria Math"/>
              <w:color w:val="000000"/>
            </w:rPr>
            <m:t>× Female ×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C,C,G</m:t>
              </m:r>
            </m:sub>
          </m:sSub>
          <m:r>
            <w:rPr>
              <w:rFonts w:ascii="Cambria Math" w:hAnsi="Cambria Math"/>
              <w:color w:val="000000"/>
            </w:rPr>
            <m:t>+</m:t>
          </m:r>
          <m:r>
            <m:rPr>
              <m:sty m:val="p"/>
            </m:rPr>
            <w:rPr>
              <w:rFonts w:ascii="Cambria Math" w:hAnsi="Cambria Math"/>
              <w:color w:val="000000"/>
            </w:rPr>
            <m:t>Fungal </m:t>
          </m:r>
          <m:r>
            <w:rPr>
              <w:rFonts w:ascii="Cambria Math" w:hAnsi="Cambria Math"/>
              <w:color w:val="000000"/>
            </w:rPr>
            <m:t>× Female × Die</m:t>
          </m:r>
          <m:sSub>
            <m:sSubPr>
              <m:ctrlPr>
                <w:rPr>
                  <w:rFonts w:ascii="Cambria Math" w:hAnsi="Cambria Math"/>
                  <w:i/>
                  <w:iCs/>
                  <w:color w:val="000000"/>
                </w:rPr>
              </m:ctrlPr>
            </m:sSubPr>
            <m:e>
              <m:r>
                <w:rPr>
                  <w:rFonts w:ascii="Cambria Math" w:hAnsi="Cambria Math"/>
                  <w:color w:val="000000"/>
                </w:rPr>
                <m:t>t</m:t>
              </m:r>
            </m:e>
            <m:sub>
              <m:r>
                <w:rPr>
                  <w:rFonts w:ascii="Cambria Math" w:hAnsi="Cambria Math"/>
                  <w:color w:val="000000"/>
                </w:rPr>
                <m:t>C+Y,C+Y,C</m:t>
              </m:r>
            </m:sub>
          </m:sSub>
        </m:oMath>
      </m:oMathPara>
    </w:p>
    <w:p w14:paraId="3B8F3842" w14:textId="7FC8AF8E" w:rsidR="00D43371" w:rsidRDefault="00D43371" w:rsidP="00D43371">
      <w:pPr>
        <w:spacing w:line="480" w:lineRule="auto"/>
        <w:ind w:firstLine="720"/>
        <w:rPr>
          <w:rFonts w:eastAsia="Calibri"/>
        </w:rPr>
      </w:pPr>
      <w:r w:rsidRPr="009E06F2">
        <w:rPr>
          <w:noProof/>
        </w:rPr>
        <w:drawing>
          <wp:inline distT="0" distB="0" distL="0" distR="0" wp14:anchorId="5103DCE3" wp14:editId="3CA51226">
            <wp:extent cx="5486400" cy="2657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657475"/>
                    </a:xfrm>
                    <a:prstGeom prst="rect">
                      <a:avLst/>
                    </a:prstGeom>
                  </pic:spPr>
                </pic:pic>
              </a:graphicData>
            </a:graphic>
          </wp:inline>
        </w:drawing>
      </w:r>
    </w:p>
    <w:p w14:paraId="2A0F650C" w14:textId="3C32892C" w:rsidR="003C2728" w:rsidRDefault="003C2728" w:rsidP="003C2728">
      <w:pPr>
        <w:spacing w:line="480" w:lineRule="auto"/>
        <w:rPr>
          <w:rFonts w:eastAsia="Calibri"/>
        </w:rPr>
      </w:pPr>
    </w:p>
    <w:p w14:paraId="79C526EF" w14:textId="40382C25" w:rsidR="00FF648B" w:rsidRDefault="00FF648B" w:rsidP="003C2728">
      <w:pPr>
        <w:spacing w:line="480" w:lineRule="auto"/>
        <w:rPr>
          <w:rFonts w:eastAsia="Calibri"/>
        </w:rPr>
      </w:pPr>
    </w:p>
    <w:p w14:paraId="4A5C44B2" w14:textId="242D3448" w:rsidR="00DB0F03" w:rsidRDefault="00FF648B" w:rsidP="003C2728">
      <w:pPr>
        <w:spacing w:line="480" w:lineRule="auto"/>
        <w:rPr>
          <w:rFonts w:eastAsia="Calibri"/>
          <w:i/>
          <w:iCs/>
        </w:rPr>
      </w:pPr>
      <w:r w:rsidRPr="00FF648B">
        <w:rPr>
          <w:rFonts w:eastAsia="Calibri"/>
          <w:i/>
          <w:iCs/>
        </w:rPr>
        <w:lastRenderedPageBreak/>
        <w:t xml:space="preserve">Experiment </w:t>
      </w:r>
      <w:r w:rsidR="00875402">
        <w:rPr>
          <w:rFonts w:eastAsia="Calibri"/>
          <w:i/>
          <w:iCs/>
        </w:rPr>
        <w:t>4</w:t>
      </w:r>
      <w:r w:rsidRPr="00FF648B">
        <w:rPr>
          <w:rFonts w:eastAsia="Calibri"/>
          <w:i/>
          <w:iCs/>
        </w:rPr>
        <w:t xml:space="preserve">: </w:t>
      </w:r>
      <w:r w:rsidR="00DB0F03" w:rsidRPr="00855425">
        <w:rPr>
          <w:rFonts w:eastAsia="Calibri"/>
          <w:i/>
          <w:iCs/>
        </w:rPr>
        <w:t xml:space="preserve">Effects of </w:t>
      </w:r>
      <w:r w:rsidR="00DB0F03">
        <w:rPr>
          <w:rFonts w:eastAsia="Calibri"/>
          <w:i/>
          <w:iCs/>
        </w:rPr>
        <w:t xml:space="preserve">yeast supplementation on sexual dimorphism in post-infection survival of D. melanogaster inoculated with B. </w:t>
      </w:r>
      <w:proofErr w:type="spellStart"/>
      <w:r w:rsidR="00DB0F03">
        <w:rPr>
          <w:rFonts w:eastAsia="Calibri"/>
          <w:i/>
          <w:iCs/>
        </w:rPr>
        <w:t>bassiana</w:t>
      </w:r>
      <w:proofErr w:type="spellEnd"/>
      <w:r w:rsidR="00DB0F03">
        <w:rPr>
          <w:rFonts w:eastAsia="Calibri"/>
          <w:i/>
          <w:iCs/>
        </w:rPr>
        <w:t xml:space="preserve"> strain GHA</w:t>
      </w:r>
    </w:p>
    <w:p w14:paraId="45CD19B5" w14:textId="5018A85B" w:rsidR="00FF648B" w:rsidRDefault="00C40B31" w:rsidP="003C2728">
      <w:pPr>
        <w:spacing w:line="480" w:lineRule="auto"/>
        <w:rPr>
          <w:rFonts w:eastAsia="Calibri"/>
        </w:rPr>
      </w:pPr>
      <w:r>
        <w:rPr>
          <w:rFonts w:eastAsia="Calibri"/>
        </w:rPr>
        <w:tab/>
        <w:t>The methods used were the same as in Experiment 3</w:t>
      </w:r>
      <w:r w:rsidR="00DB0F03">
        <w:rPr>
          <w:rFonts w:eastAsia="Calibri"/>
        </w:rPr>
        <w:t xml:space="preserve">, </w:t>
      </w:r>
      <w:r>
        <w:rPr>
          <w:rFonts w:eastAsia="Calibri"/>
        </w:rPr>
        <w:t xml:space="preserve">but the specific dietary conditions tested were as follows: </w:t>
      </w:r>
    </w:p>
    <w:p w14:paraId="482DBC59" w14:textId="77777777" w:rsidR="00C40B31" w:rsidRPr="009E06F2" w:rsidRDefault="00C40B31" w:rsidP="00C40B31">
      <w:pPr>
        <w:rPr>
          <w:rFonts w:eastAsia="Calibri"/>
        </w:rPr>
      </w:pPr>
    </w:p>
    <w:tbl>
      <w:tblPr>
        <w:tblW w:w="5000" w:type="pct"/>
        <w:tblCellMar>
          <w:top w:w="58" w:type="dxa"/>
          <w:left w:w="115" w:type="dxa"/>
          <w:bottom w:w="58" w:type="dxa"/>
          <w:right w:w="115" w:type="dxa"/>
        </w:tblCellMar>
        <w:tblLook w:val="04A0" w:firstRow="1" w:lastRow="0" w:firstColumn="1" w:lastColumn="0" w:noHBand="0" w:noVBand="1"/>
      </w:tblPr>
      <w:tblGrid>
        <w:gridCol w:w="1742"/>
        <w:gridCol w:w="3383"/>
        <w:gridCol w:w="3515"/>
      </w:tblGrid>
      <w:tr w:rsidR="00855890" w:rsidRPr="009E06F2" w14:paraId="7140051B" w14:textId="77777777" w:rsidTr="00855890">
        <w:trPr>
          <w:trHeight w:val="264"/>
        </w:trPr>
        <w:tc>
          <w:tcPr>
            <w:tcW w:w="1267" w:type="pct"/>
            <w:tcBorders>
              <w:top w:val="single" w:sz="4" w:space="0" w:color="auto"/>
              <w:left w:val="nil"/>
              <w:bottom w:val="single" w:sz="4" w:space="0" w:color="auto"/>
              <w:right w:val="nil"/>
            </w:tcBorders>
          </w:tcPr>
          <w:p w14:paraId="136B002B" w14:textId="481D3200" w:rsidR="00855890" w:rsidRPr="009E06F2" w:rsidRDefault="00855890" w:rsidP="002E14FF">
            <w:pPr>
              <w:jc w:val="center"/>
              <w:rPr>
                <w:rFonts w:eastAsia="Calibri"/>
                <w:bCs/>
                <w:color w:val="000000"/>
                <w:lang w:eastAsia="zh-CN"/>
              </w:rPr>
            </w:pPr>
            <w:r>
              <w:rPr>
                <w:rFonts w:eastAsia="Calibri"/>
                <w:bCs/>
                <w:color w:val="000000"/>
                <w:lang w:eastAsia="zh-CN"/>
              </w:rPr>
              <w:t>Treatment name on graphs</w:t>
            </w:r>
          </w:p>
        </w:tc>
        <w:tc>
          <w:tcPr>
            <w:tcW w:w="1441" w:type="pct"/>
            <w:tcBorders>
              <w:top w:val="single" w:sz="4" w:space="0" w:color="auto"/>
              <w:left w:val="nil"/>
              <w:bottom w:val="single" w:sz="4" w:space="0" w:color="auto"/>
              <w:right w:val="nil"/>
            </w:tcBorders>
            <w:shd w:val="clear" w:color="auto" w:fill="auto"/>
            <w:vAlign w:val="bottom"/>
            <w:hideMark/>
          </w:tcPr>
          <w:p w14:paraId="1D9F7847" w14:textId="123842E5" w:rsidR="00855890" w:rsidRPr="009E06F2" w:rsidRDefault="00855890" w:rsidP="002E14FF">
            <w:pPr>
              <w:jc w:val="center"/>
              <w:rPr>
                <w:rFonts w:eastAsia="Calibri"/>
                <w:bCs/>
                <w:color w:val="000000"/>
                <w:lang w:eastAsia="zh-CN"/>
              </w:rPr>
            </w:pPr>
            <w:r w:rsidRPr="009E06F2">
              <w:rPr>
                <w:rFonts w:eastAsia="Calibri"/>
                <w:bCs/>
                <w:color w:val="000000"/>
                <w:lang w:eastAsia="zh-CN"/>
              </w:rPr>
              <w:t>Day 12- 14</w:t>
            </w:r>
            <w:r>
              <w:rPr>
                <w:rFonts w:eastAsia="Calibri"/>
                <w:bCs/>
                <w:color w:val="000000"/>
                <w:lang w:eastAsia="zh-CN"/>
              </w:rPr>
              <w:t xml:space="preserve"> (before spray)</w:t>
            </w:r>
          </w:p>
        </w:tc>
        <w:tc>
          <w:tcPr>
            <w:tcW w:w="2292" w:type="pct"/>
            <w:tcBorders>
              <w:top w:val="single" w:sz="4" w:space="0" w:color="auto"/>
              <w:left w:val="nil"/>
              <w:bottom w:val="single" w:sz="4" w:space="0" w:color="auto"/>
              <w:right w:val="nil"/>
            </w:tcBorders>
            <w:vAlign w:val="bottom"/>
          </w:tcPr>
          <w:p w14:paraId="09D5FC63" w14:textId="77777777" w:rsidR="00855890" w:rsidRPr="009E06F2" w:rsidRDefault="00855890" w:rsidP="002E14FF">
            <w:pPr>
              <w:jc w:val="center"/>
              <w:rPr>
                <w:rFonts w:eastAsia="Calibri"/>
                <w:bCs/>
                <w:color w:val="000000"/>
                <w:lang w:eastAsia="zh-CN"/>
              </w:rPr>
            </w:pPr>
            <w:r w:rsidRPr="009E06F2">
              <w:rPr>
                <w:rFonts w:eastAsia="Calibri"/>
                <w:bCs/>
                <w:color w:val="000000"/>
                <w:lang w:eastAsia="zh-CN"/>
              </w:rPr>
              <w:t>Day 15- 2</w:t>
            </w:r>
            <w:commentRangeStart w:id="16"/>
            <w:r w:rsidRPr="009E06F2">
              <w:rPr>
                <w:rFonts w:eastAsia="Calibri"/>
                <w:bCs/>
                <w:color w:val="000000"/>
                <w:lang w:eastAsia="zh-CN"/>
              </w:rPr>
              <w:t>9</w:t>
            </w:r>
            <w:commentRangeEnd w:id="16"/>
            <w:r w:rsidR="00524D18">
              <w:rPr>
                <w:rStyle w:val="CommentReference"/>
              </w:rPr>
              <w:commentReference w:id="16"/>
            </w:r>
            <w:r>
              <w:rPr>
                <w:rFonts w:eastAsia="Calibri"/>
                <w:bCs/>
                <w:color w:val="000000"/>
                <w:lang w:eastAsia="zh-CN"/>
              </w:rPr>
              <w:t xml:space="preserve"> (after spray)</w:t>
            </w:r>
          </w:p>
        </w:tc>
      </w:tr>
      <w:tr w:rsidR="00855890" w:rsidRPr="009E06F2" w14:paraId="2DF415B3" w14:textId="77777777" w:rsidTr="00855890">
        <w:trPr>
          <w:trHeight w:val="264"/>
        </w:trPr>
        <w:tc>
          <w:tcPr>
            <w:tcW w:w="1267" w:type="pct"/>
            <w:tcBorders>
              <w:top w:val="nil"/>
              <w:left w:val="nil"/>
              <w:bottom w:val="nil"/>
              <w:right w:val="nil"/>
            </w:tcBorders>
          </w:tcPr>
          <w:p w14:paraId="08F005F4" w14:textId="5C916F4D" w:rsidR="00855890" w:rsidRDefault="00855890" w:rsidP="002E14FF">
            <w:pPr>
              <w:jc w:val="center"/>
              <w:rPr>
                <w:rFonts w:eastAsia="Calibri"/>
                <w:color w:val="000000"/>
                <w:lang w:eastAsia="zh-CN"/>
              </w:rPr>
            </w:pPr>
            <w:r>
              <w:rPr>
                <w:rFonts w:eastAsia="Calibri"/>
                <w:color w:val="000000"/>
                <w:lang w:eastAsia="zh-CN"/>
              </w:rPr>
              <w:t>C/C</w:t>
            </w:r>
          </w:p>
        </w:tc>
        <w:tc>
          <w:tcPr>
            <w:tcW w:w="1441" w:type="pct"/>
            <w:tcBorders>
              <w:top w:val="nil"/>
              <w:left w:val="nil"/>
              <w:bottom w:val="nil"/>
              <w:right w:val="nil"/>
            </w:tcBorders>
            <w:shd w:val="clear" w:color="auto" w:fill="auto"/>
            <w:noWrap/>
            <w:vAlign w:val="bottom"/>
          </w:tcPr>
          <w:p w14:paraId="683EA66A" w14:textId="0AF23536" w:rsidR="00855890" w:rsidRPr="009E06F2" w:rsidRDefault="00855890" w:rsidP="002E14FF">
            <w:pPr>
              <w:jc w:val="center"/>
              <w:rPr>
                <w:rFonts w:eastAsia="Calibri"/>
                <w:color w:val="000000"/>
                <w:lang w:eastAsia="zh-CN"/>
              </w:rPr>
            </w:pPr>
            <w:r>
              <w:rPr>
                <w:rFonts w:eastAsia="Calibri"/>
                <w:color w:val="000000"/>
                <w:lang w:eastAsia="zh-CN"/>
              </w:rPr>
              <w:t>Cornmeal</w:t>
            </w:r>
          </w:p>
        </w:tc>
        <w:tc>
          <w:tcPr>
            <w:tcW w:w="2292" w:type="pct"/>
            <w:tcBorders>
              <w:top w:val="nil"/>
              <w:left w:val="nil"/>
              <w:bottom w:val="nil"/>
              <w:right w:val="nil"/>
            </w:tcBorders>
            <w:vAlign w:val="bottom"/>
          </w:tcPr>
          <w:p w14:paraId="4683161C" w14:textId="043A7452" w:rsidR="00855890" w:rsidRDefault="00855890" w:rsidP="002E14FF">
            <w:pPr>
              <w:jc w:val="center"/>
              <w:rPr>
                <w:rFonts w:eastAsia="Calibri"/>
                <w:color w:val="000000"/>
                <w:lang w:eastAsia="zh-CN"/>
              </w:rPr>
            </w:pPr>
            <w:r>
              <w:rPr>
                <w:rFonts w:eastAsia="Calibri"/>
                <w:color w:val="000000"/>
                <w:lang w:eastAsia="zh-CN"/>
              </w:rPr>
              <w:t>Cornmeal</w:t>
            </w:r>
          </w:p>
        </w:tc>
      </w:tr>
      <w:tr w:rsidR="00855890" w:rsidRPr="009E06F2" w14:paraId="4654A29B" w14:textId="77777777" w:rsidTr="00855890">
        <w:trPr>
          <w:trHeight w:val="264"/>
        </w:trPr>
        <w:tc>
          <w:tcPr>
            <w:tcW w:w="1267" w:type="pct"/>
            <w:tcBorders>
              <w:top w:val="nil"/>
              <w:left w:val="nil"/>
              <w:bottom w:val="nil"/>
              <w:right w:val="nil"/>
            </w:tcBorders>
          </w:tcPr>
          <w:p w14:paraId="3E95D8AF" w14:textId="1770C710" w:rsidR="00855890" w:rsidRPr="009E06F2" w:rsidRDefault="00855890" w:rsidP="002E14FF">
            <w:pPr>
              <w:jc w:val="center"/>
              <w:rPr>
                <w:rFonts w:eastAsia="Calibri"/>
                <w:color w:val="000000"/>
                <w:lang w:eastAsia="zh-CN"/>
              </w:rPr>
            </w:pPr>
            <w:r>
              <w:rPr>
                <w:rFonts w:eastAsia="Calibri"/>
                <w:color w:val="000000"/>
                <w:lang w:eastAsia="zh-CN"/>
              </w:rPr>
              <w:t>C/CY</w:t>
            </w:r>
          </w:p>
        </w:tc>
        <w:tc>
          <w:tcPr>
            <w:tcW w:w="1441" w:type="pct"/>
            <w:tcBorders>
              <w:top w:val="nil"/>
              <w:left w:val="nil"/>
              <w:bottom w:val="nil"/>
              <w:right w:val="nil"/>
            </w:tcBorders>
            <w:shd w:val="clear" w:color="auto" w:fill="auto"/>
            <w:noWrap/>
            <w:vAlign w:val="bottom"/>
            <w:hideMark/>
          </w:tcPr>
          <w:p w14:paraId="4010BDEA" w14:textId="7B2110FE" w:rsidR="00855890" w:rsidRPr="009E06F2" w:rsidRDefault="00855890" w:rsidP="002E14FF">
            <w:pPr>
              <w:jc w:val="center"/>
              <w:rPr>
                <w:rFonts w:eastAsia="Calibri"/>
                <w:color w:val="000000"/>
                <w:lang w:eastAsia="zh-CN"/>
              </w:rPr>
            </w:pPr>
            <w:r w:rsidRPr="009E06F2">
              <w:rPr>
                <w:rFonts w:eastAsia="Calibri"/>
                <w:color w:val="000000"/>
                <w:lang w:eastAsia="zh-CN"/>
              </w:rPr>
              <w:t>Cornmeal</w:t>
            </w:r>
          </w:p>
        </w:tc>
        <w:tc>
          <w:tcPr>
            <w:tcW w:w="2292" w:type="pct"/>
            <w:tcBorders>
              <w:top w:val="nil"/>
              <w:left w:val="nil"/>
              <w:bottom w:val="nil"/>
              <w:right w:val="nil"/>
            </w:tcBorders>
            <w:vAlign w:val="bottom"/>
          </w:tcPr>
          <w:p w14:paraId="5D52A36E" w14:textId="2EA69025" w:rsidR="00855890" w:rsidRPr="009E06F2" w:rsidRDefault="00855890" w:rsidP="002E14FF">
            <w:pPr>
              <w:jc w:val="center"/>
              <w:rPr>
                <w:rFonts w:eastAsia="Calibri"/>
                <w:color w:val="000000"/>
                <w:lang w:eastAsia="zh-CN"/>
              </w:rPr>
            </w:pPr>
            <w:r>
              <w:rPr>
                <w:rFonts w:eastAsia="Calibri"/>
                <w:color w:val="000000"/>
                <w:lang w:eastAsia="zh-CN"/>
              </w:rPr>
              <w:t>Cornmeal with yeast supplement</w:t>
            </w:r>
          </w:p>
        </w:tc>
      </w:tr>
      <w:tr w:rsidR="00855890" w:rsidRPr="009E06F2" w14:paraId="067CF4F5" w14:textId="77777777" w:rsidTr="00855890">
        <w:trPr>
          <w:trHeight w:val="264"/>
        </w:trPr>
        <w:tc>
          <w:tcPr>
            <w:tcW w:w="1267" w:type="pct"/>
            <w:tcBorders>
              <w:top w:val="nil"/>
              <w:left w:val="nil"/>
              <w:bottom w:val="nil"/>
              <w:right w:val="nil"/>
            </w:tcBorders>
          </w:tcPr>
          <w:p w14:paraId="30A9B9E8" w14:textId="694D9F7D" w:rsidR="00855890" w:rsidRDefault="00855890" w:rsidP="002E14FF">
            <w:pPr>
              <w:jc w:val="center"/>
              <w:rPr>
                <w:rFonts w:eastAsia="Calibri"/>
                <w:color w:val="000000"/>
                <w:lang w:eastAsia="zh-CN"/>
              </w:rPr>
            </w:pPr>
            <w:r>
              <w:rPr>
                <w:rFonts w:eastAsia="Calibri"/>
                <w:color w:val="000000"/>
                <w:lang w:eastAsia="zh-CN"/>
              </w:rPr>
              <w:t>CY/C</w:t>
            </w:r>
          </w:p>
        </w:tc>
        <w:tc>
          <w:tcPr>
            <w:tcW w:w="1441" w:type="pct"/>
            <w:tcBorders>
              <w:top w:val="nil"/>
              <w:left w:val="nil"/>
              <w:bottom w:val="nil"/>
              <w:right w:val="nil"/>
            </w:tcBorders>
            <w:shd w:val="clear" w:color="auto" w:fill="auto"/>
            <w:noWrap/>
            <w:vAlign w:val="bottom"/>
            <w:hideMark/>
          </w:tcPr>
          <w:p w14:paraId="6C306BA2" w14:textId="15A68785" w:rsidR="00855890" w:rsidRPr="009E06F2" w:rsidRDefault="00855890" w:rsidP="002E14FF">
            <w:pPr>
              <w:jc w:val="center"/>
              <w:rPr>
                <w:rFonts w:eastAsia="Calibri"/>
                <w:color w:val="000000"/>
                <w:lang w:eastAsia="zh-CN"/>
              </w:rPr>
            </w:pPr>
            <w:r>
              <w:rPr>
                <w:rFonts w:eastAsia="Calibri"/>
                <w:color w:val="000000"/>
                <w:lang w:eastAsia="zh-CN"/>
              </w:rPr>
              <w:t>Cornmeal with yeast supplement</w:t>
            </w:r>
          </w:p>
        </w:tc>
        <w:tc>
          <w:tcPr>
            <w:tcW w:w="2292" w:type="pct"/>
            <w:tcBorders>
              <w:top w:val="nil"/>
              <w:left w:val="nil"/>
              <w:bottom w:val="nil"/>
              <w:right w:val="nil"/>
            </w:tcBorders>
            <w:vAlign w:val="bottom"/>
          </w:tcPr>
          <w:p w14:paraId="189E284E" w14:textId="77777777" w:rsidR="00855890" w:rsidRPr="009E06F2" w:rsidRDefault="00855890" w:rsidP="002E14FF">
            <w:pPr>
              <w:jc w:val="center"/>
              <w:rPr>
                <w:rFonts w:eastAsia="Calibri"/>
                <w:color w:val="000000"/>
                <w:lang w:eastAsia="zh-CN"/>
              </w:rPr>
            </w:pPr>
            <w:r>
              <w:rPr>
                <w:rFonts w:eastAsia="Calibri"/>
                <w:color w:val="000000"/>
                <w:lang w:eastAsia="zh-CN"/>
              </w:rPr>
              <w:t>Cornmeal</w:t>
            </w:r>
          </w:p>
        </w:tc>
      </w:tr>
      <w:tr w:rsidR="00855890" w:rsidRPr="009E06F2" w14:paraId="2C8A4E9C" w14:textId="77777777" w:rsidTr="00855890">
        <w:trPr>
          <w:trHeight w:val="264"/>
        </w:trPr>
        <w:tc>
          <w:tcPr>
            <w:tcW w:w="1267" w:type="pct"/>
            <w:tcBorders>
              <w:top w:val="nil"/>
              <w:left w:val="nil"/>
              <w:right w:val="nil"/>
            </w:tcBorders>
          </w:tcPr>
          <w:p w14:paraId="14367A21" w14:textId="7F1CDA67" w:rsidR="00855890" w:rsidRPr="009E06F2" w:rsidRDefault="00855890" w:rsidP="002E14FF">
            <w:pPr>
              <w:jc w:val="center"/>
              <w:rPr>
                <w:rFonts w:eastAsia="Calibri"/>
                <w:color w:val="000000"/>
                <w:lang w:eastAsia="zh-CN"/>
              </w:rPr>
            </w:pPr>
            <w:r>
              <w:rPr>
                <w:rFonts w:eastAsia="Calibri"/>
                <w:color w:val="000000"/>
                <w:lang w:eastAsia="zh-CN"/>
              </w:rPr>
              <w:t>CY/CY</w:t>
            </w:r>
          </w:p>
        </w:tc>
        <w:tc>
          <w:tcPr>
            <w:tcW w:w="1441" w:type="pct"/>
            <w:tcBorders>
              <w:top w:val="nil"/>
              <w:left w:val="nil"/>
              <w:right w:val="nil"/>
            </w:tcBorders>
            <w:shd w:val="clear" w:color="auto" w:fill="auto"/>
            <w:noWrap/>
            <w:vAlign w:val="bottom"/>
          </w:tcPr>
          <w:p w14:paraId="37EEE083" w14:textId="7A4DC2C8" w:rsidR="00855890" w:rsidRPr="009E06F2" w:rsidRDefault="00855890" w:rsidP="002E14FF">
            <w:pPr>
              <w:jc w:val="center"/>
              <w:rPr>
                <w:rFonts w:eastAsia="Calibri"/>
                <w:color w:val="000000"/>
                <w:lang w:eastAsia="zh-CN"/>
              </w:rPr>
            </w:pPr>
            <w:r w:rsidRPr="009E06F2">
              <w:rPr>
                <w:rFonts w:eastAsia="Calibri"/>
                <w:color w:val="000000"/>
                <w:lang w:eastAsia="zh-CN"/>
              </w:rPr>
              <w:t>Cornmeal</w:t>
            </w:r>
            <w:r>
              <w:rPr>
                <w:rFonts w:eastAsia="Calibri"/>
                <w:color w:val="000000"/>
                <w:lang w:eastAsia="zh-CN"/>
              </w:rPr>
              <w:t xml:space="preserve"> with yeast supplement</w:t>
            </w:r>
          </w:p>
        </w:tc>
        <w:tc>
          <w:tcPr>
            <w:tcW w:w="2292" w:type="pct"/>
            <w:tcBorders>
              <w:top w:val="nil"/>
              <w:left w:val="nil"/>
              <w:right w:val="nil"/>
            </w:tcBorders>
            <w:vAlign w:val="bottom"/>
          </w:tcPr>
          <w:p w14:paraId="6227D103" w14:textId="14E78973" w:rsidR="00855890" w:rsidRPr="009E06F2" w:rsidRDefault="00855890" w:rsidP="002E14FF">
            <w:pPr>
              <w:jc w:val="center"/>
              <w:rPr>
                <w:rFonts w:eastAsia="Calibri"/>
                <w:color w:val="000000"/>
                <w:lang w:eastAsia="zh-CN"/>
              </w:rPr>
            </w:pPr>
            <w:r>
              <w:rPr>
                <w:rFonts w:eastAsia="Calibri"/>
                <w:color w:val="000000"/>
                <w:lang w:eastAsia="zh-CN"/>
              </w:rPr>
              <w:t>Cornmeal with yeast supplement</w:t>
            </w:r>
          </w:p>
        </w:tc>
      </w:tr>
      <w:tr w:rsidR="00855890" w:rsidRPr="009E06F2" w14:paraId="47693B1E" w14:textId="77777777" w:rsidTr="00855890">
        <w:trPr>
          <w:trHeight w:val="264"/>
        </w:trPr>
        <w:tc>
          <w:tcPr>
            <w:tcW w:w="1267" w:type="pct"/>
            <w:tcBorders>
              <w:top w:val="nil"/>
              <w:left w:val="nil"/>
              <w:right w:val="nil"/>
            </w:tcBorders>
          </w:tcPr>
          <w:p w14:paraId="2E334701" w14:textId="5D3C8DFE" w:rsidR="00855890" w:rsidRDefault="00855890" w:rsidP="002E14FF">
            <w:pPr>
              <w:jc w:val="center"/>
              <w:rPr>
                <w:rFonts w:eastAsia="Calibri"/>
                <w:color w:val="000000"/>
                <w:lang w:eastAsia="zh-CN"/>
              </w:rPr>
            </w:pPr>
            <w:r>
              <w:rPr>
                <w:rFonts w:eastAsia="Calibri"/>
                <w:color w:val="000000"/>
                <w:lang w:eastAsia="zh-CN"/>
              </w:rPr>
              <w:t>G/G</w:t>
            </w:r>
          </w:p>
        </w:tc>
        <w:tc>
          <w:tcPr>
            <w:tcW w:w="1441" w:type="pct"/>
            <w:tcBorders>
              <w:top w:val="nil"/>
              <w:left w:val="nil"/>
              <w:right w:val="nil"/>
            </w:tcBorders>
            <w:shd w:val="clear" w:color="auto" w:fill="auto"/>
            <w:noWrap/>
            <w:vAlign w:val="bottom"/>
          </w:tcPr>
          <w:p w14:paraId="44A48DD8" w14:textId="08F8070E" w:rsidR="00855890" w:rsidRPr="009E06F2" w:rsidRDefault="00855890" w:rsidP="002E14FF">
            <w:pPr>
              <w:jc w:val="center"/>
              <w:rPr>
                <w:rFonts w:eastAsia="Calibri"/>
                <w:color w:val="000000"/>
                <w:lang w:eastAsia="zh-CN"/>
              </w:rPr>
            </w:pPr>
            <w:r>
              <w:rPr>
                <w:rFonts w:eastAsia="Calibri"/>
                <w:color w:val="000000"/>
                <w:lang w:eastAsia="zh-CN"/>
              </w:rPr>
              <w:t>Glucose</w:t>
            </w:r>
          </w:p>
        </w:tc>
        <w:tc>
          <w:tcPr>
            <w:tcW w:w="2292" w:type="pct"/>
            <w:tcBorders>
              <w:top w:val="nil"/>
              <w:left w:val="nil"/>
              <w:right w:val="nil"/>
            </w:tcBorders>
            <w:vAlign w:val="bottom"/>
          </w:tcPr>
          <w:p w14:paraId="77E28084" w14:textId="481F669D" w:rsidR="00855890" w:rsidRPr="009E06F2" w:rsidRDefault="00855890" w:rsidP="002E14FF">
            <w:pPr>
              <w:jc w:val="center"/>
              <w:rPr>
                <w:rFonts w:eastAsia="Calibri"/>
                <w:color w:val="000000"/>
                <w:lang w:eastAsia="zh-CN"/>
              </w:rPr>
            </w:pPr>
            <w:r>
              <w:rPr>
                <w:rFonts w:eastAsia="Calibri"/>
                <w:color w:val="000000"/>
                <w:lang w:eastAsia="zh-CN"/>
              </w:rPr>
              <w:t>Glucose</w:t>
            </w:r>
          </w:p>
        </w:tc>
      </w:tr>
    </w:tbl>
    <w:p w14:paraId="3899F6EA" w14:textId="77777777" w:rsidR="00C40B31" w:rsidRDefault="00C40B31" w:rsidP="003C2728">
      <w:pPr>
        <w:spacing w:line="480" w:lineRule="auto"/>
        <w:rPr>
          <w:rFonts w:eastAsia="Calibri"/>
        </w:rPr>
      </w:pPr>
      <w:bookmarkStart w:id="17" w:name="_GoBack"/>
      <w:bookmarkEnd w:id="17"/>
    </w:p>
    <w:p w14:paraId="0F2CED92" w14:textId="75113814" w:rsidR="00DE581D" w:rsidRDefault="003D4F86" w:rsidP="00DE581D">
      <w:pPr>
        <w:spacing w:line="480" w:lineRule="auto"/>
        <w:ind w:firstLine="720"/>
        <w:rPr>
          <w:rFonts w:eastAsia="Calibri"/>
        </w:rPr>
      </w:pPr>
      <w:r>
        <w:rPr>
          <w:rFonts w:eastAsia="Calibri"/>
        </w:rPr>
        <w:t xml:space="preserve">To supplement the Cornmeal diet with yeast, a </w:t>
      </w:r>
      <w:r w:rsidR="00DE581D" w:rsidRPr="009E06F2">
        <w:rPr>
          <w:rFonts w:eastAsia="Calibri"/>
        </w:rPr>
        <w:t xml:space="preserve">standard yeast paste was made using a ration of 1g of yeast </w:t>
      </w:r>
      <w:r w:rsidR="006075F4">
        <w:rPr>
          <w:rFonts w:eastAsia="Calibri"/>
        </w:rPr>
        <w:t>per</w:t>
      </w:r>
      <w:r w:rsidR="00DE581D" w:rsidRPr="009E06F2">
        <w:rPr>
          <w:rFonts w:eastAsia="Calibri"/>
        </w:rPr>
        <w:t xml:space="preserve"> 5 mL of DI </w:t>
      </w:r>
      <w:r>
        <w:rPr>
          <w:rFonts w:eastAsia="Calibri"/>
        </w:rPr>
        <w:t>water</w:t>
      </w:r>
      <w:r w:rsidR="00DE581D" w:rsidRPr="009E06F2">
        <w:rPr>
          <w:rFonts w:eastAsia="Calibri"/>
        </w:rPr>
        <w:t xml:space="preserve">. </w:t>
      </w:r>
      <w:r w:rsidR="006075F4">
        <w:rPr>
          <w:rFonts w:eastAsia="Calibri"/>
        </w:rPr>
        <w:t xml:space="preserve">Then using a pipette, </w:t>
      </w:r>
      <w:r w:rsidR="00DE581D" w:rsidRPr="009E06F2">
        <w:rPr>
          <w:rFonts w:eastAsia="Calibri"/>
        </w:rPr>
        <w:t xml:space="preserve">5mg of yeast was added onto </w:t>
      </w:r>
      <w:r>
        <w:rPr>
          <w:rFonts w:eastAsia="Calibri"/>
        </w:rPr>
        <w:t xml:space="preserve">the surface of the Cornmeal food in each vial, and </w:t>
      </w:r>
      <w:r w:rsidR="00DE581D" w:rsidRPr="009E06F2">
        <w:rPr>
          <w:rFonts w:eastAsia="Calibri"/>
        </w:rPr>
        <w:t xml:space="preserve">80mg of yeast </w:t>
      </w:r>
      <w:r>
        <w:rPr>
          <w:rFonts w:eastAsia="Calibri"/>
        </w:rPr>
        <w:t xml:space="preserve">was added onto the Cornmeal food in each Petri dish (which gives the same amount of yeast per surface area for vials and plates). </w:t>
      </w:r>
      <w:r w:rsidR="00DE581D" w:rsidRPr="009E06F2">
        <w:rPr>
          <w:rFonts w:eastAsia="Calibri"/>
        </w:rPr>
        <w:t xml:space="preserve"> </w:t>
      </w:r>
    </w:p>
    <w:p w14:paraId="74D5ED70" w14:textId="77777777" w:rsidR="006075F4" w:rsidRDefault="006075F4" w:rsidP="003C2728">
      <w:pPr>
        <w:spacing w:line="480" w:lineRule="auto"/>
        <w:rPr>
          <w:rFonts w:eastAsia="Calibri"/>
          <w:i/>
          <w:iCs/>
        </w:rPr>
      </w:pPr>
    </w:p>
    <w:p w14:paraId="5A53F3C8" w14:textId="756A2DB7" w:rsidR="003C2728" w:rsidRPr="00BB0819" w:rsidRDefault="00BB0819" w:rsidP="003C2728">
      <w:pPr>
        <w:spacing w:line="480" w:lineRule="auto"/>
        <w:rPr>
          <w:rFonts w:eastAsia="Calibri"/>
          <w:i/>
          <w:iCs/>
        </w:rPr>
      </w:pPr>
      <w:commentRangeStart w:id="18"/>
      <w:r w:rsidRPr="00BB0819">
        <w:rPr>
          <w:rFonts w:eastAsia="Calibri"/>
          <w:i/>
          <w:iCs/>
        </w:rPr>
        <w:t>Statistical Analysis</w:t>
      </w:r>
      <w:r w:rsidR="006075F4">
        <w:rPr>
          <w:rFonts w:eastAsia="Calibri"/>
          <w:i/>
          <w:iCs/>
        </w:rPr>
        <w:t xml:space="preserve"> of Experiment 4:</w:t>
      </w:r>
      <w:commentRangeEnd w:id="18"/>
      <w:r w:rsidR="006075F4">
        <w:rPr>
          <w:rStyle w:val="CommentReference"/>
        </w:rPr>
        <w:commentReference w:id="18"/>
      </w:r>
    </w:p>
    <w:p w14:paraId="447425F5" w14:textId="77777777" w:rsidR="0060753D" w:rsidRPr="009E06F2" w:rsidRDefault="0060753D" w:rsidP="0060753D">
      <w:pPr>
        <w:spacing w:line="480" w:lineRule="auto"/>
        <w:ind w:firstLine="720"/>
        <w:outlineLvl w:val="0"/>
        <w:rPr>
          <w:rFonts w:eastAsia="Calibri"/>
          <w:bCs/>
          <w:lang w:eastAsia="zh-CN"/>
        </w:rPr>
      </w:pPr>
      <w:r w:rsidRPr="009E06F2">
        <w:rPr>
          <w:rFonts w:eastAsia="Calibri"/>
          <w:bCs/>
        </w:rPr>
        <w:t xml:space="preserve">To investigate how the change of diets affects the survival of female and male </w:t>
      </w:r>
      <w:r w:rsidRPr="009E06F2">
        <w:rPr>
          <w:rFonts w:eastAsia="Calibri"/>
          <w:bCs/>
          <w:i/>
        </w:rPr>
        <w:t>D. melanogaster</w:t>
      </w:r>
      <w:r w:rsidRPr="009E06F2">
        <w:rPr>
          <w:rFonts w:eastAsia="Calibri"/>
          <w:bCs/>
        </w:rPr>
        <w:t xml:space="preserve"> when inoculated with the entomopathogenic fungus, </w:t>
      </w:r>
      <w:r w:rsidRPr="009E06F2">
        <w:rPr>
          <w:rFonts w:eastAsia="Calibri"/>
          <w:bCs/>
          <w:i/>
          <w:iCs/>
        </w:rPr>
        <w:t xml:space="preserve">B. </w:t>
      </w:r>
      <w:proofErr w:type="spellStart"/>
      <w:r w:rsidRPr="009E06F2">
        <w:rPr>
          <w:rFonts w:eastAsia="Calibri"/>
          <w:bCs/>
          <w:i/>
          <w:iCs/>
        </w:rPr>
        <w:t>bassiana</w:t>
      </w:r>
      <w:proofErr w:type="spellEnd"/>
      <w:r w:rsidRPr="009E06F2">
        <w:rPr>
          <w:rFonts w:eastAsia="Calibri"/>
          <w:bCs/>
        </w:rPr>
        <w:t xml:space="preserve"> GHA we utilized the Cox Proportional Hazard model (Cox, 1972</w:t>
      </w:r>
      <w:proofErr w:type="gramStart"/>
      <w:r w:rsidRPr="009E06F2">
        <w:rPr>
          <w:rFonts w:eastAsia="Calibri"/>
          <w:bCs/>
        </w:rPr>
        <w:t>)</w:t>
      </w:r>
      <w:r w:rsidRPr="009E06F2">
        <w:rPr>
          <w:rFonts w:eastAsia="Calibri"/>
          <w:bCs/>
          <w:vertAlign w:val="superscript"/>
        </w:rPr>
        <w:t xml:space="preserve"> </w:t>
      </w:r>
      <w:r w:rsidRPr="009E06F2">
        <w:rPr>
          <w:rFonts w:eastAsia="Calibri"/>
          <w:bCs/>
        </w:rPr>
        <w:t>.</w:t>
      </w:r>
      <w:proofErr w:type="gramEnd"/>
      <w:r w:rsidRPr="009E06F2">
        <w:rPr>
          <w:rFonts w:eastAsia="Calibri"/>
          <w:bCs/>
        </w:rPr>
        <w:t xml:space="preserve"> Kaplan-Meier survival function (Kaplan et al., 1958) as well as log-rank test (Mantel, 1966)</w:t>
      </w:r>
      <w:r w:rsidRPr="009E06F2">
        <w:rPr>
          <w:rFonts w:eastAsia="Calibri"/>
          <w:bCs/>
          <w:vertAlign w:val="superscript"/>
        </w:rPr>
        <w:t xml:space="preserve"> </w:t>
      </w:r>
      <w:r w:rsidRPr="009E06F2">
        <w:rPr>
          <w:rFonts w:eastAsia="Calibri"/>
          <w:bCs/>
        </w:rPr>
        <w:t xml:space="preserve">were applied to test the difference among four replicates. </w:t>
      </w:r>
      <w:r w:rsidRPr="009E06F2">
        <w:rPr>
          <w:color w:val="000000"/>
        </w:rPr>
        <w:t xml:space="preserve">A scaled Schoenfeld residual plot and a formal test on Schoenfeld residuals against the transformed time of each covariate were used to detect </w:t>
      </w:r>
      <w:r w:rsidRPr="009E06F2">
        <w:rPr>
          <w:color w:val="000000"/>
        </w:rPr>
        <w:lastRenderedPageBreak/>
        <w:t xml:space="preserve">any violation on the proportional </w:t>
      </w:r>
      <w:proofErr w:type="gramStart"/>
      <w:r w:rsidRPr="009E06F2">
        <w:rPr>
          <w:color w:val="000000"/>
        </w:rPr>
        <w:t>hazards</w:t>
      </w:r>
      <w:proofErr w:type="gramEnd"/>
      <w:r w:rsidRPr="009E06F2">
        <w:rPr>
          <w:color w:val="000000"/>
        </w:rPr>
        <w:t xml:space="preserve"> assumptions. If any covariate broke the assumption, the model was extended to a time-dependent Cox PH model, of which the time splitting points were chosen by a stratified model. With the consideration of potential interaction effects, the best time-dependent Cox PH model was selected by both likelihood test score and Akaike information criterion (Akaike, 1998). Then every observation was assessed by delta-beta score for each predictor of the best model to detect any influential outliers. </w:t>
      </w:r>
      <w:r w:rsidRPr="009E06F2">
        <w:rPr>
          <w:color w:val="000000"/>
          <w:lang w:eastAsia="zh-CN"/>
        </w:rPr>
        <w:t xml:space="preserve">Since there </w:t>
      </w:r>
      <w:proofErr w:type="gramStart"/>
      <w:r w:rsidRPr="009E06F2">
        <w:rPr>
          <w:color w:val="000000"/>
          <w:lang w:eastAsia="zh-CN"/>
        </w:rPr>
        <w:t>was</w:t>
      </w:r>
      <w:proofErr w:type="gramEnd"/>
      <w:r w:rsidRPr="009E06F2">
        <w:rPr>
          <w:color w:val="000000"/>
          <w:lang w:eastAsia="zh-CN"/>
        </w:rPr>
        <w:t xml:space="preserve"> no reasons to think such influential outliers resulted from data entry or other error, all observations were kept in the model.</w:t>
      </w:r>
    </w:p>
    <w:p w14:paraId="36E0F4E2" w14:textId="77777777" w:rsidR="0060753D" w:rsidRPr="009E06F2" w:rsidRDefault="0060753D" w:rsidP="0060753D">
      <w:pPr>
        <w:spacing w:line="480" w:lineRule="auto"/>
        <w:rPr>
          <w:color w:val="000000"/>
        </w:rPr>
      </w:pPr>
      <w:r w:rsidRPr="009E06F2">
        <w:rPr>
          <w:color w:val="000000"/>
        </w:rPr>
        <w:t>A time-dependent Cox Proportional Hazard model was proposed to quantify the effect of diet change in terms of survival of female and male D. melanogaster (see Equation 2.1).</w:t>
      </w:r>
    </w:p>
    <w:p w14:paraId="6F1F4383" w14:textId="77777777" w:rsidR="0060753D" w:rsidRPr="009E06F2" w:rsidRDefault="0060753D" w:rsidP="0060753D">
      <m:oMath>
        <m:r>
          <w:rPr>
            <w:rFonts w:ascii="Cambria Math" w:hAnsi="Cambria Math"/>
            <w:color w:val="000000" w:themeColor="text1"/>
            <w:kern w:val="24"/>
          </w:rPr>
          <m:t>coxph</m:t>
        </m:r>
        <m:d>
          <m:dPr>
            <m:ctrlPr>
              <w:rPr>
                <w:rFonts w:ascii="Cambria Math" w:eastAsiaTheme="minorEastAsia" w:hAnsi="Cambria Math"/>
                <w:i/>
                <w:iCs/>
                <w:color w:val="000000" w:themeColor="text1"/>
                <w:kern w:val="24"/>
              </w:rPr>
            </m:ctrlPr>
          </m:dPr>
          <m:e>
            <m:r>
              <w:rPr>
                <w:rFonts w:ascii="Cambria Math" w:hAnsi="Cambria Math"/>
                <w:color w:val="000000" w:themeColor="text1"/>
                <w:kern w:val="24"/>
              </w:rPr>
              <m:t>time, event</m:t>
            </m:r>
          </m:e>
        </m:d>
        <m:r>
          <w:rPr>
            <w:rFonts w:ascii="Cambria Math" w:hAnsi="Cambria Math"/>
            <w:color w:val="000000" w:themeColor="text1"/>
            <w:kern w:val="24"/>
          </w:rPr>
          <m:t> = Fungal+Male+Diet+</m:t>
        </m:r>
      </m:oMath>
      <w:r w:rsidRPr="009E06F2">
        <w:rPr>
          <w:rFonts w:eastAsiaTheme="minorEastAsia"/>
          <w:iCs/>
          <w:color w:val="000000" w:themeColor="text1"/>
          <w:kern w:val="24"/>
        </w:rPr>
        <w:t xml:space="preserve"> </w:t>
      </w:r>
      <m:oMath>
        <m:r>
          <w:rPr>
            <w:rFonts w:ascii="Cambria Math" w:hAnsi="Cambria Math"/>
            <w:color w:val="000000" w:themeColor="text1"/>
            <w:kern w:val="24"/>
          </w:rPr>
          <m:t>Fungal</m:t>
        </m:r>
        <m:r>
          <w:rPr>
            <w:rFonts w:ascii="Cambria Math" w:hAnsi="+mn-ea"/>
            <w:color w:val="000000" w:themeColor="text1"/>
            <w:kern w:val="24"/>
          </w:rPr>
          <m:t>×</m:t>
        </m:r>
        <m:r>
          <w:rPr>
            <w:rFonts w:ascii="Cambria Math" w:hAnsi="Cambria Math"/>
            <w:color w:val="000000" w:themeColor="text1"/>
            <w:kern w:val="24"/>
          </w:rPr>
          <m:t>Diet+Fungal</m:t>
        </m:r>
        <m:r>
          <w:rPr>
            <w:rFonts w:ascii="Cambria Math" w:hAnsi="+mn-ea"/>
            <w:color w:val="000000" w:themeColor="text1"/>
            <w:kern w:val="24"/>
          </w:rPr>
          <m:t>×</m:t>
        </m:r>
        <m:r>
          <w:rPr>
            <w:rFonts w:ascii="Cambria Math" w:hAnsi="Cambria Math"/>
            <w:color w:val="000000" w:themeColor="text1"/>
            <w:kern w:val="24"/>
          </w:rPr>
          <m:t>Male+ Male</m:t>
        </m:r>
        <m:r>
          <w:rPr>
            <w:rFonts w:ascii="Cambria Math" w:hAnsi="+mn-ea"/>
            <w:color w:val="000000" w:themeColor="text1"/>
            <w:kern w:val="24"/>
          </w:rPr>
          <m:t>×</m:t>
        </m:r>
        <m:r>
          <w:rPr>
            <w:rFonts w:ascii="Cambria Math" w:hAnsi="Cambria Math"/>
            <w:color w:val="000000" w:themeColor="text1"/>
            <w:kern w:val="24"/>
          </w:rPr>
          <m:t>Die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C+Y,C+Y</m:t>
            </m:r>
          </m:sub>
        </m:sSub>
        <m:r>
          <w:rPr>
            <w:rFonts w:ascii="Cambria Math" w:hAnsi="Cambria Math"/>
            <w:color w:val="000000" w:themeColor="text1"/>
            <w:kern w:val="24"/>
          </w:rPr>
          <m:t>+Fungal</m:t>
        </m:r>
        <m:r>
          <w:rPr>
            <w:rFonts w:ascii="Cambria Math" w:hAnsi="+mn-ea"/>
            <w:color w:val="000000" w:themeColor="text1"/>
            <w:kern w:val="24"/>
          </w:rPr>
          <m:t>×</m:t>
        </m:r>
        <m:r>
          <w:rPr>
            <w:rFonts w:ascii="Cambria Math" w:hAnsi="Cambria Math"/>
            <w:color w:val="000000" w:themeColor="text1"/>
            <w:kern w:val="24"/>
          </w:rPr>
          <m:t>Male</m:t>
        </m:r>
        <m:r>
          <w:rPr>
            <w:rFonts w:ascii="Cambria Math" w:hAnsi="+mn-ea"/>
            <w:color w:val="000000" w:themeColor="text1"/>
            <w:kern w:val="24"/>
          </w:rPr>
          <m:t>×</m:t>
        </m:r>
        <m:r>
          <w:rPr>
            <w:rFonts w:ascii="Cambria Math" w:hAnsi="Cambria Math"/>
            <w:color w:val="000000" w:themeColor="text1"/>
            <w:kern w:val="24"/>
          </w:rPr>
          <m:t>Die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C+Y,C+Y</m:t>
            </m:r>
          </m:sub>
        </m:sSub>
        <m:r>
          <w:rPr>
            <w:rFonts w:ascii="Cambria Math" w:hAnsi="Cambria Math"/>
            <w:color w:val="000000" w:themeColor="text1"/>
            <w:kern w:val="24"/>
          </w:rPr>
          <m:t>+Fungal</m:t>
        </m:r>
        <m:r>
          <w:rPr>
            <w:rFonts w:ascii="Cambria Math" w:hAnsi="+mn-ea"/>
            <w:color w:val="000000" w:themeColor="text1"/>
            <w:kern w:val="24"/>
          </w:rPr>
          <m:t>×</m:t>
        </m:r>
        <m:r>
          <w:rPr>
            <w:rFonts w:ascii="Cambria Math" w:hAnsi="Cambria Math"/>
            <w:color w:val="000000" w:themeColor="text1"/>
            <w:kern w:val="24"/>
          </w:rPr>
          <m:t>Male</m:t>
        </m:r>
        <m:r>
          <w:rPr>
            <w:rFonts w:ascii="Cambria Math" w:hAnsi="+mn-ea"/>
            <w:color w:val="000000" w:themeColor="text1"/>
            <w:kern w:val="24"/>
          </w:rPr>
          <m:t>×</m:t>
        </m:r>
        <m:r>
          <w:rPr>
            <w:rFonts w:ascii="Cambria Math" w:hAnsi="Cambria Math"/>
            <w:color w:val="000000" w:themeColor="text1"/>
            <w:kern w:val="24"/>
          </w:rPr>
          <m:t>Die</m:t>
        </m:r>
        <m:sSub>
          <m:sSubPr>
            <m:ctrlPr>
              <w:rPr>
                <w:rFonts w:ascii="Cambria Math" w:eastAsiaTheme="minorEastAsia" w:hAnsi="Cambria Math"/>
                <w:i/>
                <w:iCs/>
                <w:color w:val="000000" w:themeColor="text1"/>
                <w:kern w:val="24"/>
              </w:rPr>
            </m:ctrlPr>
          </m:sSubPr>
          <m:e>
            <m:r>
              <w:rPr>
                <w:rFonts w:ascii="Cambria Math" w:hAnsi="Cambria Math"/>
                <w:color w:val="000000" w:themeColor="text1"/>
                <w:kern w:val="24"/>
              </w:rPr>
              <m:t>t</m:t>
            </m:r>
          </m:e>
          <m:sub>
            <m:r>
              <w:rPr>
                <w:rFonts w:ascii="Cambria Math" w:hAnsi="Cambria Math"/>
                <w:color w:val="000000" w:themeColor="text1"/>
                <w:kern w:val="24"/>
              </w:rPr>
              <m:t>G,G</m:t>
            </m:r>
          </m:sub>
        </m:sSub>
      </m:oMath>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rPr>
          <w:rFonts w:eastAsiaTheme="minorEastAsia"/>
          <w:iCs/>
          <w:color w:val="000000" w:themeColor="text1"/>
          <w:kern w:val="24"/>
        </w:rPr>
        <w:tab/>
      </w:r>
      <w:r w:rsidRPr="009E06F2">
        <w:t>Equation 2.1</w:t>
      </w:r>
    </w:p>
    <w:p w14:paraId="1D6DE863" w14:textId="77777777" w:rsidR="0060753D" w:rsidRPr="009E06F2" w:rsidRDefault="0060753D" w:rsidP="0060753D">
      <w:pPr>
        <w:spacing w:line="480" w:lineRule="auto"/>
        <w:rPr>
          <w:rFonts w:eastAsia="Calibri"/>
        </w:rPr>
      </w:pPr>
    </w:p>
    <w:p w14:paraId="1C78D1BE" w14:textId="77777777" w:rsidR="0060753D" w:rsidRPr="009E06F2" w:rsidRDefault="0060753D" w:rsidP="0060753D">
      <w:pPr>
        <w:spacing w:line="480" w:lineRule="auto"/>
        <w:rPr>
          <w:color w:val="000000"/>
        </w:rPr>
      </w:pPr>
      <w:r w:rsidRPr="009E06F2">
        <w:rPr>
          <w:color w:val="000000"/>
        </w:rPr>
        <w:t xml:space="preserve">In this Cox PH model, a </w:t>
      </w:r>
      <w:commentRangeStart w:id="19"/>
      <w:r w:rsidRPr="009E06F2">
        <w:rPr>
          <w:color w:val="000000"/>
        </w:rPr>
        <w:t xml:space="preserve">14-day </w:t>
      </w:r>
      <w:commentRangeEnd w:id="19"/>
      <w:r w:rsidR="00887652">
        <w:rPr>
          <w:rStyle w:val="CommentReference"/>
        </w:rPr>
        <w:commentReference w:id="19"/>
      </w:r>
      <w:r w:rsidRPr="009E06F2">
        <w:rPr>
          <w:color w:val="000000"/>
        </w:rPr>
        <w:t xml:space="preserve">experiment time intervals </w:t>
      </w:r>
      <w:proofErr w:type="gramStart"/>
      <w:r w:rsidRPr="009E06F2">
        <w:rPr>
          <w:color w:val="000000"/>
        </w:rPr>
        <w:t>was</w:t>
      </w:r>
      <w:proofErr w:type="gramEnd"/>
      <w:r w:rsidRPr="009E06F2">
        <w:rPr>
          <w:color w:val="000000"/>
        </w:rPr>
        <w:t xml:space="preserve"> split into 3: 0-4, 4-9, and 9-14. This transformed covariates to time-dependent ones, including Fungal, Diet, interaction between Male and Diet C+Y, C+Y, and interaction between Fungal, Male and Diet C+Y, C+Y. Each time-dependent covariate has different coefficient estimates over time intervals (see Table 2.2).</w:t>
      </w:r>
    </w:p>
    <w:p w14:paraId="62132D34" w14:textId="77777777" w:rsidR="0060753D" w:rsidRPr="009E06F2" w:rsidRDefault="0060753D" w:rsidP="0060753D">
      <w:pPr>
        <w:rPr>
          <w:color w:val="000000"/>
        </w:rPr>
      </w:pPr>
    </w:p>
    <w:p w14:paraId="14BA1329" w14:textId="77777777" w:rsidR="0060753D" w:rsidRPr="009E06F2" w:rsidRDefault="0060753D" w:rsidP="0060753D">
      <w:pPr>
        <w:widowControl w:val="0"/>
        <w:rPr>
          <w:rFonts w:eastAsia="Calibri"/>
        </w:rPr>
      </w:pPr>
      <w:r w:rsidRPr="009E06F2">
        <w:rPr>
          <w:rFonts w:eastAsia="Calibri"/>
        </w:rPr>
        <w:t>Table 4. Coefficient Estimates for Cox Proportional Hazard Model for Males and Females of the Control and Fungal Infected Groups for Experiment 1.</w:t>
      </w:r>
    </w:p>
    <w:p w14:paraId="417DDB9E" w14:textId="77777777" w:rsidR="0060753D" w:rsidRPr="009E06F2" w:rsidRDefault="0060753D" w:rsidP="0060753D">
      <w:pPr>
        <w:rPr>
          <w:color w:val="000000"/>
        </w:rPr>
      </w:pPr>
    </w:p>
    <w:tbl>
      <w:tblPr>
        <w:tblStyle w:val="TableGrid2"/>
        <w:tblW w:w="5000" w:type="pct"/>
        <w:tblBorders>
          <w:left w:val="none" w:sz="0" w:space="0" w:color="auto"/>
          <w:right w:val="none" w:sz="0" w:space="0" w:color="auto"/>
        </w:tblBorders>
        <w:tblCellMar>
          <w:top w:w="58" w:type="dxa"/>
          <w:left w:w="115" w:type="dxa"/>
          <w:bottom w:w="58" w:type="dxa"/>
          <w:right w:w="115" w:type="dxa"/>
        </w:tblCellMar>
        <w:tblLook w:val="04A0" w:firstRow="1" w:lastRow="0" w:firstColumn="1" w:lastColumn="0" w:noHBand="0" w:noVBand="1"/>
      </w:tblPr>
      <w:tblGrid>
        <w:gridCol w:w="8640"/>
      </w:tblGrid>
      <w:tr w:rsidR="0060753D" w:rsidRPr="009E06F2" w14:paraId="206BE23F" w14:textId="77777777" w:rsidTr="002E14FF">
        <w:tc>
          <w:tcPr>
            <w:tcW w:w="5000" w:type="pct"/>
          </w:tcPr>
          <w:p w14:paraId="145F206E" w14:textId="77777777" w:rsidR="0060753D" w:rsidRPr="009E06F2" w:rsidRDefault="0060753D" w:rsidP="002E14FF">
            <w:pPr>
              <w:outlineLvl w:val="0"/>
              <w:rPr>
                <w:bCs/>
                <w:iCs/>
                <w:sz w:val="22"/>
                <w:szCs w:val="22"/>
              </w:rPr>
            </w:pPr>
            <m:oMathPara>
              <m:oMath>
                <m:sSub>
                  <m:sSubPr>
                    <m:ctrlPr>
                      <w:rPr>
                        <w:rFonts w:ascii="Cambria Math" w:hAnsi="Cambria Math"/>
                        <w:bCs/>
                        <w:i/>
                        <w:iCs/>
                        <w:sz w:val="22"/>
                        <w:szCs w:val="22"/>
                      </w:rPr>
                    </m:ctrlPr>
                  </m:sSubPr>
                  <m:e>
                    <m:r>
                      <w:rPr>
                        <w:rFonts w:ascii="Cambria Math" w:hAnsi="Cambria Math"/>
                        <w:sz w:val="22"/>
                        <w:szCs w:val="22"/>
                      </w:rPr>
                      <m:t>h</m:t>
                    </m:r>
                  </m:e>
                  <m:sub>
                    <m:r>
                      <w:rPr>
                        <w:rFonts w:ascii="Cambria Math" w:hAnsi="Cambria Math"/>
                        <w:sz w:val="22"/>
                        <w:szCs w:val="22"/>
                      </w:rPr>
                      <m:t>0-4</m:t>
                    </m:r>
                  </m:sub>
                </m:sSub>
                <m:r>
                  <w:rPr>
                    <w:rFonts w:ascii="Cambria Math" w:hAnsi="Cambria Math"/>
                    <w:sz w:val="22"/>
                    <w:szCs w:val="22"/>
                  </w:rPr>
                  <m:t>(x) = </m:t>
                </m:r>
                <m:sSub>
                  <m:sSubPr>
                    <m:ctrlPr>
                      <w:rPr>
                        <w:rFonts w:ascii="Cambria Math" w:hAnsi="Cambria Math"/>
                        <w:bCs/>
                        <w:i/>
                        <w:iCs/>
                        <w:sz w:val="22"/>
                        <w:szCs w:val="22"/>
                      </w:rPr>
                    </m:ctrlPr>
                  </m:sSubPr>
                  <m:e>
                    <m:r>
                      <w:rPr>
                        <w:rFonts w:ascii="Cambria Math" w:hAnsi="Cambria Math"/>
                        <w:sz w:val="22"/>
                        <w:szCs w:val="22"/>
                      </w:rPr>
                      <m:t>h</m:t>
                    </m:r>
                  </m:e>
                  <m:sub>
                    <m:r>
                      <w:rPr>
                        <w:rFonts w:ascii="Cambria Math" w:hAnsi="Cambria Math"/>
                        <w:sz w:val="22"/>
                        <w:szCs w:val="22"/>
                      </w:rPr>
                      <m:t>o</m:t>
                    </m:r>
                  </m:sub>
                </m:sSub>
                <m:r>
                  <m:rPr>
                    <m:sty m:val="p"/>
                  </m:rPr>
                  <w:rPr>
                    <w:rFonts w:ascii="Cambria Math" w:hAnsi="Cambria Math"/>
                    <w:sz w:val="22"/>
                    <w:szCs w:val="22"/>
                  </w:rPr>
                  <m:t>exp</m:t>
                </m:r>
                <m:r>
                  <w:rPr>
                    <w:rFonts w:ascii="Cambria Math" w:hAnsi="Cambria Math"/>
                    <w:sz w:val="22"/>
                    <w:szCs w:val="22"/>
                  </w:rPr>
                  <m:t>⁡[0.35</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Fungal</m:t>
                    </m:r>
                  </m:sub>
                </m:sSub>
                <m:r>
                  <w:rPr>
                    <w:rFonts w:ascii="Cambria Math" w:hAnsi="Cambria Math"/>
                    <w:sz w:val="22"/>
                    <w:szCs w:val="22"/>
                  </w:rPr>
                  <m:t>+0.03</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Male</m:t>
                    </m:r>
                  </m:sub>
                </m:sSub>
                <m:r>
                  <w:rPr>
                    <w:rFonts w:ascii="Cambria Math" w:hAnsi="Cambria Math"/>
                    <w:sz w:val="22"/>
                    <w:szCs w:val="22"/>
                  </w:rPr>
                  <m:t>-0.45</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C,C</m:t>
                    </m:r>
                  </m:sub>
                </m:sSub>
                <m:r>
                  <w:rPr>
                    <w:rFonts w:ascii="Cambria Math" w:hAnsi="Cambria Math"/>
                    <w:sz w:val="22"/>
                    <w:szCs w:val="22"/>
                  </w:rPr>
                  <m:t>+0.31</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C+Y,C</m:t>
                    </m:r>
                  </m:sub>
                </m:sSub>
                <m:r>
                  <w:rPr>
                    <w:rFonts w:ascii="Cambria Math" w:hAnsi="Cambria Math"/>
                    <w:sz w:val="22"/>
                    <w:szCs w:val="22"/>
                  </w:rPr>
                  <m:t>-0.11</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C+Y,C+Y</m:t>
                    </m:r>
                  </m:sub>
                </m:sSub>
                <m:r>
                  <w:rPr>
                    <w:rFonts w:ascii="Cambria Math" w:hAnsi="Cambria Math"/>
                    <w:sz w:val="22"/>
                    <w:szCs w:val="22"/>
                  </w:rPr>
                  <m:t>+0.41</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G,G</m:t>
                    </m:r>
                  </m:sub>
                </m:sSub>
                <m:r>
                  <w:rPr>
                    <w:rFonts w:ascii="Cambria Math" w:hAnsi="Cambria Math"/>
                    <w:sz w:val="22"/>
                    <w:szCs w:val="22"/>
                  </w:rPr>
                  <m:t>+ 3.02</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C,C</m:t>
                    </m:r>
                  </m:sub>
                </m:sSub>
                <m:r>
                  <w:rPr>
                    <w:rFonts w:ascii="Cambria Math" w:hAnsi="Cambria Math"/>
                    <w:sz w:val="22"/>
                    <w:szCs w:val="22"/>
                  </w:rPr>
                  <m:t>+0.89</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C+Y,C</m:t>
                    </m:r>
                  </m:sub>
                </m:sSub>
                <m:r>
                  <w:rPr>
                    <w:rFonts w:ascii="Cambria Math" w:hAnsi="Cambria Math"/>
                    <w:sz w:val="22"/>
                    <w:szCs w:val="22"/>
                  </w:rPr>
                  <m:t>+0.40</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C+Y,C+Y</m:t>
                    </m:r>
                  </m:sub>
                </m:sSub>
                <m:r>
                  <w:rPr>
                    <w:rFonts w:ascii="Cambria Math" w:hAnsi="Cambria Math"/>
                    <w:sz w:val="22"/>
                    <w:szCs w:val="22"/>
                  </w:rPr>
                  <m:t>+1.15</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G,G</m:t>
                    </m:r>
                  </m:sub>
                </m:sSub>
                <m:r>
                  <w:rPr>
                    <w:rFonts w:ascii="Cambria Math" w:hAnsi="Cambria Math"/>
                    <w:sz w:val="22"/>
                    <w:szCs w:val="22"/>
                  </w:rPr>
                  <m:t>+ 0.81</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Male</m:t>
                    </m:r>
                  </m:sub>
                </m:sSub>
                <m:r>
                  <w:rPr>
                    <w:rFonts w:ascii="Cambria Math" w:hAnsi="Cambria Math"/>
                    <w:sz w:val="22"/>
                    <w:szCs w:val="22"/>
                  </w:rPr>
                  <m:t>+3.03</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Male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C+Y,C+Y</m:t>
                    </m:r>
                  </m:sub>
                </m:sSub>
                <m:r>
                  <w:rPr>
                    <w:rFonts w:ascii="Cambria Math" w:hAnsi="Cambria Math"/>
                    <w:sz w:val="22"/>
                    <w:szCs w:val="22"/>
                  </w:rPr>
                  <m:t> +</m:t>
                </m:r>
                <m:sSub>
                  <m:sSubPr>
                    <m:ctrlPr>
                      <w:rPr>
                        <w:rFonts w:ascii="Cambria Math" w:hAnsi="Cambria Math"/>
                        <w:bCs/>
                        <w:i/>
                        <w:iCs/>
                        <w:sz w:val="22"/>
                        <w:szCs w:val="22"/>
                      </w:rPr>
                    </m:ctrlPr>
                  </m:sSubPr>
                  <m:e>
                    <m:r>
                      <w:rPr>
                        <w:rFonts w:ascii="Cambria Math" w:hAnsi="Cambria Math"/>
                        <w:sz w:val="22"/>
                        <w:szCs w:val="22"/>
                      </w:rPr>
                      <m:t> 1.02I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Male</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C+Y,C+Y</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0.24I</m:t>
                    </m:r>
                  </m:e>
                  <m:sub>
                    <m:r>
                      <w:rPr>
                        <w:rFonts w:ascii="Cambria Math" w:hAnsi="Cambria Math"/>
                        <w:sz w:val="22"/>
                        <w:szCs w:val="22"/>
                      </w:rPr>
                      <m:t>Fungal </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Male</m:t>
                    </m:r>
                  </m:sub>
                </m:sSub>
                <m:r>
                  <w:rPr>
                    <w:rFonts w:ascii="Cambria Math" w:hAnsi="Cambria Math"/>
                    <w:sz w:val="22"/>
                    <w:szCs w:val="22"/>
                  </w:rPr>
                  <m:t>×</m:t>
                </m:r>
                <m:sSub>
                  <m:sSubPr>
                    <m:ctrlPr>
                      <w:rPr>
                        <w:rFonts w:ascii="Cambria Math" w:hAnsi="Cambria Math"/>
                        <w:bCs/>
                        <w:i/>
                        <w:iCs/>
                        <w:sz w:val="22"/>
                        <w:szCs w:val="22"/>
                      </w:rPr>
                    </m:ctrlPr>
                  </m:sSubPr>
                  <m:e>
                    <m:r>
                      <w:rPr>
                        <w:rFonts w:ascii="Cambria Math" w:hAnsi="Cambria Math"/>
                        <w:sz w:val="22"/>
                        <w:szCs w:val="22"/>
                      </w:rPr>
                      <m:t>I</m:t>
                    </m:r>
                  </m:e>
                  <m:sub>
                    <m:r>
                      <w:rPr>
                        <w:rFonts w:ascii="Cambria Math" w:hAnsi="Cambria Math"/>
                        <w:sz w:val="22"/>
                        <w:szCs w:val="22"/>
                      </w:rPr>
                      <m:t>G,G</m:t>
                    </m:r>
                  </m:sub>
                </m:sSub>
                <m:r>
                  <w:rPr>
                    <w:rFonts w:ascii="Cambria Math" w:hAnsi="Cambria Math"/>
                    <w:sz w:val="22"/>
                    <w:szCs w:val="22"/>
                  </w:rPr>
                  <m:t>]</m:t>
                </m:r>
              </m:oMath>
            </m:oMathPara>
          </w:p>
        </w:tc>
      </w:tr>
      <w:tr w:rsidR="0060753D" w:rsidRPr="009E06F2" w14:paraId="7639EE5D" w14:textId="77777777" w:rsidTr="002E14FF">
        <w:tc>
          <w:tcPr>
            <w:tcW w:w="5000" w:type="pct"/>
          </w:tcPr>
          <w:p w14:paraId="65D34CE6" w14:textId="77777777" w:rsidR="0060753D" w:rsidRPr="009E06F2" w:rsidRDefault="0060753D" w:rsidP="002E14FF">
            <w:pPr>
              <w:outlineLvl w:val="0"/>
              <w:rPr>
                <w:bCs/>
                <w:sz w:val="22"/>
                <w:szCs w:val="22"/>
              </w:rPr>
            </w:pPr>
            <m:oMathPara>
              <m:oMath>
                <m:sSub>
                  <m:sSubPr>
                    <m:ctrlPr>
                      <w:rPr>
                        <w:rFonts w:ascii="Cambria Math" w:hAnsi="Cambria Math"/>
                        <w:bCs/>
                        <w:i/>
                        <w:iCs/>
                        <w:sz w:val="22"/>
                        <w:szCs w:val="22"/>
                      </w:rPr>
                    </m:ctrlPr>
                  </m:sSubPr>
                  <m:e>
                    <m:r>
                      <w:rPr>
                        <w:rFonts w:ascii="Cambria Math" w:eastAsia="Calibri" w:hAnsi="Cambria Math"/>
                        <w:sz w:val="22"/>
                        <w:szCs w:val="22"/>
                      </w:rPr>
                      <m:t>h</m:t>
                    </m:r>
                  </m:e>
                  <m:sub>
                    <m:r>
                      <w:rPr>
                        <w:rFonts w:ascii="Cambria Math" w:eastAsia="Calibri" w:hAnsi="Cambria Math"/>
                        <w:sz w:val="22"/>
                        <w:szCs w:val="22"/>
                      </w:rPr>
                      <m:t>4-9</m:t>
                    </m:r>
                  </m:sub>
                </m:sSub>
                <m:d>
                  <m:dPr>
                    <m:ctrlPr>
                      <w:rPr>
                        <w:rFonts w:ascii="Cambria Math" w:hAnsi="Cambria Math"/>
                        <w:bCs/>
                        <w:i/>
                        <w:iCs/>
                        <w:sz w:val="22"/>
                        <w:szCs w:val="22"/>
                      </w:rPr>
                    </m:ctrlPr>
                  </m:dPr>
                  <m:e>
                    <m:r>
                      <w:rPr>
                        <w:rFonts w:ascii="Cambria Math" w:eastAsia="Calibri" w:hAnsi="Cambria Math"/>
                        <w:sz w:val="22"/>
                        <w:szCs w:val="22"/>
                      </w:rPr>
                      <m:t>x</m:t>
                    </m:r>
                  </m:e>
                </m:d>
                <m:r>
                  <w:rPr>
                    <w:rFonts w:ascii="Cambria Math" w:eastAsia="Calibri" w:hAnsi="Cambria Math"/>
                    <w:sz w:val="22"/>
                    <w:szCs w:val="22"/>
                  </w:rPr>
                  <m:t> = </m:t>
                </m:r>
                <m:sSub>
                  <m:sSubPr>
                    <m:ctrlPr>
                      <w:rPr>
                        <w:rFonts w:ascii="Cambria Math" w:hAnsi="Cambria Math"/>
                        <w:bCs/>
                        <w:i/>
                        <w:iCs/>
                        <w:sz w:val="22"/>
                        <w:szCs w:val="22"/>
                      </w:rPr>
                    </m:ctrlPr>
                  </m:sSubPr>
                  <m:e>
                    <m:r>
                      <w:rPr>
                        <w:rFonts w:ascii="Cambria Math" w:eastAsia="Calibri" w:hAnsi="Cambria Math"/>
                        <w:sz w:val="22"/>
                        <w:szCs w:val="22"/>
                      </w:rPr>
                      <m:t>h</m:t>
                    </m:r>
                  </m:e>
                  <m:sub>
                    <m:r>
                      <w:rPr>
                        <w:rFonts w:ascii="Cambria Math" w:eastAsia="Calibri" w:hAnsi="Cambria Math"/>
                        <w:sz w:val="22"/>
                        <w:szCs w:val="22"/>
                      </w:rPr>
                      <m:t>o</m:t>
                    </m:r>
                  </m:sub>
                </m:sSub>
                <m:r>
                  <m:rPr>
                    <m:sty m:val="p"/>
                  </m:rPr>
                  <w:rPr>
                    <w:rFonts w:ascii="Cambria Math" w:eastAsia="Calibri" w:hAnsi="Cambria Math"/>
                    <w:sz w:val="22"/>
                    <w:szCs w:val="22"/>
                  </w:rPr>
                  <m:t>exp</m:t>
                </m:r>
                <m:r>
                  <w:rPr>
                    <w:rFonts w:ascii="Cambria Math" w:eastAsia="Calibri" w:hAnsi="Cambria Math"/>
                    <w:sz w:val="22"/>
                    <w:szCs w:val="22"/>
                  </w:rPr>
                  <m:t>⁡[2.96</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m:t>
                    </m:r>
                  </m:sub>
                </m:sSub>
                <m:r>
                  <w:rPr>
                    <w:rFonts w:ascii="Cambria Math" w:eastAsia="Calibri" w:hAnsi="Cambria Math"/>
                    <w:sz w:val="22"/>
                    <w:szCs w:val="22"/>
                  </w:rPr>
                  <m:t>-0.36</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+0.23</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C,C</m:t>
                    </m:r>
                  </m:sub>
                </m:sSub>
                <m:r>
                  <w:rPr>
                    <w:rFonts w:ascii="Cambria Math" w:eastAsia="Calibri" w:hAnsi="Cambria Math"/>
                    <w:sz w:val="22"/>
                    <w:szCs w:val="22"/>
                  </w:rPr>
                  <m:t>+0.73</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m:t>
                    </m:r>
                  </m:sub>
                </m:sSub>
                <m:r>
                  <w:rPr>
                    <w:rFonts w:ascii="Cambria Math" w:eastAsia="Calibri" w:hAnsi="Cambria Math"/>
                    <w:sz w:val="22"/>
                    <w:szCs w:val="22"/>
                  </w:rPr>
                  <m:t>+0.38</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+0.14</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G,G</m:t>
                    </m:r>
                  </m:sub>
                </m:sSub>
                <m:r>
                  <w:rPr>
                    <w:rFonts w:ascii="Cambria Math" w:eastAsia="Calibri" w:hAnsi="Cambria Math"/>
                    <w:sz w:val="22"/>
                    <w:szCs w:val="22"/>
                  </w:rPr>
                  <m:t>+ 3.02</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C,C</m:t>
                    </m:r>
                  </m:sub>
                </m:sSub>
                <m:r>
                  <w:rPr>
                    <w:rFonts w:ascii="Cambria Math" w:eastAsia="Calibri" w:hAnsi="Cambria Math"/>
                    <w:sz w:val="22"/>
                    <w:szCs w:val="22"/>
                  </w:rPr>
                  <m:t>+0.89</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m:t>
                    </m:r>
                  </m:sub>
                </m:sSub>
                <m:r>
                  <w:rPr>
                    <w:rFonts w:ascii="Cambria Math" w:eastAsia="Calibri" w:hAnsi="Cambria Math"/>
                    <w:sz w:val="22"/>
                    <w:szCs w:val="22"/>
                  </w:rPr>
                  <m:t>+0.40</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+1.15</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G,G</m:t>
                    </m:r>
                  </m:sub>
                </m:sSub>
                <m:r>
                  <w:rPr>
                    <w:rFonts w:ascii="Cambria Math" w:eastAsia="Calibri" w:hAnsi="Cambria Math"/>
                    <w:sz w:val="22"/>
                    <w:szCs w:val="22"/>
                  </w:rPr>
                  <m:t>+ 0.81</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+2.84</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 0.48I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+0.24</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G,G</m:t>
                    </m:r>
                  </m:sub>
                </m:sSub>
                <m:r>
                  <w:rPr>
                    <w:rFonts w:ascii="Cambria Math" w:eastAsia="Calibri" w:hAnsi="Cambria Math"/>
                    <w:sz w:val="22"/>
                    <w:szCs w:val="22"/>
                  </w:rPr>
                  <m:t>]</m:t>
                </m:r>
              </m:oMath>
            </m:oMathPara>
          </w:p>
        </w:tc>
      </w:tr>
      <w:tr w:rsidR="0060753D" w:rsidRPr="009E06F2" w14:paraId="1E81E2D5" w14:textId="77777777" w:rsidTr="002E14FF">
        <w:tc>
          <w:tcPr>
            <w:tcW w:w="5000" w:type="pct"/>
          </w:tcPr>
          <w:p w14:paraId="277A6BAF" w14:textId="77777777" w:rsidR="0060753D" w:rsidRPr="009E06F2" w:rsidRDefault="0060753D" w:rsidP="002E14FF">
            <w:pPr>
              <w:outlineLvl w:val="0"/>
              <w:rPr>
                <w:rFonts w:eastAsia="Calibri"/>
                <w:b/>
              </w:rPr>
            </w:pPr>
            <m:oMathPara>
              <m:oMath>
                <m:sSub>
                  <m:sSubPr>
                    <m:ctrlPr>
                      <w:rPr>
                        <w:rFonts w:ascii="Cambria Math" w:hAnsi="Cambria Math"/>
                        <w:bCs/>
                        <w:i/>
                        <w:iCs/>
                        <w:sz w:val="22"/>
                        <w:szCs w:val="22"/>
                      </w:rPr>
                    </m:ctrlPr>
                  </m:sSubPr>
                  <m:e>
                    <m:r>
                      <w:rPr>
                        <w:rFonts w:ascii="Cambria Math" w:eastAsia="Calibri" w:hAnsi="Cambria Math"/>
                        <w:sz w:val="22"/>
                        <w:szCs w:val="22"/>
                      </w:rPr>
                      <m:t>h</m:t>
                    </m:r>
                  </m:e>
                  <m:sub>
                    <m:r>
                      <w:rPr>
                        <w:rFonts w:ascii="Cambria Math" w:eastAsia="Calibri" w:hAnsi="Cambria Math"/>
                        <w:sz w:val="22"/>
                        <w:szCs w:val="22"/>
                      </w:rPr>
                      <m:t>9-14</m:t>
                    </m:r>
                  </m:sub>
                </m:sSub>
                <m:d>
                  <m:dPr>
                    <m:ctrlPr>
                      <w:rPr>
                        <w:rFonts w:ascii="Cambria Math" w:hAnsi="Cambria Math"/>
                        <w:bCs/>
                        <w:i/>
                        <w:iCs/>
                        <w:sz w:val="22"/>
                        <w:szCs w:val="22"/>
                      </w:rPr>
                    </m:ctrlPr>
                  </m:dPr>
                  <m:e>
                    <m:r>
                      <w:rPr>
                        <w:rFonts w:ascii="Cambria Math" w:eastAsia="Calibri" w:hAnsi="Cambria Math"/>
                        <w:sz w:val="22"/>
                        <w:szCs w:val="22"/>
                      </w:rPr>
                      <m:t>x</m:t>
                    </m:r>
                  </m:e>
                </m:d>
                <m:r>
                  <w:rPr>
                    <w:rFonts w:ascii="Cambria Math" w:eastAsia="Calibri" w:hAnsi="Cambria Math"/>
                    <w:sz w:val="22"/>
                    <w:szCs w:val="22"/>
                  </w:rPr>
                  <m:t> = </m:t>
                </m:r>
                <m:sSub>
                  <m:sSubPr>
                    <m:ctrlPr>
                      <w:rPr>
                        <w:rFonts w:ascii="Cambria Math" w:hAnsi="Cambria Math"/>
                        <w:bCs/>
                        <w:i/>
                        <w:iCs/>
                        <w:sz w:val="22"/>
                        <w:szCs w:val="22"/>
                      </w:rPr>
                    </m:ctrlPr>
                  </m:sSubPr>
                  <m:e>
                    <m:r>
                      <w:rPr>
                        <w:rFonts w:ascii="Cambria Math" w:eastAsia="Calibri" w:hAnsi="Cambria Math"/>
                        <w:sz w:val="22"/>
                        <w:szCs w:val="22"/>
                      </w:rPr>
                      <m:t>h</m:t>
                    </m:r>
                  </m:e>
                  <m:sub>
                    <m:r>
                      <w:rPr>
                        <w:rFonts w:ascii="Cambria Math" w:eastAsia="Calibri" w:hAnsi="Cambria Math"/>
                        <w:sz w:val="22"/>
                        <w:szCs w:val="22"/>
                      </w:rPr>
                      <m:t>o</m:t>
                    </m:r>
                  </m:sub>
                </m:sSub>
                <m:r>
                  <m:rPr>
                    <m:sty m:val="p"/>
                  </m:rPr>
                  <w:rPr>
                    <w:rFonts w:ascii="Cambria Math" w:eastAsia="Calibri" w:hAnsi="Cambria Math"/>
                    <w:sz w:val="22"/>
                    <w:szCs w:val="22"/>
                  </w:rPr>
                  <m:t>exp</m:t>
                </m:r>
                <m:r>
                  <w:rPr>
                    <w:rFonts w:ascii="Cambria Math" w:eastAsia="Calibri" w:hAnsi="Cambria Math"/>
                    <w:sz w:val="22"/>
                    <w:szCs w:val="22"/>
                  </w:rPr>
                  <m:t>⁡[3.76</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m:t>
                    </m:r>
                  </m:sub>
                </m:sSub>
                <m:r>
                  <w:rPr>
                    <w:rFonts w:ascii="Cambria Math" w:eastAsia="Calibri" w:hAnsi="Cambria Math"/>
                    <w:sz w:val="22"/>
                    <w:szCs w:val="22"/>
                  </w:rPr>
                  <m:t>+0.32</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-0.04</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C,C</m:t>
                    </m:r>
                  </m:sub>
                </m:sSub>
                <m:r>
                  <w:rPr>
                    <w:rFonts w:ascii="Cambria Math" w:eastAsia="Calibri" w:hAnsi="Cambria Math"/>
                    <w:sz w:val="22"/>
                    <w:szCs w:val="22"/>
                  </w:rPr>
                  <m:t>+0.63</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m:t>
                    </m:r>
                  </m:sub>
                </m:sSub>
                <m:r>
                  <w:rPr>
                    <w:rFonts w:ascii="Cambria Math" w:eastAsia="Calibri" w:hAnsi="Cambria Math"/>
                    <w:sz w:val="22"/>
                    <w:szCs w:val="22"/>
                  </w:rPr>
                  <m:t>+0.66</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-0.80</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G,G</m:t>
                    </m:r>
                  </m:sub>
                </m:sSub>
                <m:r>
                  <w:rPr>
                    <w:rFonts w:ascii="Cambria Math" w:eastAsia="Calibri" w:hAnsi="Cambria Math"/>
                    <w:sz w:val="22"/>
                    <w:szCs w:val="22"/>
                  </w:rPr>
                  <m:t>+ 3.02</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C,C</m:t>
                    </m:r>
                  </m:sub>
                </m:sSub>
                <m:r>
                  <w:rPr>
                    <w:rFonts w:ascii="Cambria Math" w:eastAsia="Calibri" w:hAnsi="Cambria Math"/>
                    <w:sz w:val="22"/>
                    <w:szCs w:val="22"/>
                  </w:rPr>
                  <m:t>+0.89</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m:t>
                    </m:r>
                  </m:sub>
                </m:sSub>
                <m:r>
                  <w:rPr>
                    <w:rFonts w:ascii="Cambria Math" w:eastAsia="Calibri" w:hAnsi="Cambria Math"/>
                    <w:sz w:val="22"/>
                    <w:szCs w:val="22"/>
                  </w:rPr>
                  <m:t>+0.40</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+1.15</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G,G</m:t>
                    </m:r>
                  </m:sub>
                </m:sSub>
                <m:r>
                  <w:rPr>
                    <w:rFonts w:ascii="Cambria Math" w:eastAsia="Calibri" w:hAnsi="Cambria Math"/>
                    <w:sz w:val="22"/>
                    <w:szCs w:val="22"/>
                  </w:rPr>
                  <m:t>+ 0.81</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+0.83</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 1.16I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C+Y,C+Y</m:t>
                    </m:r>
                  </m:sub>
                </m:sSub>
                <m:r>
                  <w:rPr>
                    <w:rFonts w:ascii="Cambria Math" w:eastAsia="Calibri" w:hAnsi="Cambria Math"/>
                    <w:sz w:val="22"/>
                    <w:szCs w:val="22"/>
                  </w:rPr>
                  <m:t>+0.24</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Fungal </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Male</m:t>
                    </m:r>
                  </m:sub>
                </m:sSub>
                <m:r>
                  <w:rPr>
                    <w:rFonts w:ascii="Cambria Math" w:eastAsia="Calibri" w:hAnsi="Cambria Math"/>
                    <w:sz w:val="22"/>
                    <w:szCs w:val="22"/>
                  </w:rPr>
                  <m:t>×</m:t>
                </m:r>
                <m:sSub>
                  <m:sSubPr>
                    <m:ctrlPr>
                      <w:rPr>
                        <w:rFonts w:ascii="Cambria Math" w:hAnsi="Cambria Math"/>
                        <w:bCs/>
                        <w:i/>
                        <w:iCs/>
                        <w:sz w:val="22"/>
                        <w:szCs w:val="22"/>
                      </w:rPr>
                    </m:ctrlPr>
                  </m:sSubPr>
                  <m:e>
                    <m:r>
                      <w:rPr>
                        <w:rFonts w:ascii="Cambria Math" w:eastAsia="Calibri" w:hAnsi="Cambria Math"/>
                        <w:sz w:val="22"/>
                        <w:szCs w:val="22"/>
                      </w:rPr>
                      <m:t>I</m:t>
                    </m:r>
                  </m:e>
                  <m:sub>
                    <m:r>
                      <w:rPr>
                        <w:rFonts w:ascii="Cambria Math" w:eastAsia="Calibri" w:hAnsi="Cambria Math"/>
                        <w:sz w:val="22"/>
                        <w:szCs w:val="22"/>
                      </w:rPr>
                      <m:t>G,G</m:t>
                    </m:r>
                  </m:sub>
                </m:sSub>
                <m:r>
                  <w:rPr>
                    <w:rFonts w:ascii="Cambria Math" w:eastAsia="Calibri" w:hAnsi="Cambria Math"/>
                    <w:sz w:val="22"/>
                    <w:szCs w:val="22"/>
                  </w:rPr>
                  <m:t>]</m:t>
                </m:r>
              </m:oMath>
            </m:oMathPara>
          </w:p>
        </w:tc>
      </w:tr>
    </w:tbl>
    <w:p w14:paraId="77E7B914" w14:textId="77777777" w:rsidR="0060753D" w:rsidRPr="009E06F2" w:rsidRDefault="0060753D" w:rsidP="0060753D">
      <w:pPr>
        <w:widowControl w:val="0"/>
        <w:rPr>
          <w:rFonts w:eastAsia="Calibri"/>
          <w:sz w:val="20"/>
        </w:rPr>
      </w:pPr>
    </w:p>
    <w:p w14:paraId="0FB41AD9" w14:textId="77777777" w:rsidR="0060753D" w:rsidRPr="009E06F2" w:rsidRDefault="0060753D" w:rsidP="0060753D">
      <w:pPr>
        <w:widowControl w:val="0"/>
        <w:rPr>
          <w:rFonts w:eastAsia="Calibri"/>
          <w:sz w:val="20"/>
        </w:rPr>
      </w:pPr>
      <w:r w:rsidRPr="009E06F2">
        <w:rPr>
          <w:rFonts w:eastAsia="Calibri"/>
          <w:sz w:val="20"/>
        </w:rPr>
        <w:t xml:space="preserve">The proposed time-dependent Cox Proportional Hazard breaks the experiment time into </w:t>
      </w:r>
      <w:proofErr w:type="gramStart"/>
      <w:r w:rsidRPr="009E06F2">
        <w:rPr>
          <w:rFonts w:eastAsia="Calibri"/>
          <w:sz w:val="20"/>
        </w:rPr>
        <w:t>3 time</w:t>
      </w:r>
      <w:proofErr w:type="gramEnd"/>
      <w:r w:rsidRPr="009E06F2">
        <w:rPr>
          <w:rFonts w:eastAsia="Calibri"/>
          <w:sz w:val="20"/>
        </w:rPr>
        <w:t xml:space="preserve"> intervals: 0-4, 4-9 and 9-14 days. The baseline </w:t>
      </w:r>
      <m:oMath>
        <m:sSub>
          <m:sSubPr>
            <m:ctrlPr>
              <w:rPr>
                <w:rFonts w:ascii="Cambria Math" w:hAnsi="Cambria Math"/>
                <w:i/>
                <w:iCs/>
                <w:color w:val="000000"/>
                <w:kern w:val="24"/>
                <w:sz w:val="20"/>
              </w:rPr>
            </m:ctrlPr>
          </m:sSubPr>
          <m:e>
            <m:r>
              <w:rPr>
                <w:rFonts w:ascii="Cambria Math" w:eastAsia="Calibri" w:hAnsi="Cambria Math"/>
                <w:color w:val="000000"/>
                <w:kern w:val="24"/>
                <w:sz w:val="20"/>
              </w:rPr>
              <m:t>h</m:t>
            </m:r>
          </m:e>
          <m:sub>
            <m:r>
              <w:rPr>
                <w:rFonts w:ascii="Cambria Math" w:eastAsia="Calibri" w:hAnsi="Cambria Math"/>
                <w:color w:val="000000"/>
                <w:kern w:val="24"/>
                <w:sz w:val="20"/>
              </w:rPr>
              <m:t>o</m:t>
            </m:r>
          </m:sub>
        </m:sSub>
      </m:oMath>
      <w:r w:rsidRPr="009E06F2">
        <w:rPr>
          <w:rFonts w:eastAsia="Calibri"/>
          <w:sz w:val="20"/>
        </w:rPr>
        <w:t xml:space="preserve"> is female w</w:t>
      </w:r>
      <w:proofErr w:type="spellStart"/>
      <w:r w:rsidRPr="009E06F2">
        <w:rPr>
          <w:rFonts w:eastAsia="Calibri"/>
          <w:sz w:val="20"/>
        </w:rPr>
        <w:t>ithout</w:t>
      </w:r>
      <w:proofErr w:type="spellEnd"/>
      <w:r w:rsidRPr="009E06F2">
        <w:rPr>
          <w:rFonts w:eastAsia="Calibri"/>
          <w:sz w:val="20"/>
        </w:rPr>
        <w:t xml:space="preserve"> infection. The estimated hazard ratio (</w:t>
      </w:r>
      <m:oMath>
        <m:sSub>
          <m:sSubPr>
            <m:ctrlPr>
              <w:rPr>
                <w:rFonts w:ascii="Cambria Math" w:hAnsi="Cambria Math"/>
                <w:i/>
                <w:iCs/>
                <w:color w:val="000000"/>
                <w:kern w:val="24"/>
                <w:sz w:val="20"/>
              </w:rPr>
            </m:ctrlPr>
          </m:sSubPr>
          <m:e>
            <m:sSub>
              <m:sSubPr>
                <m:ctrlPr>
                  <w:rPr>
                    <w:rFonts w:ascii="Cambria Math" w:eastAsia="Calibri" w:hAnsi="Cambria Math"/>
                    <w:i/>
                    <w:iCs/>
                    <w:color w:val="000000"/>
                    <w:kern w:val="24"/>
                    <w:sz w:val="20"/>
                  </w:rPr>
                </m:ctrlPr>
              </m:sSubPr>
              <m:e>
                <m:r>
                  <w:rPr>
                    <w:rFonts w:ascii="Cambria Math" w:eastAsia="Calibri" w:hAnsi="Cambria Math"/>
                    <w:color w:val="000000"/>
                    <w:kern w:val="24"/>
                    <w:sz w:val="20"/>
                  </w:rPr>
                  <m:t>h</m:t>
                </m:r>
              </m:e>
              <m:sub>
                <m:r>
                  <w:rPr>
                    <w:rFonts w:ascii="Cambria Math" w:eastAsia="Calibri" w:hAnsi="Cambria Math"/>
                    <w:color w:val="000000"/>
                    <w:kern w:val="24"/>
                    <w:sz w:val="20"/>
                  </w:rPr>
                  <m:t>t</m:t>
                </m:r>
              </m:sub>
            </m:sSub>
            <m:d>
              <m:dPr>
                <m:ctrlPr>
                  <w:rPr>
                    <w:rFonts w:ascii="Cambria Math" w:eastAsia="Calibri" w:hAnsi="Cambria Math"/>
                    <w:b/>
                    <w:i/>
                    <w:iCs/>
                    <w:color w:val="000000"/>
                    <w:kern w:val="24"/>
                    <w:sz w:val="20"/>
                  </w:rPr>
                </m:ctrlPr>
              </m:dPr>
              <m:e>
                <m:r>
                  <m:rPr>
                    <m:sty m:val="bi"/>
                  </m:rPr>
                  <w:rPr>
                    <w:rFonts w:ascii="Cambria Math" w:eastAsia="Calibri" w:hAnsi="Cambria Math"/>
                    <w:color w:val="000000"/>
                    <w:kern w:val="24"/>
                    <w:sz w:val="20"/>
                  </w:rPr>
                  <m:t>x</m:t>
                </m:r>
              </m:e>
            </m:d>
            <m:r>
              <w:rPr>
                <w:rFonts w:ascii="Cambria Math" w:eastAsia="Calibri" w:hAnsi="Cambria Math"/>
                <w:color w:val="000000"/>
                <w:kern w:val="24"/>
                <w:sz w:val="20"/>
              </w:rPr>
              <m:t>/ h</m:t>
            </m:r>
          </m:e>
          <m:sub>
            <m:r>
              <w:rPr>
                <w:rFonts w:ascii="Cambria Math" w:eastAsia="Calibri" w:hAnsi="Cambria Math"/>
                <w:color w:val="000000"/>
                <w:kern w:val="24"/>
                <w:sz w:val="20"/>
              </w:rPr>
              <m:t>o</m:t>
            </m:r>
          </m:sub>
        </m:sSub>
      </m:oMath>
      <w:r w:rsidRPr="009E06F2">
        <w:rPr>
          <w:rFonts w:eastAsia="Calibri"/>
          <w:iCs/>
          <w:color w:val="000000"/>
          <w:kern w:val="24"/>
          <w:sz w:val="20"/>
        </w:rPr>
        <w:t>)</w:t>
      </w:r>
      <w:r w:rsidRPr="009E06F2">
        <w:rPr>
          <w:rFonts w:eastAsia="Calibri"/>
          <w:sz w:val="20"/>
        </w:rPr>
        <w:t xml:space="preserve"> at a specific time point </w:t>
      </w:r>
      <m:oMath>
        <m:r>
          <w:rPr>
            <w:rFonts w:ascii="Cambria Math" w:eastAsia="Calibri" w:hAnsi="Cambria Math"/>
            <w:sz w:val="20"/>
          </w:rPr>
          <m:t>t</m:t>
        </m:r>
      </m:oMath>
      <w:r w:rsidRPr="009E06F2">
        <w:rPr>
          <w:rFonts w:eastAsia="Calibri"/>
          <w:sz w:val="20"/>
        </w:rPr>
        <w:t xml:space="preserve"> between any other group </w:t>
      </w:r>
      <m:oMath>
        <m:r>
          <m:rPr>
            <m:sty m:val="bi"/>
          </m:rPr>
          <w:rPr>
            <w:rFonts w:ascii="Cambria Math" w:eastAsia="Calibri" w:hAnsi="Cambria Math"/>
            <w:sz w:val="20"/>
          </w:rPr>
          <m:t>x</m:t>
        </m:r>
      </m:oMath>
      <w:r w:rsidRPr="009E06F2">
        <w:rPr>
          <w:rFonts w:eastAsia="Calibri"/>
          <w:sz w:val="20"/>
        </w:rPr>
        <w:t xml:space="preserve"> and the baseline can be obtained by the coefficient estimates</w:t>
      </w:r>
    </w:p>
    <w:p w14:paraId="0B769D93" w14:textId="77777777" w:rsidR="0060753D" w:rsidRDefault="0060753D" w:rsidP="0060753D">
      <w:pPr>
        <w:spacing w:line="480" w:lineRule="auto"/>
        <w:ind w:firstLine="720"/>
        <w:rPr>
          <w:rFonts w:eastAsia="Calibri"/>
        </w:rPr>
      </w:pPr>
    </w:p>
    <w:p w14:paraId="7F3C90AC" w14:textId="77777777" w:rsidR="0060753D" w:rsidRDefault="0060753D" w:rsidP="003C2728">
      <w:pPr>
        <w:spacing w:line="480" w:lineRule="auto"/>
        <w:rPr>
          <w:rFonts w:eastAsia="Calibri"/>
        </w:rPr>
      </w:pPr>
    </w:p>
    <w:p w14:paraId="5008FE87" w14:textId="4DD7F9F7" w:rsidR="00DE581D" w:rsidRPr="00DE581D" w:rsidRDefault="00DE581D" w:rsidP="00DE581D">
      <w:pPr>
        <w:spacing w:line="480" w:lineRule="auto"/>
        <w:rPr>
          <w:rFonts w:eastAsia="Calibri"/>
          <w:i/>
          <w:iCs/>
        </w:rPr>
      </w:pPr>
      <w:r w:rsidRPr="00DE581D">
        <w:rPr>
          <w:rFonts w:eastAsia="Calibri"/>
          <w:i/>
          <w:iCs/>
        </w:rPr>
        <w:t xml:space="preserve">Experiment 5: </w:t>
      </w:r>
      <w:r w:rsidR="004A1A89" w:rsidRPr="00855425">
        <w:rPr>
          <w:rFonts w:eastAsia="Calibri"/>
          <w:i/>
          <w:iCs/>
        </w:rPr>
        <w:t xml:space="preserve">Effects of </w:t>
      </w:r>
      <w:r w:rsidR="004A1A89">
        <w:rPr>
          <w:rFonts w:eastAsia="Calibri"/>
          <w:i/>
          <w:iCs/>
        </w:rPr>
        <w:t xml:space="preserve">varying amounts of yeast supplementation on sexual dimorphism in post-infection survival of D. melanogaster inoculated with B. </w:t>
      </w:r>
      <w:proofErr w:type="spellStart"/>
      <w:r w:rsidR="004A1A89">
        <w:rPr>
          <w:rFonts w:eastAsia="Calibri"/>
          <w:i/>
          <w:iCs/>
        </w:rPr>
        <w:t>bassiana</w:t>
      </w:r>
      <w:proofErr w:type="spellEnd"/>
      <w:r w:rsidR="004A1A89">
        <w:rPr>
          <w:rFonts w:eastAsia="Calibri"/>
          <w:i/>
          <w:iCs/>
        </w:rPr>
        <w:t xml:space="preserve"> strain GHA</w:t>
      </w:r>
      <w:r w:rsidR="004A1A89" w:rsidRPr="00DE581D">
        <w:rPr>
          <w:rFonts w:eastAsia="Calibri"/>
          <w:i/>
          <w:iCs/>
        </w:rPr>
        <w:t xml:space="preserve"> </w:t>
      </w:r>
    </w:p>
    <w:p w14:paraId="78466AB2" w14:textId="06BE7572" w:rsidR="004927B8" w:rsidRPr="009E06F2" w:rsidRDefault="00DE581D" w:rsidP="00EC362B">
      <w:pPr>
        <w:spacing w:line="480" w:lineRule="auto"/>
        <w:ind w:firstLine="720"/>
        <w:rPr>
          <w:rFonts w:eastAsia="Calibri"/>
        </w:rPr>
      </w:pPr>
      <w:r>
        <w:rPr>
          <w:rFonts w:eastAsia="Calibri"/>
        </w:rPr>
        <w:t xml:space="preserve">The methods used were the same as in Experiment </w:t>
      </w:r>
      <w:r w:rsidR="0008490D">
        <w:rPr>
          <w:rFonts w:eastAsia="Calibri"/>
        </w:rPr>
        <w:t>4</w:t>
      </w:r>
      <w:r>
        <w:rPr>
          <w:rFonts w:eastAsia="Calibri"/>
        </w:rPr>
        <w:t xml:space="preserve">, except </w:t>
      </w:r>
      <w:r w:rsidR="0008490D">
        <w:rPr>
          <w:rFonts w:eastAsia="Calibri"/>
        </w:rPr>
        <w:t xml:space="preserve">flies were maintained on Cornmeal diet for 14 days after the egg stage, were sprayed on day 15 from egg, and then were given cornmeal diets supplemented with varying amounts </w:t>
      </w:r>
      <w:r w:rsidR="00EC362B">
        <w:rPr>
          <w:rFonts w:eastAsia="Calibri"/>
        </w:rPr>
        <w:t>of yeast per 5mL of DI water</w:t>
      </w:r>
      <w:r w:rsidR="0008490D">
        <w:rPr>
          <w:rFonts w:eastAsia="Calibri"/>
        </w:rPr>
        <w:t xml:space="preserve">: </w:t>
      </w:r>
      <w:r w:rsidR="00EC362B">
        <w:rPr>
          <w:rFonts w:eastAsia="Calibri"/>
        </w:rPr>
        <w:t>0.5g, 1.0g, or 1.</w:t>
      </w:r>
      <w:commentRangeStart w:id="20"/>
      <w:r w:rsidR="00EC362B">
        <w:rPr>
          <w:rFonts w:eastAsia="Calibri"/>
        </w:rPr>
        <w:t>5g</w:t>
      </w:r>
      <w:commentRangeEnd w:id="20"/>
      <w:r w:rsidR="00EC362B">
        <w:rPr>
          <w:rStyle w:val="CommentReference"/>
        </w:rPr>
        <w:commentReference w:id="20"/>
      </w:r>
      <w:r w:rsidR="00EC362B">
        <w:rPr>
          <w:rFonts w:eastAsia="Calibri"/>
        </w:rPr>
        <w:t>. Hence the</w:t>
      </w:r>
      <w:r w:rsidR="004A1A89">
        <w:rPr>
          <w:rFonts w:eastAsia="Calibri"/>
        </w:rPr>
        <w:t xml:space="preserve"> dietary conditions were as follows</w:t>
      </w:r>
      <w:r w:rsidR="00EC362B">
        <w:rPr>
          <w:rFonts w:eastAsia="Calibri"/>
        </w:rPr>
        <w:t>:</w:t>
      </w:r>
      <w:r w:rsidR="004A1A89">
        <w:rPr>
          <w:rFonts w:eastAsia="Calibri"/>
        </w:rPr>
        <w:t xml:space="preserve"> </w:t>
      </w:r>
    </w:p>
    <w:tbl>
      <w:tblPr>
        <w:tblW w:w="5000" w:type="pct"/>
        <w:tblCellMar>
          <w:top w:w="58" w:type="dxa"/>
          <w:left w:w="115" w:type="dxa"/>
          <w:bottom w:w="58" w:type="dxa"/>
          <w:right w:w="115" w:type="dxa"/>
        </w:tblCellMar>
        <w:tblLook w:val="04A0" w:firstRow="1" w:lastRow="0" w:firstColumn="1" w:lastColumn="0" w:noHBand="0" w:noVBand="1"/>
      </w:tblPr>
      <w:tblGrid>
        <w:gridCol w:w="2880"/>
        <w:gridCol w:w="2881"/>
        <w:gridCol w:w="2879"/>
      </w:tblGrid>
      <w:tr w:rsidR="00855890" w:rsidRPr="009E06F2" w14:paraId="2B146C2B" w14:textId="77777777" w:rsidTr="00855890">
        <w:trPr>
          <w:trHeight w:val="264"/>
        </w:trPr>
        <w:tc>
          <w:tcPr>
            <w:tcW w:w="1667" w:type="pct"/>
            <w:tcBorders>
              <w:top w:val="single" w:sz="4" w:space="0" w:color="auto"/>
              <w:left w:val="nil"/>
              <w:bottom w:val="single" w:sz="4" w:space="0" w:color="auto"/>
              <w:right w:val="nil"/>
            </w:tcBorders>
          </w:tcPr>
          <w:p w14:paraId="74A5445F" w14:textId="3787E85F" w:rsidR="00855890" w:rsidRPr="009E06F2" w:rsidRDefault="00855890" w:rsidP="00836101">
            <w:pPr>
              <w:jc w:val="center"/>
              <w:rPr>
                <w:rFonts w:eastAsia="Calibri"/>
                <w:bCs/>
                <w:color w:val="000000"/>
                <w:lang w:eastAsia="zh-CN"/>
              </w:rPr>
            </w:pPr>
            <w:commentRangeStart w:id="21"/>
            <w:r>
              <w:rPr>
                <w:rFonts w:eastAsia="Calibri"/>
                <w:bCs/>
                <w:color w:val="000000"/>
                <w:lang w:eastAsia="zh-CN"/>
              </w:rPr>
              <w:t>Treatment name on graphs</w:t>
            </w:r>
          </w:p>
        </w:tc>
        <w:tc>
          <w:tcPr>
            <w:tcW w:w="1667" w:type="pct"/>
            <w:tcBorders>
              <w:top w:val="single" w:sz="4" w:space="0" w:color="auto"/>
              <w:left w:val="nil"/>
              <w:bottom w:val="single" w:sz="4" w:space="0" w:color="auto"/>
              <w:right w:val="nil"/>
            </w:tcBorders>
            <w:shd w:val="clear" w:color="auto" w:fill="auto"/>
            <w:vAlign w:val="bottom"/>
            <w:hideMark/>
          </w:tcPr>
          <w:p w14:paraId="64E07826" w14:textId="77077876" w:rsidR="00855890" w:rsidRPr="009E06F2" w:rsidRDefault="00855890" w:rsidP="00836101">
            <w:pPr>
              <w:jc w:val="center"/>
              <w:rPr>
                <w:rFonts w:eastAsia="Calibri"/>
                <w:bCs/>
                <w:color w:val="000000"/>
                <w:lang w:eastAsia="zh-CN"/>
              </w:rPr>
            </w:pPr>
            <w:r w:rsidRPr="009E06F2">
              <w:rPr>
                <w:rFonts w:eastAsia="Calibri"/>
                <w:bCs/>
                <w:color w:val="000000"/>
                <w:lang w:eastAsia="zh-CN"/>
              </w:rPr>
              <w:t>Day 12- 14</w:t>
            </w:r>
            <w:r>
              <w:rPr>
                <w:rFonts w:eastAsia="Calibri"/>
                <w:bCs/>
                <w:color w:val="000000"/>
                <w:lang w:eastAsia="zh-CN"/>
              </w:rPr>
              <w:t xml:space="preserve"> (before spray)</w:t>
            </w:r>
          </w:p>
        </w:tc>
        <w:tc>
          <w:tcPr>
            <w:tcW w:w="1666" w:type="pct"/>
            <w:tcBorders>
              <w:top w:val="single" w:sz="4" w:space="0" w:color="auto"/>
              <w:left w:val="nil"/>
              <w:bottom w:val="single" w:sz="4" w:space="0" w:color="auto"/>
              <w:right w:val="nil"/>
            </w:tcBorders>
            <w:vAlign w:val="bottom"/>
          </w:tcPr>
          <w:p w14:paraId="126E4331" w14:textId="74838B0E" w:rsidR="00855890" w:rsidRPr="009E06F2" w:rsidRDefault="00855890" w:rsidP="00836101">
            <w:pPr>
              <w:jc w:val="center"/>
              <w:rPr>
                <w:rFonts w:eastAsia="Calibri"/>
                <w:bCs/>
                <w:color w:val="000000"/>
                <w:lang w:eastAsia="zh-CN"/>
              </w:rPr>
            </w:pPr>
            <w:r w:rsidRPr="009E06F2">
              <w:rPr>
                <w:rFonts w:eastAsia="Calibri"/>
                <w:bCs/>
                <w:color w:val="000000"/>
                <w:lang w:eastAsia="zh-CN"/>
              </w:rPr>
              <w:t xml:space="preserve">Day 15- </w:t>
            </w:r>
            <w:commentRangeStart w:id="22"/>
            <w:r w:rsidRPr="009E06F2">
              <w:rPr>
                <w:rFonts w:eastAsia="Calibri"/>
                <w:bCs/>
                <w:color w:val="000000"/>
                <w:lang w:eastAsia="zh-CN"/>
              </w:rPr>
              <w:t>28</w:t>
            </w:r>
            <w:commentRangeEnd w:id="22"/>
            <w:r w:rsidR="004A1A89">
              <w:rPr>
                <w:rStyle w:val="CommentReference"/>
              </w:rPr>
              <w:commentReference w:id="22"/>
            </w:r>
            <w:r>
              <w:rPr>
                <w:rFonts w:eastAsia="Calibri"/>
                <w:bCs/>
                <w:color w:val="000000"/>
                <w:lang w:eastAsia="zh-CN"/>
              </w:rPr>
              <w:t xml:space="preserve"> (after spray)</w:t>
            </w:r>
            <w:commentRangeEnd w:id="21"/>
            <w:r w:rsidR="002E14FF">
              <w:rPr>
                <w:rStyle w:val="CommentReference"/>
              </w:rPr>
              <w:commentReference w:id="21"/>
            </w:r>
          </w:p>
        </w:tc>
      </w:tr>
      <w:tr w:rsidR="00855890" w:rsidRPr="009E06F2" w14:paraId="7ED2285E" w14:textId="77777777" w:rsidTr="00855890">
        <w:trPr>
          <w:trHeight w:val="264"/>
        </w:trPr>
        <w:tc>
          <w:tcPr>
            <w:tcW w:w="1667" w:type="pct"/>
            <w:tcBorders>
              <w:top w:val="nil"/>
              <w:left w:val="nil"/>
              <w:bottom w:val="nil"/>
              <w:right w:val="nil"/>
            </w:tcBorders>
          </w:tcPr>
          <w:p w14:paraId="4F9B9FE3" w14:textId="0F42A3F2" w:rsidR="00855890" w:rsidRPr="009E06F2" w:rsidRDefault="00855890" w:rsidP="00836101">
            <w:pPr>
              <w:jc w:val="center"/>
              <w:rPr>
                <w:rFonts w:eastAsia="Calibri"/>
                <w:color w:val="000000"/>
                <w:lang w:eastAsia="zh-CN"/>
              </w:rPr>
            </w:pPr>
            <w:r>
              <w:rPr>
                <w:rFonts w:eastAsia="Calibri"/>
                <w:color w:val="000000"/>
                <w:lang w:eastAsia="zh-CN"/>
              </w:rPr>
              <w:t>C/C</w:t>
            </w:r>
          </w:p>
        </w:tc>
        <w:tc>
          <w:tcPr>
            <w:tcW w:w="1667" w:type="pct"/>
            <w:tcBorders>
              <w:top w:val="nil"/>
              <w:left w:val="nil"/>
              <w:bottom w:val="nil"/>
              <w:right w:val="nil"/>
            </w:tcBorders>
            <w:shd w:val="clear" w:color="auto" w:fill="auto"/>
            <w:noWrap/>
            <w:vAlign w:val="bottom"/>
            <w:hideMark/>
          </w:tcPr>
          <w:p w14:paraId="47ABBB30" w14:textId="033CD3F2" w:rsidR="00855890" w:rsidRPr="009E06F2" w:rsidRDefault="00855890" w:rsidP="00836101">
            <w:pPr>
              <w:jc w:val="center"/>
              <w:rPr>
                <w:rFonts w:eastAsia="Calibri"/>
                <w:color w:val="000000"/>
                <w:lang w:eastAsia="zh-CN"/>
              </w:rPr>
            </w:pPr>
            <w:r w:rsidRPr="009E06F2">
              <w:rPr>
                <w:rFonts w:eastAsia="Calibri"/>
                <w:color w:val="000000"/>
                <w:lang w:eastAsia="zh-CN"/>
              </w:rPr>
              <w:t>Cornmeal</w:t>
            </w:r>
          </w:p>
        </w:tc>
        <w:tc>
          <w:tcPr>
            <w:tcW w:w="1666" w:type="pct"/>
            <w:tcBorders>
              <w:top w:val="nil"/>
              <w:left w:val="nil"/>
              <w:bottom w:val="nil"/>
              <w:right w:val="nil"/>
            </w:tcBorders>
            <w:vAlign w:val="bottom"/>
          </w:tcPr>
          <w:p w14:paraId="2238F9C1" w14:textId="77777777" w:rsidR="00855890" w:rsidRPr="009E06F2" w:rsidRDefault="00855890" w:rsidP="00836101">
            <w:pPr>
              <w:jc w:val="center"/>
              <w:rPr>
                <w:rFonts w:eastAsia="Calibri"/>
                <w:color w:val="000000"/>
                <w:lang w:eastAsia="zh-CN"/>
              </w:rPr>
            </w:pPr>
            <w:r w:rsidRPr="009E06F2">
              <w:rPr>
                <w:rFonts w:eastAsia="Calibri"/>
                <w:color w:val="000000"/>
                <w:lang w:eastAsia="zh-CN"/>
              </w:rPr>
              <w:t>Cornmeal</w:t>
            </w:r>
          </w:p>
        </w:tc>
      </w:tr>
      <w:tr w:rsidR="00855890" w:rsidRPr="009E06F2" w14:paraId="68EACC2B" w14:textId="77777777" w:rsidTr="00855890">
        <w:trPr>
          <w:trHeight w:val="264"/>
        </w:trPr>
        <w:tc>
          <w:tcPr>
            <w:tcW w:w="1667" w:type="pct"/>
            <w:tcBorders>
              <w:top w:val="nil"/>
              <w:left w:val="nil"/>
              <w:right w:val="nil"/>
            </w:tcBorders>
          </w:tcPr>
          <w:p w14:paraId="79101A34" w14:textId="5F567134" w:rsidR="00855890" w:rsidRPr="009E06F2" w:rsidRDefault="00855890" w:rsidP="00836101">
            <w:pPr>
              <w:jc w:val="center"/>
              <w:rPr>
                <w:rFonts w:eastAsia="Calibri"/>
                <w:color w:val="000000"/>
                <w:lang w:eastAsia="zh-CN"/>
              </w:rPr>
            </w:pPr>
            <w:r>
              <w:rPr>
                <w:rFonts w:eastAsia="Calibri"/>
                <w:color w:val="000000"/>
                <w:lang w:eastAsia="zh-CN"/>
              </w:rPr>
              <w:t>C/CY0.5</w:t>
            </w:r>
          </w:p>
        </w:tc>
        <w:tc>
          <w:tcPr>
            <w:tcW w:w="1667" w:type="pct"/>
            <w:tcBorders>
              <w:top w:val="nil"/>
              <w:left w:val="nil"/>
              <w:right w:val="nil"/>
            </w:tcBorders>
            <w:shd w:val="clear" w:color="auto" w:fill="auto"/>
            <w:noWrap/>
            <w:vAlign w:val="bottom"/>
          </w:tcPr>
          <w:p w14:paraId="0A4065B9" w14:textId="2051B16B" w:rsidR="00855890" w:rsidRPr="009E06F2" w:rsidRDefault="00855890" w:rsidP="00836101">
            <w:pPr>
              <w:jc w:val="center"/>
              <w:rPr>
                <w:rFonts w:eastAsia="Calibri"/>
                <w:color w:val="000000"/>
                <w:lang w:eastAsia="zh-CN"/>
              </w:rPr>
            </w:pPr>
            <w:r w:rsidRPr="009E06F2">
              <w:rPr>
                <w:rFonts w:eastAsia="Calibri"/>
                <w:color w:val="000000"/>
                <w:lang w:eastAsia="zh-CN"/>
              </w:rPr>
              <w:t>Cornmeal</w:t>
            </w:r>
          </w:p>
        </w:tc>
        <w:tc>
          <w:tcPr>
            <w:tcW w:w="1666" w:type="pct"/>
            <w:tcBorders>
              <w:top w:val="nil"/>
              <w:left w:val="nil"/>
              <w:right w:val="nil"/>
            </w:tcBorders>
            <w:vAlign w:val="bottom"/>
          </w:tcPr>
          <w:p w14:paraId="638B0FD2" w14:textId="77777777" w:rsidR="00855890" w:rsidRPr="009E06F2" w:rsidRDefault="00855890" w:rsidP="00836101">
            <w:pPr>
              <w:jc w:val="center"/>
              <w:rPr>
                <w:rFonts w:eastAsia="Calibri"/>
                <w:color w:val="000000"/>
                <w:lang w:eastAsia="zh-CN"/>
              </w:rPr>
            </w:pPr>
            <w:r w:rsidRPr="009E06F2">
              <w:rPr>
                <w:rFonts w:eastAsia="Calibri"/>
                <w:color w:val="000000"/>
                <w:lang w:eastAsia="zh-CN"/>
              </w:rPr>
              <w:t>0.5 g Yeast</w:t>
            </w:r>
          </w:p>
        </w:tc>
      </w:tr>
      <w:tr w:rsidR="00855890" w:rsidRPr="009E06F2" w14:paraId="78FE9A52" w14:textId="77777777" w:rsidTr="00855890">
        <w:trPr>
          <w:trHeight w:val="264"/>
        </w:trPr>
        <w:tc>
          <w:tcPr>
            <w:tcW w:w="1667" w:type="pct"/>
            <w:tcBorders>
              <w:top w:val="nil"/>
              <w:left w:val="nil"/>
              <w:right w:val="nil"/>
            </w:tcBorders>
          </w:tcPr>
          <w:p w14:paraId="5C9CAA3A" w14:textId="187A099A" w:rsidR="00855890" w:rsidRPr="009E06F2" w:rsidRDefault="00855890" w:rsidP="00836101">
            <w:pPr>
              <w:jc w:val="center"/>
              <w:rPr>
                <w:rFonts w:eastAsia="Calibri"/>
                <w:color w:val="000000"/>
                <w:lang w:eastAsia="zh-CN"/>
              </w:rPr>
            </w:pPr>
            <w:r>
              <w:rPr>
                <w:rFonts w:eastAsia="Calibri"/>
                <w:color w:val="000000"/>
                <w:lang w:eastAsia="zh-CN"/>
              </w:rPr>
              <w:t>C/CY1.0</w:t>
            </w:r>
          </w:p>
        </w:tc>
        <w:tc>
          <w:tcPr>
            <w:tcW w:w="1667" w:type="pct"/>
            <w:tcBorders>
              <w:top w:val="nil"/>
              <w:left w:val="nil"/>
              <w:right w:val="nil"/>
            </w:tcBorders>
            <w:shd w:val="clear" w:color="auto" w:fill="auto"/>
            <w:noWrap/>
            <w:vAlign w:val="bottom"/>
          </w:tcPr>
          <w:p w14:paraId="402C9282" w14:textId="79CA2FE7" w:rsidR="00855890" w:rsidRPr="009E06F2" w:rsidRDefault="00855890" w:rsidP="00836101">
            <w:pPr>
              <w:jc w:val="center"/>
              <w:rPr>
                <w:rFonts w:eastAsia="Calibri"/>
                <w:color w:val="000000"/>
                <w:lang w:eastAsia="zh-CN"/>
              </w:rPr>
            </w:pPr>
            <w:r w:rsidRPr="009E06F2">
              <w:rPr>
                <w:rFonts w:eastAsia="Calibri"/>
                <w:color w:val="000000"/>
                <w:lang w:eastAsia="zh-CN"/>
              </w:rPr>
              <w:t xml:space="preserve">Cornmeal </w:t>
            </w:r>
          </w:p>
        </w:tc>
        <w:tc>
          <w:tcPr>
            <w:tcW w:w="1666" w:type="pct"/>
            <w:tcBorders>
              <w:top w:val="nil"/>
              <w:left w:val="nil"/>
              <w:right w:val="nil"/>
            </w:tcBorders>
            <w:vAlign w:val="bottom"/>
          </w:tcPr>
          <w:p w14:paraId="08FD504F" w14:textId="77777777" w:rsidR="00855890" w:rsidRPr="009E06F2" w:rsidRDefault="00855890" w:rsidP="00836101">
            <w:pPr>
              <w:jc w:val="center"/>
              <w:rPr>
                <w:rFonts w:eastAsia="Calibri"/>
                <w:color w:val="000000"/>
                <w:lang w:eastAsia="zh-CN"/>
              </w:rPr>
            </w:pPr>
            <w:r w:rsidRPr="009E06F2">
              <w:rPr>
                <w:rFonts w:eastAsia="Calibri"/>
                <w:color w:val="000000"/>
                <w:lang w:eastAsia="zh-CN"/>
              </w:rPr>
              <w:t>1.0 g Yeast</w:t>
            </w:r>
          </w:p>
        </w:tc>
      </w:tr>
      <w:tr w:rsidR="00855890" w:rsidRPr="009E06F2" w14:paraId="7999F72C" w14:textId="77777777" w:rsidTr="00855890">
        <w:trPr>
          <w:trHeight w:val="264"/>
        </w:trPr>
        <w:tc>
          <w:tcPr>
            <w:tcW w:w="1667" w:type="pct"/>
            <w:tcBorders>
              <w:top w:val="nil"/>
              <w:left w:val="nil"/>
              <w:bottom w:val="single" w:sz="4" w:space="0" w:color="auto"/>
              <w:right w:val="nil"/>
            </w:tcBorders>
          </w:tcPr>
          <w:p w14:paraId="5B755324" w14:textId="5C26F4D4" w:rsidR="00855890" w:rsidRPr="009E06F2" w:rsidRDefault="00855890" w:rsidP="00836101">
            <w:pPr>
              <w:jc w:val="center"/>
              <w:rPr>
                <w:rFonts w:eastAsia="Calibri"/>
                <w:color w:val="000000"/>
                <w:lang w:eastAsia="zh-CN"/>
              </w:rPr>
            </w:pPr>
            <w:r>
              <w:rPr>
                <w:rFonts w:eastAsia="Calibri"/>
                <w:color w:val="000000"/>
                <w:lang w:eastAsia="zh-CN"/>
              </w:rPr>
              <w:t>C/CY1.5</w:t>
            </w:r>
          </w:p>
        </w:tc>
        <w:tc>
          <w:tcPr>
            <w:tcW w:w="1667" w:type="pct"/>
            <w:tcBorders>
              <w:top w:val="nil"/>
              <w:left w:val="nil"/>
              <w:bottom w:val="single" w:sz="4" w:space="0" w:color="auto"/>
              <w:right w:val="nil"/>
            </w:tcBorders>
            <w:shd w:val="clear" w:color="auto" w:fill="auto"/>
            <w:noWrap/>
            <w:vAlign w:val="bottom"/>
          </w:tcPr>
          <w:p w14:paraId="12AEA6FE" w14:textId="013B4FE9" w:rsidR="00855890" w:rsidRPr="009E06F2" w:rsidRDefault="00855890" w:rsidP="00836101">
            <w:pPr>
              <w:jc w:val="center"/>
              <w:rPr>
                <w:rFonts w:eastAsia="Calibri"/>
                <w:color w:val="000000"/>
                <w:lang w:eastAsia="zh-CN"/>
              </w:rPr>
            </w:pPr>
            <w:r w:rsidRPr="009E06F2">
              <w:rPr>
                <w:rFonts w:eastAsia="Calibri"/>
                <w:color w:val="000000"/>
                <w:lang w:eastAsia="zh-CN"/>
              </w:rPr>
              <w:t>Cornmeal</w:t>
            </w:r>
          </w:p>
        </w:tc>
        <w:tc>
          <w:tcPr>
            <w:tcW w:w="1666" w:type="pct"/>
            <w:tcBorders>
              <w:top w:val="nil"/>
              <w:left w:val="nil"/>
              <w:bottom w:val="single" w:sz="4" w:space="0" w:color="auto"/>
              <w:right w:val="nil"/>
            </w:tcBorders>
            <w:vAlign w:val="bottom"/>
          </w:tcPr>
          <w:p w14:paraId="514906E2" w14:textId="77777777" w:rsidR="00855890" w:rsidRPr="009E06F2" w:rsidRDefault="00855890" w:rsidP="00836101">
            <w:pPr>
              <w:jc w:val="center"/>
              <w:rPr>
                <w:rFonts w:eastAsia="Calibri"/>
                <w:color w:val="000000"/>
                <w:lang w:eastAsia="zh-CN"/>
              </w:rPr>
            </w:pPr>
            <w:r w:rsidRPr="009E06F2">
              <w:rPr>
                <w:rFonts w:eastAsia="Calibri"/>
                <w:color w:val="000000"/>
                <w:lang w:eastAsia="zh-CN"/>
              </w:rPr>
              <w:t>1.5 g Yeast</w:t>
            </w:r>
          </w:p>
        </w:tc>
      </w:tr>
    </w:tbl>
    <w:p w14:paraId="22AC427B" w14:textId="77777777" w:rsidR="004927B8" w:rsidRPr="009E06F2" w:rsidRDefault="004927B8" w:rsidP="004927B8">
      <w:pPr>
        <w:spacing w:line="480" w:lineRule="auto"/>
        <w:rPr>
          <w:rFonts w:eastAsia="Calibri"/>
        </w:rPr>
      </w:pPr>
    </w:p>
    <w:p w14:paraId="2B611CC7" w14:textId="73E29C43" w:rsidR="004927B8" w:rsidRPr="00C82160" w:rsidRDefault="00C82160" w:rsidP="00C82160">
      <w:pPr>
        <w:spacing w:line="480" w:lineRule="auto"/>
        <w:rPr>
          <w:rFonts w:eastAsia="Calibri"/>
          <w:i/>
          <w:iCs/>
        </w:rPr>
      </w:pPr>
      <w:commentRangeStart w:id="23"/>
      <w:r w:rsidRPr="00C82160">
        <w:rPr>
          <w:rFonts w:eastAsia="Calibri"/>
          <w:i/>
          <w:iCs/>
        </w:rPr>
        <w:t>Statistical analysis</w:t>
      </w:r>
      <w:r w:rsidR="00EC362B">
        <w:rPr>
          <w:rFonts w:eastAsia="Calibri"/>
          <w:i/>
          <w:iCs/>
        </w:rPr>
        <w:t xml:space="preserve"> of Experiment 5: </w:t>
      </w:r>
      <w:commentRangeEnd w:id="23"/>
      <w:r w:rsidR="00EC362B">
        <w:rPr>
          <w:rStyle w:val="CommentReference"/>
        </w:rPr>
        <w:commentReference w:id="23"/>
      </w:r>
    </w:p>
    <w:p w14:paraId="1D048E18" w14:textId="412A4699" w:rsidR="004927B8" w:rsidRDefault="004927B8" w:rsidP="003C5BAF">
      <w:pPr>
        <w:spacing w:line="480" w:lineRule="auto"/>
        <w:ind w:firstLine="720"/>
        <w:rPr>
          <w:rFonts w:eastAsia="Calibri"/>
        </w:rPr>
      </w:pPr>
    </w:p>
    <w:p w14:paraId="7469B51C" w14:textId="77777777" w:rsidR="00856530" w:rsidRDefault="00856530" w:rsidP="003C5BAF">
      <w:pPr>
        <w:spacing w:line="480" w:lineRule="auto"/>
        <w:ind w:firstLine="720"/>
        <w:rPr>
          <w:color w:val="000000"/>
        </w:rPr>
      </w:pPr>
    </w:p>
    <w:p w14:paraId="63BD2CDA" w14:textId="77777777" w:rsidR="00856530" w:rsidRPr="003C5BAF" w:rsidRDefault="00856530" w:rsidP="003C5BAF">
      <w:pPr>
        <w:spacing w:line="480" w:lineRule="auto"/>
        <w:ind w:firstLine="720"/>
        <w:rPr>
          <w:color w:val="000000"/>
        </w:rPr>
      </w:pPr>
    </w:p>
    <w:p w14:paraId="39529DFA" w14:textId="77777777" w:rsidR="001C3736" w:rsidRPr="00753C05" w:rsidRDefault="001C3736" w:rsidP="003C5BAF">
      <w:pPr>
        <w:spacing w:line="480" w:lineRule="auto"/>
        <w:jc w:val="center"/>
        <w:rPr>
          <w:b/>
          <w:bCs/>
          <w:color w:val="000000"/>
        </w:rPr>
      </w:pPr>
      <w:r w:rsidRPr="00753C05">
        <w:rPr>
          <w:b/>
          <w:bCs/>
          <w:color w:val="000000"/>
        </w:rPr>
        <w:t>Results</w:t>
      </w:r>
    </w:p>
    <w:p w14:paraId="17F96FB9" w14:textId="1F67E725" w:rsidR="001C3736" w:rsidRPr="00753C05" w:rsidRDefault="001C3736" w:rsidP="003C5BAF">
      <w:pPr>
        <w:spacing w:line="480" w:lineRule="auto"/>
        <w:rPr>
          <w:bCs/>
          <w:i/>
          <w:color w:val="000000"/>
          <w:u w:val="single"/>
        </w:rPr>
      </w:pPr>
      <w:r w:rsidRPr="00753C05">
        <w:rPr>
          <w:bCs/>
          <w:i/>
          <w:color w:val="000000"/>
          <w:u w:val="single"/>
        </w:rPr>
        <w:t xml:space="preserve">Mating Status Affects Survival After Inoculation with B. </w:t>
      </w:r>
      <w:proofErr w:type="spellStart"/>
      <w:r w:rsidRPr="00753C05">
        <w:rPr>
          <w:bCs/>
          <w:i/>
          <w:color w:val="000000"/>
          <w:u w:val="single"/>
        </w:rPr>
        <w:t>Bassiana</w:t>
      </w:r>
      <w:proofErr w:type="spellEnd"/>
      <w:r w:rsidRPr="00753C05">
        <w:rPr>
          <w:bCs/>
          <w:i/>
          <w:color w:val="000000"/>
          <w:u w:val="single"/>
        </w:rPr>
        <w:t xml:space="preserve"> ARSEF</w:t>
      </w:r>
      <w:r w:rsidRPr="00753C05">
        <w:rPr>
          <w:bCs/>
          <w:i/>
          <w:color w:val="000000"/>
          <w:u w:val="single"/>
        </w:rPr>
        <w:br/>
        <w:t>12460 in Both Males and Females</w:t>
      </w:r>
    </w:p>
    <w:p w14:paraId="573FCED1" w14:textId="671F55B3" w:rsidR="001C3736" w:rsidRPr="00753C05" w:rsidRDefault="001C3736" w:rsidP="003C5BAF">
      <w:pPr>
        <w:spacing w:line="480" w:lineRule="auto"/>
        <w:ind w:firstLine="720"/>
        <w:rPr>
          <w:color w:val="000000"/>
        </w:rPr>
      </w:pPr>
      <w:r w:rsidRPr="00753C05">
        <w:t xml:space="preserve">Infected flies died significantly faster than control flies, suggesting the effectiveness of </w:t>
      </w:r>
      <w:r w:rsidRPr="00753C05">
        <w:rPr>
          <w:i/>
        </w:rPr>
        <w:t xml:space="preserve">B. </w:t>
      </w:r>
      <w:proofErr w:type="spellStart"/>
      <w:r w:rsidRPr="00753C05">
        <w:rPr>
          <w:i/>
        </w:rPr>
        <w:t>bassiana</w:t>
      </w:r>
      <w:proofErr w:type="spellEnd"/>
      <w:r w:rsidRPr="00753C05">
        <w:t xml:space="preserve"> infection (see </w:t>
      </w:r>
      <w:r w:rsidR="00A41A3C">
        <w:t>Figure 1</w:t>
      </w:r>
      <w:r w:rsidRPr="00753C05">
        <w:t xml:space="preserve">, Table 3). Among infected flies, virgin females survived better than mated and cohabiting females in all time intervals (see </w:t>
      </w:r>
      <w:r w:rsidR="00A41A3C">
        <w:t>Figure 1</w:t>
      </w:r>
      <w:r w:rsidRPr="00753C05">
        <w:t>A, Table</w:t>
      </w:r>
      <w:r w:rsidR="00BC76FE">
        <w:t xml:space="preserve"> </w:t>
      </w:r>
      <w:r w:rsidRPr="00753C05">
        <w:t xml:space="preserve">3), and mated females survived better than cohabiting females (see </w:t>
      </w:r>
      <w:r w:rsidR="00A41A3C">
        <w:t>Figure 1</w:t>
      </w:r>
      <w:r w:rsidRPr="00753C05">
        <w:t>A, Table</w:t>
      </w:r>
      <w:r w:rsidR="00BC76FE">
        <w:t xml:space="preserve"> </w:t>
      </w:r>
      <w:r w:rsidRPr="00753C05">
        <w:t xml:space="preserve">3). For males, the same pattern was true in the </w:t>
      </w:r>
      <w:r w:rsidRPr="00753C05">
        <w:rPr>
          <w:color w:val="000000"/>
        </w:rPr>
        <w:t xml:space="preserve">5-11 and 11-21 day intervals (see </w:t>
      </w:r>
      <w:r w:rsidR="00A41A3C">
        <w:rPr>
          <w:color w:val="000000"/>
        </w:rPr>
        <w:t>Figure 1</w:t>
      </w:r>
      <w:r w:rsidRPr="00753C05">
        <w:rPr>
          <w:color w:val="000000"/>
        </w:rPr>
        <w:t xml:space="preserve">B, Table 3). Even among control (uninfected) females, virgins showed a significantly higher survival than cohabits from day 5-21 and the same was seen with control males (see </w:t>
      </w:r>
      <w:r w:rsidR="00A41A3C">
        <w:rPr>
          <w:color w:val="000000"/>
        </w:rPr>
        <w:t>Figure 1</w:t>
      </w:r>
      <w:r w:rsidRPr="00753C05">
        <w:rPr>
          <w:color w:val="000000"/>
        </w:rPr>
        <w:t xml:space="preserve">B, Table 3). </w:t>
      </w:r>
    </w:p>
    <w:p w14:paraId="0448B52C" w14:textId="39331359" w:rsidR="007C511F" w:rsidRPr="00753C05" w:rsidRDefault="007C511F" w:rsidP="003C5BAF">
      <w:pPr>
        <w:tabs>
          <w:tab w:val="center" w:pos="2070"/>
          <w:tab w:val="center" w:pos="4770"/>
        </w:tabs>
        <w:spacing w:line="480" w:lineRule="auto"/>
        <w:rPr>
          <w:color w:val="000000"/>
        </w:rPr>
      </w:pPr>
    </w:p>
    <w:p w14:paraId="674C6702" w14:textId="701B3D9F" w:rsidR="001C3736" w:rsidRPr="00753C05" w:rsidRDefault="003E3967" w:rsidP="003C5BAF">
      <w:pPr>
        <w:spacing w:line="480" w:lineRule="auto"/>
        <w:rPr>
          <w:bCs/>
          <w:i/>
          <w:color w:val="000000"/>
          <w:u w:val="single"/>
        </w:rPr>
      </w:pPr>
      <w:r w:rsidRPr="00753C05">
        <w:rPr>
          <w:bCs/>
          <w:i/>
          <w:color w:val="000000"/>
          <w:u w:val="single"/>
        </w:rPr>
        <w:t xml:space="preserve">Survival </w:t>
      </w:r>
      <w:r w:rsidR="009F11D6" w:rsidRPr="00753C05">
        <w:rPr>
          <w:bCs/>
          <w:i/>
          <w:color w:val="000000"/>
          <w:u w:val="single"/>
        </w:rPr>
        <w:t xml:space="preserve">After Inoculation with </w:t>
      </w:r>
      <w:r w:rsidRPr="00753C05">
        <w:rPr>
          <w:bCs/>
          <w:i/>
          <w:color w:val="000000"/>
          <w:u w:val="single"/>
        </w:rPr>
        <w:t>B</w:t>
      </w:r>
      <w:r w:rsidR="009F11D6" w:rsidRPr="00753C05">
        <w:rPr>
          <w:bCs/>
          <w:i/>
          <w:color w:val="000000"/>
          <w:u w:val="single"/>
        </w:rPr>
        <w:t xml:space="preserve">. </w:t>
      </w:r>
      <w:proofErr w:type="spellStart"/>
      <w:r w:rsidR="009F11D6" w:rsidRPr="00753C05">
        <w:rPr>
          <w:bCs/>
          <w:i/>
          <w:color w:val="000000"/>
          <w:u w:val="single"/>
        </w:rPr>
        <w:t>Bassiana</w:t>
      </w:r>
      <w:proofErr w:type="spellEnd"/>
      <w:r w:rsidR="009F11D6" w:rsidRPr="00753C05">
        <w:rPr>
          <w:bCs/>
          <w:i/>
          <w:color w:val="000000"/>
          <w:u w:val="single"/>
        </w:rPr>
        <w:t xml:space="preserve"> </w:t>
      </w:r>
      <w:r w:rsidRPr="00753C05">
        <w:rPr>
          <w:bCs/>
          <w:i/>
          <w:color w:val="000000"/>
          <w:u w:val="single"/>
        </w:rPr>
        <w:t xml:space="preserve">ARSEF </w:t>
      </w:r>
      <w:r w:rsidR="009F11D6" w:rsidRPr="00753C05">
        <w:rPr>
          <w:bCs/>
          <w:i/>
          <w:color w:val="000000"/>
          <w:u w:val="single"/>
        </w:rPr>
        <w:t xml:space="preserve">12460 </w:t>
      </w:r>
      <w:r w:rsidR="001C3736" w:rsidRPr="00753C05">
        <w:rPr>
          <w:bCs/>
          <w:i/>
          <w:color w:val="000000"/>
          <w:u w:val="single"/>
        </w:rPr>
        <w:t xml:space="preserve">Is </w:t>
      </w:r>
      <w:r w:rsidR="009F11D6" w:rsidRPr="00753C05">
        <w:rPr>
          <w:bCs/>
          <w:i/>
          <w:color w:val="000000"/>
          <w:u w:val="single"/>
        </w:rPr>
        <w:t>Sexually Dimorphic, but the Direction of the Dimorphism Depends on Mating Status</w:t>
      </w:r>
    </w:p>
    <w:p w14:paraId="4BA93BE8" w14:textId="09484F51" w:rsidR="003E3967" w:rsidRPr="00753C05" w:rsidRDefault="003E3967" w:rsidP="003C5BAF">
      <w:pPr>
        <w:spacing w:line="480" w:lineRule="auto"/>
        <w:ind w:firstLine="720"/>
        <w:rPr>
          <w:color w:val="000000"/>
        </w:rPr>
      </w:pPr>
      <w:r w:rsidRPr="00753C05">
        <w:rPr>
          <w:color w:val="000000"/>
        </w:rPr>
        <w:t>There was a sexual dimorphism observed in all three mating statuses. Among infected cohabiting flies, females showed a better survival than males (</w:t>
      </w:r>
      <w:r w:rsidRPr="00753C05">
        <w:rPr>
          <w:i/>
          <w:color w:val="000000"/>
        </w:rPr>
        <w:t>p</w:t>
      </w:r>
      <w:r w:rsidRPr="00753C05">
        <w:rPr>
          <w:color w:val="000000"/>
        </w:rPr>
        <w:t>-value</w:t>
      </w:r>
      <w:r w:rsidR="00F83338" w:rsidRPr="00753C05">
        <w:rPr>
          <w:color w:val="000000"/>
        </w:rPr>
        <w:t> = </w:t>
      </w:r>
      <w:r w:rsidRPr="00753C05">
        <w:rPr>
          <w:color w:val="000000"/>
        </w:rPr>
        <w:t xml:space="preserve">0.013, </w:t>
      </w:r>
      <w:r w:rsidR="002B233F" w:rsidRPr="00753C05">
        <w:rPr>
          <w:color w:val="000000"/>
        </w:rPr>
        <w:t xml:space="preserve">see </w:t>
      </w:r>
      <w:r w:rsidR="00A41A3C">
        <w:rPr>
          <w:color w:val="000000"/>
        </w:rPr>
        <w:t>Figure 3</w:t>
      </w:r>
      <w:r w:rsidR="00AF5A58" w:rsidRPr="00753C05">
        <w:rPr>
          <w:color w:val="000000"/>
        </w:rPr>
        <w:t>A</w:t>
      </w:r>
      <w:r w:rsidRPr="00753C05">
        <w:rPr>
          <w:color w:val="000000"/>
        </w:rPr>
        <w:t xml:space="preserve">, </w:t>
      </w:r>
      <w:r w:rsidR="00BC76FE">
        <w:rPr>
          <w:color w:val="000000"/>
        </w:rPr>
        <w:t>Table 4</w:t>
      </w:r>
      <w:r w:rsidRPr="00753C05">
        <w:rPr>
          <w:color w:val="000000"/>
        </w:rPr>
        <w:t>). The same trend was observed in virgins where males were more susceptible to fungal inoculation than females (</w:t>
      </w:r>
      <w:r w:rsidRPr="00753C05">
        <w:rPr>
          <w:i/>
          <w:color w:val="000000"/>
        </w:rPr>
        <w:t>p</w:t>
      </w:r>
      <w:r w:rsidRPr="00753C05">
        <w:rPr>
          <w:color w:val="000000"/>
        </w:rPr>
        <w:t>-value</w:t>
      </w:r>
      <w:r w:rsidR="00F83338" w:rsidRPr="00753C05">
        <w:rPr>
          <w:color w:val="000000"/>
        </w:rPr>
        <w:t> = </w:t>
      </w:r>
      <w:r w:rsidRPr="00753C05">
        <w:rPr>
          <w:color w:val="000000"/>
        </w:rPr>
        <w:t>0.0016,</w:t>
      </w:r>
      <w:r w:rsidR="002B233F" w:rsidRPr="00753C05">
        <w:rPr>
          <w:color w:val="000000"/>
        </w:rPr>
        <w:t xml:space="preserve"> see</w:t>
      </w:r>
      <w:r w:rsidRPr="00753C05">
        <w:rPr>
          <w:color w:val="000000"/>
        </w:rPr>
        <w:t xml:space="preserve"> </w:t>
      </w:r>
      <w:r w:rsidR="00A41A3C">
        <w:rPr>
          <w:color w:val="000000"/>
        </w:rPr>
        <w:t>Figure 3</w:t>
      </w:r>
      <w:r w:rsidR="00AF5A58" w:rsidRPr="00753C05">
        <w:rPr>
          <w:color w:val="000000"/>
        </w:rPr>
        <w:t>B</w:t>
      </w:r>
      <w:r w:rsidRPr="00753C05">
        <w:rPr>
          <w:color w:val="000000"/>
        </w:rPr>
        <w:t xml:space="preserve">, </w:t>
      </w:r>
      <w:r w:rsidR="00BC76FE">
        <w:rPr>
          <w:color w:val="000000"/>
        </w:rPr>
        <w:t>Table 4</w:t>
      </w:r>
      <w:r w:rsidRPr="00753C05">
        <w:rPr>
          <w:color w:val="000000"/>
        </w:rPr>
        <w:t>). The trend was reversed in mated flies, where the males survived better than females (</w:t>
      </w:r>
      <w:r w:rsidRPr="00753C05">
        <w:rPr>
          <w:i/>
          <w:color w:val="000000"/>
        </w:rPr>
        <w:t>p</w:t>
      </w:r>
      <w:r w:rsidRPr="00753C05">
        <w:rPr>
          <w:color w:val="000000"/>
        </w:rPr>
        <w:t>-value</w:t>
      </w:r>
      <w:r w:rsidR="00F83338" w:rsidRPr="00753C05">
        <w:rPr>
          <w:color w:val="000000"/>
        </w:rPr>
        <w:t> = </w:t>
      </w:r>
      <w:r w:rsidRPr="00753C05">
        <w:rPr>
          <w:color w:val="000000"/>
        </w:rPr>
        <w:t xml:space="preserve">0.0084; </w:t>
      </w:r>
      <w:r w:rsidR="002B233F" w:rsidRPr="00753C05">
        <w:rPr>
          <w:color w:val="000000"/>
        </w:rPr>
        <w:t xml:space="preserve">see </w:t>
      </w:r>
      <w:r w:rsidR="00A41A3C">
        <w:rPr>
          <w:color w:val="000000"/>
        </w:rPr>
        <w:t>Figure 3</w:t>
      </w:r>
      <w:r w:rsidRPr="00753C05">
        <w:rPr>
          <w:color w:val="000000"/>
        </w:rPr>
        <w:t xml:space="preserve">C, </w:t>
      </w:r>
      <w:r w:rsidR="00BC76FE">
        <w:rPr>
          <w:color w:val="000000"/>
        </w:rPr>
        <w:t>Table 4</w:t>
      </w:r>
      <w:r w:rsidRPr="00753C05">
        <w:rPr>
          <w:color w:val="000000"/>
        </w:rPr>
        <w:t xml:space="preserve">). </w:t>
      </w:r>
    </w:p>
    <w:p w14:paraId="5C5BD2AE" w14:textId="77777777" w:rsidR="002B233F" w:rsidRPr="00753C05" w:rsidRDefault="002B233F" w:rsidP="003C5BAF">
      <w:pPr>
        <w:spacing w:line="480" w:lineRule="auto"/>
      </w:pPr>
    </w:p>
    <w:p w14:paraId="68D6003A" w14:textId="465509FB" w:rsidR="003E3967" w:rsidRPr="00753C05" w:rsidRDefault="003E3967" w:rsidP="003C5BAF">
      <w:pPr>
        <w:keepNext/>
        <w:spacing w:line="480" w:lineRule="auto"/>
        <w:rPr>
          <w:i/>
          <w:color w:val="000000"/>
        </w:rPr>
      </w:pPr>
      <w:r w:rsidRPr="00753C05">
        <w:rPr>
          <w:bCs/>
          <w:i/>
          <w:color w:val="000000"/>
          <w:u w:val="single"/>
        </w:rPr>
        <w:lastRenderedPageBreak/>
        <w:t xml:space="preserve">Reproductive </w:t>
      </w:r>
      <w:r w:rsidR="009F11D6" w:rsidRPr="00753C05">
        <w:rPr>
          <w:bCs/>
          <w:i/>
          <w:color w:val="000000"/>
          <w:u w:val="single"/>
        </w:rPr>
        <w:t>Output was Affected by Infection and Mating</w:t>
      </w:r>
      <w:r w:rsidR="009F11D6" w:rsidRPr="00753C05">
        <w:rPr>
          <w:i/>
          <w:color w:val="000000"/>
        </w:rPr>
        <w:t xml:space="preserve"> </w:t>
      </w:r>
    </w:p>
    <w:p w14:paraId="38444645" w14:textId="29DE3567" w:rsidR="004870F9" w:rsidRPr="00753C05" w:rsidRDefault="003E3967" w:rsidP="003C5BAF">
      <w:pPr>
        <w:spacing w:line="480" w:lineRule="auto"/>
        <w:ind w:firstLine="720"/>
        <w:rPr>
          <w:color w:val="000000"/>
        </w:rPr>
      </w:pPr>
      <w:r w:rsidRPr="00753C05">
        <w:rPr>
          <w:color w:val="000000"/>
        </w:rPr>
        <w:t>Mated and cohabiting females had offspring counts that declined with age over the span of 21 days post inoculation (</w:t>
      </w:r>
      <w:r w:rsidR="008E5E84" w:rsidRPr="00753C05">
        <w:rPr>
          <w:color w:val="000000"/>
        </w:rPr>
        <w:t xml:space="preserve">see </w:t>
      </w:r>
      <w:r w:rsidR="00A41A3C">
        <w:rPr>
          <w:color w:val="000000"/>
        </w:rPr>
        <w:t>Figure 4</w:t>
      </w:r>
      <w:r w:rsidRPr="00753C05">
        <w:rPr>
          <w:color w:val="000000"/>
        </w:rPr>
        <w:t xml:space="preserve">A). The </w:t>
      </w:r>
      <w:r w:rsidRPr="00753C05">
        <w:rPr>
          <w:i/>
          <w:color w:val="000000"/>
        </w:rPr>
        <w:t>p</w:t>
      </w:r>
      <w:r w:rsidRPr="00753C05">
        <w:rPr>
          <w:color w:val="000000"/>
        </w:rPr>
        <w:t>-value of &lt;0.0001 in the interaction between days and treatment (</w:t>
      </w:r>
      <w:r w:rsidR="008E5E84" w:rsidRPr="00753C05">
        <w:rPr>
          <w:color w:val="000000"/>
        </w:rPr>
        <w:t xml:space="preserve">see </w:t>
      </w:r>
      <w:r w:rsidR="00BC76FE">
        <w:rPr>
          <w:color w:val="000000"/>
        </w:rPr>
        <w:t>Table 5</w:t>
      </w:r>
      <w:r w:rsidRPr="00753C05">
        <w:rPr>
          <w:color w:val="000000"/>
        </w:rPr>
        <w:t>) indicates that, as the flies age, the fungal groups showed a lower offspring counts than the controls (</w:t>
      </w:r>
      <w:r w:rsidR="008E5E84" w:rsidRPr="00753C05">
        <w:rPr>
          <w:color w:val="000000"/>
        </w:rPr>
        <w:t xml:space="preserve">see </w:t>
      </w:r>
      <w:r w:rsidR="00A41A3C">
        <w:rPr>
          <w:color w:val="000000"/>
        </w:rPr>
        <w:t>Figure 4</w:t>
      </w:r>
      <w:r w:rsidRPr="00753C05">
        <w:rPr>
          <w:color w:val="000000"/>
        </w:rPr>
        <w:t>A). Females that cohabited with males laid more eggs than females that mated only for one day in control groups but not in the fungal inoculated groups (</w:t>
      </w:r>
      <w:r w:rsidR="008E5E84" w:rsidRPr="00753C05">
        <w:rPr>
          <w:color w:val="000000"/>
        </w:rPr>
        <w:t xml:space="preserve">see </w:t>
      </w:r>
      <w:r w:rsidR="00A41A3C">
        <w:rPr>
          <w:color w:val="000000"/>
        </w:rPr>
        <w:t>Figure 4</w:t>
      </w:r>
      <w:r w:rsidRPr="00753C05">
        <w:rPr>
          <w:color w:val="000000"/>
        </w:rPr>
        <w:t xml:space="preserve">A). </w:t>
      </w:r>
    </w:p>
    <w:p w14:paraId="376E90AF" w14:textId="6EDCB37C" w:rsidR="008E5E84" w:rsidRPr="00753C05" w:rsidRDefault="008E5E84" w:rsidP="003C5BAF">
      <w:pPr>
        <w:spacing w:line="480" w:lineRule="auto"/>
        <w:rPr>
          <w:color w:val="000000"/>
        </w:rPr>
      </w:pPr>
    </w:p>
    <w:p w14:paraId="3D4A1C43" w14:textId="6017EC07" w:rsidR="00B0150A" w:rsidRPr="00753C05" w:rsidRDefault="003E3967" w:rsidP="003C5BAF">
      <w:pPr>
        <w:spacing w:line="480" w:lineRule="auto"/>
        <w:rPr>
          <w:bCs/>
          <w:i/>
          <w:color w:val="000000"/>
          <w:u w:val="single"/>
        </w:rPr>
      </w:pPr>
      <w:r w:rsidRPr="00753C05">
        <w:rPr>
          <w:bCs/>
          <w:i/>
          <w:color w:val="000000"/>
          <w:u w:val="single"/>
        </w:rPr>
        <w:t xml:space="preserve">Survival </w:t>
      </w:r>
      <w:r w:rsidR="009F11D6" w:rsidRPr="00753C05">
        <w:rPr>
          <w:bCs/>
          <w:i/>
          <w:color w:val="000000"/>
          <w:u w:val="single"/>
        </w:rPr>
        <w:t xml:space="preserve">After Inoculation with </w:t>
      </w:r>
      <w:r w:rsidRPr="00753C05">
        <w:rPr>
          <w:bCs/>
          <w:i/>
          <w:color w:val="000000"/>
          <w:u w:val="single"/>
        </w:rPr>
        <w:t>B</w:t>
      </w:r>
      <w:r w:rsidR="009F11D6" w:rsidRPr="00753C05">
        <w:rPr>
          <w:bCs/>
          <w:i/>
          <w:color w:val="000000"/>
          <w:u w:val="single"/>
        </w:rPr>
        <w:t xml:space="preserve">. </w:t>
      </w:r>
      <w:proofErr w:type="spellStart"/>
      <w:r w:rsidR="009F11D6" w:rsidRPr="00753C05">
        <w:rPr>
          <w:bCs/>
          <w:i/>
          <w:color w:val="000000"/>
          <w:u w:val="single"/>
        </w:rPr>
        <w:t>Bassiana</w:t>
      </w:r>
      <w:proofErr w:type="spellEnd"/>
      <w:r w:rsidR="009F11D6" w:rsidRPr="00753C05">
        <w:rPr>
          <w:bCs/>
          <w:i/>
          <w:color w:val="000000"/>
          <w:u w:val="single"/>
        </w:rPr>
        <w:t xml:space="preserve"> </w:t>
      </w:r>
      <w:r w:rsidRPr="00753C05">
        <w:rPr>
          <w:bCs/>
          <w:i/>
          <w:color w:val="000000"/>
          <w:u w:val="single"/>
        </w:rPr>
        <w:t xml:space="preserve">GHA </w:t>
      </w:r>
      <w:r w:rsidR="009F11D6" w:rsidRPr="00753C05">
        <w:rPr>
          <w:bCs/>
          <w:i/>
          <w:color w:val="000000"/>
          <w:u w:val="single"/>
        </w:rPr>
        <w:t>is Sexually Dimorphic, but only for the First Few Days After Inoculation</w:t>
      </w:r>
    </w:p>
    <w:p w14:paraId="40C9B04F" w14:textId="094BD86F" w:rsidR="003E3967" w:rsidRDefault="003E3967" w:rsidP="003C5BAF">
      <w:pPr>
        <w:spacing w:line="480" w:lineRule="auto"/>
        <w:ind w:firstLine="720"/>
        <w:rPr>
          <w:color w:val="000000"/>
        </w:rPr>
      </w:pPr>
      <w:proofErr w:type="spellStart"/>
      <w:r w:rsidRPr="00753C05">
        <w:rPr>
          <w:color w:val="000000"/>
        </w:rPr>
        <w:t>Shahrestani</w:t>
      </w:r>
      <w:proofErr w:type="spellEnd"/>
      <w:r w:rsidRPr="00753C05">
        <w:rPr>
          <w:color w:val="000000"/>
        </w:rPr>
        <w:t xml:space="preserve"> et al.</w:t>
      </w:r>
      <w:r w:rsidR="009E1A83" w:rsidRPr="00753C05">
        <w:rPr>
          <w:color w:val="000000"/>
        </w:rPr>
        <w:t xml:space="preserve"> </w:t>
      </w:r>
      <w:r w:rsidR="00DD24A3" w:rsidRPr="00753C05">
        <w:rPr>
          <w:color w:val="000000"/>
        </w:rPr>
        <w:t xml:space="preserve">(2018) </w:t>
      </w:r>
      <w:r w:rsidRPr="00753C05">
        <w:rPr>
          <w:color w:val="000000"/>
        </w:rPr>
        <w:t xml:space="preserve">reported that when </w:t>
      </w:r>
      <w:r w:rsidRPr="00753C05">
        <w:rPr>
          <w:i/>
          <w:color w:val="000000"/>
        </w:rPr>
        <w:t>D. melanogaster</w:t>
      </w:r>
      <w:r w:rsidRPr="00753C05">
        <w:rPr>
          <w:color w:val="000000"/>
        </w:rPr>
        <w:t xml:space="preserve"> Population C3 (same outbred population used here) was inoculated with GHA under cohabiting conditions, males survived better than females in the ten days post-inoculation observed in their study. Replicating their study, we found that after inoculation with GHA, males survived better than females for 12 days, after which male and female survival converged for the remainder of our 21-day study (</w:t>
      </w:r>
      <w:r w:rsidR="00CF426E" w:rsidRPr="00753C05">
        <w:rPr>
          <w:color w:val="000000"/>
        </w:rPr>
        <w:t xml:space="preserve">see </w:t>
      </w:r>
      <w:r w:rsidR="000560CF">
        <w:rPr>
          <w:color w:val="000000"/>
        </w:rPr>
        <w:t>Figure 5</w:t>
      </w:r>
      <w:r w:rsidRPr="00753C05">
        <w:rPr>
          <w:color w:val="000000"/>
        </w:rPr>
        <w:t xml:space="preserve">, </w:t>
      </w:r>
      <w:r w:rsidR="00BC76FE">
        <w:rPr>
          <w:color w:val="000000"/>
        </w:rPr>
        <w:t>Table 6</w:t>
      </w:r>
      <w:r w:rsidRPr="00753C05">
        <w:rPr>
          <w:color w:val="000000"/>
        </w:rPr>
        <w:t xml:space="preserve">). </w:t>
      </w:r>
    </w:p>
    <w:p w14:paraId="3DBAD358" w14:textId="0E545EDF" w:rsidR="00823EC3" w:rsidRDefault="00823EC3" w:rsidP="003C5BAF">
      <w:pPr>
        <w:spacing w:line="480" w:lineRule="auto"/>
        <w:ind w:firstLine="720"/>
        <w:rPr>
          <w:color w:val="000000"/>
        </w:rPr>
      </w:pPr>
    </w:p>
    <w:p w14:paraId="55C83CB2" w14:textId="5B648D57" w:rsidR="00823EC3" w:rsidRDefault="00823EC3" w:rsidP="003C5BAF">
      <w:pPr>
        <w:spacing w:line="480" w:lineRule="auto"/>
        <w:ind w:firstLine="720"/>
        <w:rPr>
          <w:color w:val="000000"/>
        </w:rPr>
      </w:pPr>
      <w:r>
        <w:rPr>
          <w:color w:val="000000"/>
        </w:rPr>
        <w:t>Key summary point of the diet change experiment</w:t>
      </w:r>
    </w:p>
    <w:p w14:paraId="6FD39557" w14:textId="77777777" w:rsidR="00823EC3" w:rsidRPr="009E06F2" w:rsidRDefault="00823EC3" w:rsidP="00823EC3">
      <w:pPr>
        <w:spacing w:line="480" w:lineRule="auto"/>
        <w:ind w:firstLine="720"/>
        <w:rPr>
          <w:rFonts w:eastAsia="Calibri"/>
        </w:rPr>
      </w:pPr>
      <w:r w:rsidRPr="009E06F2">
        <w:rPr>
          <w:rFonts w:eastAsia="Calibri"/>
        </w:rPr>
        <w:t xml:space="preserve">Control males and females showed a higher survival than the fungal inoculated males and females in all dietary conditions (see Figure 2.1). The flies that were fed with cornmeal diet before and after the spray showed a lower survival in fungal infected males (see Figure 2.1A, Table 2.3) and females (see Figure 2.1B, Table 2.3) compared to the fungal infected flies on other diets. Flies that were fed with cornmeal before spray and </w:t>
      </w:r>
      <w:r w:rsidRPr="009E06F2">
        <w:rPr>
          <w:rFonts w:eastAsia="Calibri"/>
        </w:rPr>
        <w:lastRenderedPageBreak/>
        <w:t>cornmeal + yeast after spray showed a rescue in survival in both males and females (see Figure 2.2, Table 2.4A). However, flies fed with cornmeal+ yeast before spray and cornmeal after spray showed the opposite results where the mortality rate increased (see Figure 2.2, Table 2.4B). Glucose and cornmeal + yeast diets given before and after the spray showed the highest survival rates (see Figure 2.2, Table 2.4C). There was a sexual dimorphism seen in all the dietary conditions where males survived better than females in fungal treatment (see Figure 2.2, Table 2.4).</w:t>
      </w:r>
    </w:p>
    <w:p w14:paraId="6306085F" w14:textId="77777777" w:rsidR="00823EC3" w:rsidRPr="009E06F2" w:rsidRDefault="00823EC3" w:rsidP="00823EC3">
      <w:pPr>
        <w:widowControl w:val="0"/>
        <w:rPr>
          <w:rFonts w:eastAsia="Calibri"/>
        </w:rPr>
      </w:pPr>
    </w:p>
    <w:p w14:paraId="04F1B089" w14:textId="71C1127D" w:rsidR="00823EC3" w:rsidRDefault="00823EC3" w:rsidP="003C5BAF">
      <w:pPr>
        <w:spacing w:line="480" w:lineRule="auto"/>
        <w:ind w:firstLine="720"/>
        <w:rPr>
          <w:color w:val="000000"/>
        </w:rPr>
      </w:pPr>
      <w:r>
        <w:rPr>
          <w:color w:val="000000"/>
        </w:rPr>
        <w:t xml:space="preserve">Key summary point of the diet switch experiment </w:t>
      </w:r>
    </w:p>
    <w:p w14:paraId="2E5B7764" w14:textId="15DE813C" w:rsidR="00823EC3" w:rsidRPr="009E06F2" w:rsidRDefault="00823EC3" w:rsidP="00C94614">
      <w:pPr>
        <w:widowControl w:val="0"/>
        <w:spacing w:line="480" w:lineRule="auto"/>
        <w:rPr>
          <w:rFonts w:eastAsia="Calibri"/>
        </w:rPr>
      </w:pPr>
      <w:r w:rsidRPr="009E06F2">
        <w:rPr>
          <w:rFonts w:eastAsia="Calibri"/>
        </w:rPr>
        <w:tab/>
        <w:t xml:space="preserve">The results from experiment 1 show that flies on a glucose diet, performed better than those on cornmeal. For the second experiment, we chose to </w:t>
      </w:r>
      <w:proofErr w:type="gramStart"/>
      <w:r w:rsidRPr="009E06F2">
        <w:rPr>
          <w:rFonts w:eastAsia="Calibri"/>
        </w:rPr>
        <w:t>compares</w:t>
      </w:r>
      <w:proofErr w:type="gramEnd"/>
      <w:r w:rsidRPr="009E06F2">
        <w:rPr>
          <w:rFonts w:eastAsia="Calibri"/>
        </w:rPr>
        <w:t xml:space="preserve"> the effects of a diet switch with respect to the survival of both noninfected and infected flies. The results show that when diets switched from cornmeal to glucose, the survival presented a less negative outcome. </w:t>
      </w:r>
    </w:p>
    <w:p w14:paraId="06000389" w14:textId="77777777" w:rsidR="00823EC3" w:rsidRPr="009E06F2" w:rsidRDefault="00823EC3" w:rsidP="00823EC3">
      <w:pPr>
        <w:widowControl w:val="0"/>
        <w:rPr>
          <w:rFonts w:eastAsia="Calibri"/>
        </w:rPr>
      </w:pPr>
    </w:p>
    <w:p w14:paraId="541509B5" w14:textId="77777777" w:rsidR="00823EC3" w:rsidRPr="009E06F2" w:rsidRDefault="00823EC3" w:rsidP="00823EC3">
      <w:pPr>
        <w:widowControl w:val="0"/>
        <w:rPr>
          <w:rFonts w:eastAsia="Calibri"/>
        </w:rPr>
      </w:pPr>
    </w:p>
    <w:p w14:paraId="46223501" w14:textId="77777777" w:rsidR="00823EC3" w:rsidRPr="009E06F2" w:rsidRDefault="00823EC3" w:rsidP="00823EC3">
      <w:pPr>
        <w:widowControl w:val="0"/>
        <w:rPr>
          <w:rFonts w:eastAsia="Calibri"/>
        </w:rPr>
      </w:pPr>
    </w:p>
    <w:p w14:paraId="29582F72" w14:textId="77777777" w:rsidR="00823EC3" w:rsidRPr="009E06F2" w:rsidRDefault="00823EC3" w:rsidP="00823EC3">
      <w:pPr>
        <w:widowControl w:val="0"/>
        <w:rPr>
          <w:rFonts w:eastAsia="Calibri"/>
        </w:rPr>
      </w:pPr>
    </w:p>
    <w:p w14:paraId="3720F837" w14:textId="77777777" w:rsidR="00823EC3" w:rsidRPr="009E06F2" w:rsidRDefault="00823EC3" w:rsidP="00823EC3">
      <w:pPr>
        <w:widowControl w:val="0"/>
        <w:rPr>
          <w:rFonts w:eastAsia="Calibri"/>
        </w:rPr>
      </w:pPr>
    </w:p>
    <w:p w14:paraId="16EF3415" w14:textId="513B432D" w:rsidR="00823EC3" w:rsidRDefault="00823EC3" w:rsidP="003C5BAF">
      <w:pPr>
        <w:spacing w:line="480" w:lineRule="auto"/>
        <w:ind w:firstLine="720"/>
        <w:rPr>
          <w:color w:val="000000"/>
        </w:rPr>
      </w:pPr>
    </w:p>
    <w:p w14:paraId="698CF960" w14:textId="6591291F" w:rsidR="00823EC3" w:rsidRDefault="00823EC3" w:rsidP="003C5BAF">
      <w:pPr>
        <w:spacing w:line="480" w:lineRule="auto"/>
        <w:ind w:firstLine="720"/>
        <w:rPr>
          <w:color w:val="000000"/>
        </w:rPr>
      </w:pPr>
      <w:r>
        <w:rPr>
          <w:color w:val="000000"/>
        </w:rPr>
        <w:t>Key summary points of the yeast experiment</w:t>
      </w:r>
    </w:p>
    <w:p w14:paraId="1D63C7AF" w14:textId="77777777" w:rsidR="00823EC3" w:rsidRPr="009E06F2" w:rsidRDefault="00823EC3" w:rsidP="00823EC3">
      <w:pPr>
        <w:widowControl w:val="0"/>
        <w:spacing w:line="480" w:lineRule="auto"/>
        <w:rPr>
          <w:rFonts w:eastAsia="Calibri"/>
        </w:rPr>
      </w:pPr>
      <w:r w:rsidRPr="009E06F2">
        <w:rPr>
          <w:rFonts w:eastAsia="Calibri"/>
        </w:rPr>
        <w:tab/>
        <w:t xml:space="preserve">The results from experiment 2 show that flies on a cornmeal and yeast diet, demonstrated a less negative survival to those solely bred on cornmeal. The results were </w:t>
      </w:r>
      <w:proofErr w:type="gramStart"/>
      <w:r w:rsidRPr="009E06F2">
        <w:rPr>
          <w:rFonts w:eastAsia="Calibri"/>
        </w:rPr>
        <w:t>similar to</w:t>
      </w:r>
      <w:proofErr w:type="gramEnd"/>
      <w:r w:rsidRPr="009E06F2">
        <w:rPr>
          <w:rFonts w:eastAsia="Calibri"/>
        </w:rPr>
        <w:t xml:space="preserve"> that of glucose. Therefore, experiment 3 tested the variation of yeast supplementation for both infected and uninfected flies. The results show that diets with a greater yeast supplementation made from either 1.0 g or 1.5 g presented a less negative </w:t>
      </w:r>
      <w:r w:rsidRPr="009E06F2">
        <w:rPr>
          <w:rFonts w:eastAsia="Calibri"/>
        </w:rPr>
        <w:lastRenderedPageBreak/>
        <w:t xml:space="preserve">outcome. </w:t>
      </w:r>
    </w:p>
    <w:p w14:paraId="022C77C0" w14:textId="77777777" w:rsidR="00823EC3" w:rsidRPr="009E06F2" w:rsidRDefault="00823EC3" w:rsidP="00823EC3">
      <w:pPr>
        <w:widowControl w:val="0"/>
        <w:rPr>
          <w:rFonts w:eastAsia="Calibri"/>
        </w:rPr>
      </w:pPr>
    </w:p>
    <w:p w14:paraId="7EFABEA3" w14:textId="77777777" w:rsidR="00823EC3" w:rsidRPr="009E06F2" w:rsidRDefault="00823EC3" w:rsidP="00823EC3">
      <w:pPr>
        <w:widowControl w:val="0"/>
        <w:rPr>
          <w:rFonts w:eastAsia="Calibri"/>
        </w:rPr>
      </w:pPr>
    </w:p>
    <w:p w14:paraId="747074C4" w14:textId="77777777" w:rsidR="00823EC3" w:rsidRPr="009E06F2" w:rsidRDefault="00823EC3" w:rsidP="00823EC3">
      <w:pPr>
        <w:widowControl w:val="0"/>
        <w:rPr>
          <w:rFonts w:eastAsia="Calibri"/>
        </w:rPr>
      </w:pPr>
    </w:p>
    <w:p w14:paraId="0CE389CB" w14:textId="77777777" w:rsidR="00823EC3" w:rsidRPr="00753C05" w:rsidRDefault="00823EC3" w:rsidP="003C5BAF">
      <w:pPr>
        <w:spacing w:line="480" w:lineRule="auto"/>
        <w:ind w:firstLine="720"/>
        <w:rPr>
          <w:color w:val="000000"/>
        </w:rPr>
      </w:pPr>
    </w:p>
    <w:p w14:paraId="0107623E" w14:textId="06616E08" w:rsidR="008E5E84" w:rsidRPr="00753C05" w:rsidRDefault="00EF726B" w:rsidP="003C5BAF">
      <w:pPr>
        <w:spacing w:line="480" w:lineRule="auto"/>
        <w:rPr>
          <w:b/>
          <w:bCs/>
          <w:color w:val="000000"/>
        </w:rPr>
      </w:pPr>
      <w:r>
        <w:rPr>
          <w:color w:val="000000"/>
        </w:rPr>
        <w:br w:type="page"/>
      </w:r>
    </w:p>
    <w:p w14:paraId="3281BFEF" w14:textId="77777777" w:rsidR="003E3967" w:rsidRPr="00753C05" w:rsidRDefault="003E3967" w:rsidP="003C5BAF">
      <w:pPr>
        <w:spacing w:line="480" w:lineRule="auto"/>
        <w:jc w:val="center"/>
        <w:rPr>
          <w:b/>
        </w:rPr>
      </w:pPr>
      <w:r w:rsidRPr="00753C05">
        <w:rPr>
          <w:b/>
          <w:bCs/>
          <w:color w:val="000000"/>
        </w:rPr>
        <w:lastRenderedPageBreak/>
        <w:t>Discussion</w:t>
      </w:r>
    </w:p>
    <w:p w14:paraId="36AD1156" w14:textId="0E348181" w:rsidR="003E3967" w:rsidRPr="00753C05" w:rsidRDefault="003E3967" w:rsidP="003C5BAF">
      <w:pPr>
        <w:spacing w:line="480" w:lineRule="auto"/>
        <w:ind w:firstLine="720"/>
        <w:rPr>
          <w:color w:val="000000"/>
        </w:rPr>
      </w:pPr>
      <w:proofErr w:type="spellStart"/>
      <w:r w:rsidRPr="00753C05">
        <w:rPr>
          <w:color w:val="000000"/>
        </w:rPr>
        <w:t>Shahrestani</w:t>
      </w:r>
      <w:proofErr w:type="spellEnd"/>
      <w:r w:rsidRPr="00753C05">
        <w:rPr>
          <w:color w:val="000000"/>
        </w:rPr>
        <w:t xml:space="preserve"> et.al</w:t>
      </w:r>
      <w:r w:rsidR="00AE29F9" w:rsidRPr="00753C05">
        <w:rPr>
          <w:color w:val="000000"/>
        </w:rPr>
        <w:t>.</w:t>
      </w:r>
      <w:r w:rsidRPr="00753C05">
        <w:rPr>
          <w:color w:val="000000"/>
        </w:rPr>
        <w:t xml:space="preserve"> </w:t>
      </w:r>
      <w:r w:rsidR="0049577A" w:rsidRPr="00753C05">
        <w:rPr>
          <w:color w:val="000000"/>
        </w:rPr>
        <w:t xml:space="preserve">(2018) </w:t>
      </w:r>
      <w:r w:rsidRPr="00753C05">
        <w:rPr>
          <w:color w:val="000000"/>
        </w:rPr>
        <w:t xml:space="preserve">found that </w:t>
      </w:r>
      <w:r w:rsidRPr="00753C05">
        <w:rPr>
          <w:i/>
          <w:color w:val="000000"/>
        </w:rPr>
        <w:t>D. melanogaster</w:t>
      </w:r>
      <w:r w:rsidRPr="00753C05">
        <w:rPr>
          <w:color w:val="000000"/>
        </w:rPr>
        <w:t xml:space="preserve"> females from the outbred population C3 were more susceptible than males in the ten days following inoculation with </w:t>
      </w:r>
      <w:r w:rsidRPr="00753C05">
        <w:rPr>
          <w:i/>
          <w:color w:val="000000"/>
        </w:rPr>
        <w:t xml:space="preserve">B. </w:t>
      </w:r>
      <w:proofErr w:type="spellStart"/>
      <w:r w:rsidRPr="00753C05">
        <w:rPr>
          <w:i/>
          <w:color w:val="000000"/>
        </w:rPr>
        <w:t>bassiana</w:t>
      </w:r>
      <w:proofErr w:type="spellEnd"/>
      <w:r w:rsidRPr="00753C05">
        <w:rPr>
          <w:color w:val="000000"/>
        </w:rPr>
        <w:t xml:space="preserve"> strain GHA, under cohabiting conditions. To expand further on this result, we repeated this work but followed survival for 21 days post inoculation. While we replicated the results of </w:t>
      </w:r>
      <w:proofErr w:type="spellStart"/>
      <w:r w:rsidRPr="00753C05">
        <w:rPr>
          <w:color w:val="000000"/>
        </w:rPr>
        <w:t>Shahrestani</w:t>
      </w:r>
      <w:proofErr w:type="spellEnd"/>
      <w:r w:rsidRPr="00753C05">
        <w:rPr>
          <w:color w:val="000000"/>
        </w:rPr>
        <w:t xml:space="preserve"> et al</w:t>
      </w:r>
      <w:r w:rsidR="00AE29F9" w:rsidRPr="00753C05">
        <w:rPr>
          <w:color w:val="000000"/>
        </w:rPr>
        <w:t>.</w:t>
      </w:r>
      <w:r w:rsidR="0049577A" w:rsidRPr="00753C05">
        <w:rPr>
          <w:color w:val="000000"/>
        </w:rPr>
        <w:t xml:space="preserve"> (2018)</w:t>
      </w:r>
      <w:r w:rsidR="009E1A83" w:rsidRPr="00753C05">
        <w:rPr>
          <w:color w:val="000000"/>
        </w:rPr>
        <w:t xml:space="preserve"> </w:t>
      </w:r>
      <w:r w:rsidRPr="00753C05">
        <w:rPr>
          <w:color w:val="000000"/>
        </w:rPr>
        <w:t xml:space="preserve">we additionally found that with this fungal pathogen, sexual dimorphism in defense began to disappear around 12 days post inoculation, such that cohabiting females and males had the same probability of survival from days 12-21 post inoculation. We next tested an additional </w:t>
      </w:r>
      <w:r w:rsidRPr="00753C05">
        <w:rPr>
          <w:i/>
          <w:color w:val="000000"/>
        </w:rPr>
        <w:t xml:space="preserve">B. </w:t>
      </w:r>
      <w:proofErr w:type="spellStart"/>
      <w:r w:rsidRPr="00753C05">
        <w:rPr>
          <w:i/>
          <w:color w:val="000000"/>
        </w:rPr>
        <w:t>bassiana</w:t>
      </w:r>
      <w:proofErr w:type="spellEnd"/>
      <w:r w:rsidRPr="00753C05">
        <w:rPr>
          <w:color w:val="000000"/>
        </w:rPr>
        <w:t xml:space="preserve"> strain, ARSEF 12460, that was shown to also result in sexual dimorphism in defense in </w:t>
      </w:r>
      <w:proofErr w:type="spellStart"/>
      <w:r w:rsidRPr="00753C05">
        <w:rPr>
          <w:color w:val="000000"/>
        </w:rPr>
        <w:t>Shahrestani</w:t>
      </w:r>
      <w:proofErr w:type="spellEnd"/>
      <w:r w:rsidRPr="00753C05">
        <w:rPr>
          <w:color w:val="000000"/>
        </w:rPr>
        <w:t xml:space="preserve"> et al</w:t>
      </w:r>
      <w:r w:rsidR="00AE29F9" w:rsidRPr="00753C05">
        <w:rPr>
          <w:color w:val="000000"/>
        </w:rPr>
        <w:t>.</w:t>
      </w:r>
      <w:r w:rsidR="0049577A" w:rsidRPr="00753C05">
        <w:rPr>
          <w:color w:val="000000"/>
        </w:rPr>
        <w:t xml:space="preserve"> (2018).</w:t>
      </w:r>
      <w:r w:rsidRPr="00753C05">
        <w:rPr>
          <w:color w:val="000000"/>
        </w:rPr>
        <w:t xml:space="preserve"> In our study with ARSEF 12460 the sexual dimorphism was reversed, such that among cohabiting flies, males were more susceptible to fungal infection than females, and this dimorphism persisted through the 21 days of the assay. Together these results suggest that the direction of sexual dimorphism is affected by the fungal strain used. Yet, in </w:t>
      </w:r>
      <w:proofErr w:type="spellStart"/>
      <w:r w:rsidRPr="00753C05">
        <w:rPr>
          <w:color w:val="000000"/>
        </w:rPr>
        <w:t>Shahrestani</w:t>
      </w:r>
      <w:proofErr w:type="spellEnd"/>
      <w:r w:rsidRPr="00753C05">
        <w:rPr>
          <w:color w:val="000000"/>
        </w:rPr>
        <w:t xml:space="preserve"> et al</w:t>
      </w:r>
      <w:r w:rsidR="00AE29F9" w:rsidRPr="00753C05">
        <w:rPr>
          <w:color w:val="000000"/>
        </w:rPr>
        <w:t xml:space="preserve">. </w:t>
      </w:r>
      <w:r w:rsidR="0049577A" w:rsidRPr="00753C05">
        <w:rPr>
          <w:color w:val="000000"/>
        </w:rPr>
        <w:t>(2018)</w:t>
      </w:r>
      <w:r w:rsidRPr="00753C05">
        <w:rPr>
          <w:color w:val="000000"/>
        </w:rPr>
        <w:t xml:space="preserve">, females were reported to be more susceptible than males to infection with ARSEF 12460, which is opposite to our findings. One key difference in the studies is that they used the fly line Canton S in their study of susceptibility to ARSEF 12460 whereas we used the outbred population C3. This suggests, that the host genotype also influences the direction of sexual dimorphism in immune defense. Further evidence for this claim comes from our own unpublished results, in which we found that 297 recombinant inbred lines from the </w:t>
      </w:r>
      <w:r w:rsidRPr="00753C05">
        <w:rPr>
          <w:i/>
          <w:color w:val="000000"/>
        </w:rPr>
        <w:t>Drosophila</w:t>
      </w:r>
      <w:r w:rsidRPr="00753C05">
        <w:rPr>
          <w:color w:val="000000"/>
        </w:rPr>
        <w:t xml:space="preserve"> Synthetic Resource Population have variation in both magnitude and direction of sexual dimorphism in defense against </w:t>
      </w:r>
      <w:r w:rsidRPr="00753C05">
        <w:rPr>
          <w:i/>
          <w:color w:val="000000"/>
        </w:rPr>
        <w:t xml:space="preserve">B. </w:t>
      </w:r>
      <w:proofErr w:type="spellStart"/>
      <w:r w:rsidRPr="00753C05">
        <w:rPr>
          <w:i/>
          <w:color w:val="000000"/>
        </w:rPr>
        <w:t>bassiana</w:t>
      </w:r>
      <w:proofErr w:type="spellEnd"/>
      <w:r w:rsidRPr="00753C05">
        <w:rPr>
          <w:color w:val="000000"/>
        </w:rPr>
        <w:t xml:space="preserve">. Hence, there is no weaker sex when it comes </w:t>
      </w:r>
      <w:r w:rsidRPr="00753C05">
        <w:rPr>
          <w:color w:val="000000"/>
        </w:rPr>
        <w:lastRenderedPageBreak/>
        <w:t xml:space="preserve">to immune defense, and many factors, including pathogen and host genotypes affect sexual dimorphism in defense. </w:t>
      </w:r>
    </w:p>
    <w:p w14:paraId="287EDE18" w14:textId="04CE6A7D" w:rsidR="003E3967" w:rsidRPr="00753C05" w:rsidRDefault="003E3967" w:rsidP="003C5BAF">
      <w:pPr>
        <w:spacing w:line="480" w:lineRule="auto"/>
        <w:ind w:firstLine="720"/>
        <w:rPr>
          <w:color w:val="000000"/>
        </w:rPr>
      </w:pPr>
      <w:r w:rsidRPr="00753C05">
        <w:rPr>
          <w:color w:val="000000"/>
        </w:rPr>
        <w:t>Another variable that has been previously shown to affect sexual dimorphism in immune defense against bacterial pathogens is mating</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{"citationItems":[{"id":"ITEM-1","itemData":{"DOI":"10.1098/rspb.2010.0937","abstract":"Post-mating reduction in immune defence is common in female insects, and a trade-off between mating and immunity could affect the evolution of immunity. In this work, we tested the capacity of virgin and mated female Drosophila melanogaster to defend against infection by four bacterial pathogens. We found that female D. melanogaster suffer post-mating immunosuppression in a pathogen-dependent manner. The effect of mating was seen after infection with two bacterial pathogens (Providencia rettgeri and Provi-dencia alcalifaciens), though not after infection with two other bacteria (Enterococcus faecalis and Pseudomonas aeruginosa). We then asked whether the evolution of post-mating immunosuppression is primarily a 'female' or 'male' trait by assaying for genetic variation among females for the degree of post-mating immune suppression they experience and among males for the level of post-mating immu-nosuppression they elicit in their mates. We also assayed for an interaction between male and female genotypes to test the specific hypothesis that the evolution of a trade-off between mating and immune defence in females might be being driven by sexual conflict. We found that females, but not males, harbour significant genetic variation for post-mating immunosuppression, and we did not detect an interaction between female and male genotypes. We thus conclude that post-mating immune depression is predominantly a 'female' trait, and find no evidence that it is evolving under sexual conflict.","author":[{"dropping-particle":"","family":"Short","given":"Sarah M","non-dropping-particle":"","parse-names":false,"suffix":""},{"dropping-particle":"","family":"Lazzaro","given":"Brian P","non-dropping-particle":"","parse-names":false,"suffix":""}],"id":"ITEM-1","issued":{"date-parts":[["0"]]},"title":"Female and male genetic contributions to post-mating immune defence in female Drosophila melanogaster","type":"article-journal"},"uris":["http://www.mendeley.com/documents/?uuid=99b521f8-2638-3cb9-ae0a-a1b2c7c94462"]}],"mendeley":{"formattedCitation":"(Short and Lazzaro n.d.)"},"properties":{"noteIndex":0},"schema":"https://github.com/citation-style-language/schema/raw/master/csl-citation.json"}</w:instrText>
      </w:r>
      <w:r w:rsidRPr="00753C05">
        <w:rPr>
          <w:color w:val="000000"/>
        </w:rPr>
        <w:fldChar w:fldCharType="separate"/>
      </w:r>
      <w:r w:rsidR="008A40E1" w:rsidRPr="008A40E1">
        <w:rPr>
          <w:noProof/>
          <w:color w:val="000000"/>
        </w:rPr>
        <w:t>(Short and Lazzaro n.d.)</w:t>
      </w:r>
      <w:r w:rsidRPr="00753C05">
        <w:rPr>
          <w:color w:val="000000"/>
        </w:rPr>
        <w:fldChar w:fldCharType="end"/>
      </w:r>
      <w:r w:rsidRPr="00753C05">
        <w:rPr>
          <w:color w:val="000000"/>
        </w:rPr>
        <w:t xml:space="preserve">. Mating was shown to suppress defense in female </w:t>
      </w:r>
      <w:r w:rsidRPr="00753C05">
        <w:rPr>
          <w:i/>
          <w:color w:val="000000"/>
        </w:rPr>
        <w:t>D. melanogaster</w:t>
      </w:r>
      <w:r w:rsidRPr="00753C05">
        <w:rPr>
          <w:color w:val="000000"/>
        </w:rPr>
        <w:t xml:space="preserve">, such that mated females survived infection with </w:t>
      </w:r>
      <w:r w:rsidRPr="00753C05">
        <w:rPr>
          <w:i/>
          <w:color w:val="000000"/>
        </w:rPr>
        <w:t xml:space="preserve">Providencia </w:t>
      </w:r>
      <w:proofErr w:type="spellStart"/>
      <w:r w:rsidRPr="00753C05">
        <w:rPr>
          <w:i/>
          <w:color w:val="000000"/>
        </w:rPr>
        <w:t>rettgeri</w:t>
      </w:r>
      <w:proofErr w:type="spellEnd"/>
      <w:r w:rsidRPr="00753C05">
        <w:rPr>
          <w:color w:val="000000"/>
        </w:rPr>
        <w:t xml:space="preserve"> and </w:t>
      </w:r>
      <w:r w:rsidRPr="00753C05">
        <w:rPr>
          <w:i/>
          <w:color w:val="000000"/>
        </w:rPr>
        <w:t xml:space="preserve">Providencia </w:t>
      </w:r>
      <w:proofErr w:type="spellStart"/>
      <w:r w:rsidRPr="00753C05">
        <w:rPr>
          <w:i/>
          <w:color w:val="000000"/>
        </w:rPr>
        <w:t>alcalifaciens</w:t>
      </w:r>
      <w:proofErr w:type="spellEnd"/>
      <w:r w:rsidRPr="00753C05">
        <w:rPr>
          <w:color w:val="000000"/>
        </w:rPr>
        <w:t xml:space="preserve"> less successfully than virgin females</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{"citationItems":[{"id":"ITEM-1","itemData":{"DOI":"10.1098/rspb.2010.0937","abstract":"Post-mating reduction in immune defence is common in female insects, and a trade-off between mating and immunity could affect the evolution of immunity. In this work, we tested the capacity of virgin and mated female Drosophila melanogaster to defend against infection by four bacterial pathogens. We found that female D. melanogaster suffer post-mating immunosuppression in a pathogen-dependent manner. The effect of mating was seen after infection with two bacterial pathogens (Providencia rettgeri and Provi-dencia alcalifaciens), though not after infection with two other bacteria (Enterococcus faecalis and Pseudomonas aeruginosa). We then asked whether the evolution of post-mating immunosuppression is primarily a 'female' or 'male' trait by assaying for genetic variation among females for the degree of post-mating immune suppression they experience and among males for the level of post-mating immu-nosuppression they elicit in their mates. We also assayed for an interaction between male and female genotypes to test the specific hypothesis that the evolution of a trade-off between mating and immune defence in females might be being driven by sexual conflict. We found that females, but not males, harbour significant genetic variation for post-mating immunosuppression, and we did not detect an interaction between female and male genotypes. We thus conclude that post-mating immune depression is predominantly a 'female' trait, and find no evidence that it is evolving under sexual conflict.","author":[{"dropping-particle":"","family":"Short","given":"Sarah M","non-dropping-particle":"","parse-names":false,"suffix":""},{"dropping-particle":"","family":"Lazzaro","given":"Brian P","non-dropping-particle":"","parse-names":false,"suffix":""}],"id":"ITEM-1","issued":{"date-parts":[["0"]]},"title":"Female and male genetic contributions to post-mating immune defence in female Drosophila melanogaster","type":"article-journal"},"uris":["http://www.mendeley.com/documents/?uuid=99b521f8-2638-3cb9-ae0a-a1b2c7c94462"]}],"mendeley":{"formattedCitation":"(Short and Lazzaro n.d.)"},"properties":{"noteIndex":0},"schema":"https://github.com/citation-style-language/schema/raw/master/csl-citation.json"}</w:instrText>
      </w:r>
      <w:r w:rsidRPr="00753C05">
        <w:rPr>
          <w:color w:val="000000"/>
        </w:rPr>
        <w:fldChar w:fldCharType="separate"/>
      </w:r>
      <w:r w:rsidR="008A40E1" w:rsidRPr="008A40E1">
        <w:rPr>
          <w:noProof/>
          <w:color w:val="000000"/>
        </w:rPr>
        <w:t>(Short and Lazzaro n.d.)</w:t>
      </w:r>
      <w:r w:rsidRPr="00753C05">
        <w:rPr>
          <w:color w:val="000000"/>
        </w:rPr>
        <w:fldChar w:fldCharType="end"/>
      </w:r>
      <w:r w:rsidRPr="00753C05">
        <w:rPr>
          <w:color w:val="000000"/>
        </w:rPr>
        <w:t>. This mating-immunity trade-off has been thought of as a female trait</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{"citationItems":[{"id":"ITEM-1","itemData":{"DOI":"10.1146/annurev-ento-010715-023924","abstract":"Immune defense and reproduction are physiologically and energetically demanding processes and have been observed to trade off in a diversity of female insects. Increased reproductive effort results in reduced immunity, and reciprocally, infection and activation of the immune system reduce reproductive output. This trade-off can manifest at the physiological level (within an individual) and at the evolutionary level (genetic distinction among individuals in a population). The resource allocation model posits that the trade-off arises because of competition for one or more limiting resources, and we hypothesize that pleiotropic signaling mechanisms regulate allocation of that resource between reproductive and immune processes. We examine the role of juvenile hormone, 20-hydroxyecdysone, and insulin/insulin-like growth factor-like signaling in regulating both oogenesis and immune system activity, and propose a signaling network that may mechanistically regulate the trade-off. Finally, we discuss implications of the trade-off in an ecological and evolutionary context.","author":[{"dropping-particle":"","family":"Schwenke","given":"Robin A","non-dropping-particle":"","parse-names":false,"suffix":""},{"dropping-particle":"","family":"Lazzaro","given":"Brian P","non-dropping-particle":"","parse-names":false,"suffix":""},{"dropping-particle":"","family":"Wolfner","given":"Mariana F","non-dropping-particle":"","parse-names":false,"suffix":""}],"id":"ITEM-1","issued":{"date-parts":[["0"]]},"title":"Reproduction-Immunity Trade-Offs in Insects","type":"article-journal"},"uris":["http://www.mendeley.com/documents/?uuid=c014d233-29e2-392e-a04c-17859adab9c9"]}],"mendeley":{"formattedCitation":"(Schwenke, Lazzaro, and Wolfner n.d.)"},"properties":{"noteIndex":0},"schema":"https://github.com/citation-style-language/schema/raw/master/csl-citation.json"}</w:instrText>
      </w:r>
      <w:r w:rsidRPr="00753C05">
        <w:rPr>
          <w:color w:val="000000"/>
        </w:rPr>
        <w:fldChar w:fldCharType="separate"/>
      </w:r>
      <w:r w:rsidR="008A40E1" w:rsidRPr="008A40E1">
        <w:rPr>
          <w:noProof/>
          <w:color w:val="000000"/>
        </w:rPr>
        <w:t>(Schwenke, Lazzaro, and Wolfner n.d.)</w:t>
      </w:r>
      <w:r w:rsidRPr="00753C05">
        <w:rPr>
          <w:color w:val="000000"/>
        </w:rPr>
        <w:fldChar w:fldCharType="end"/>
      </w:r>
      <w:r w:rsidRPr="00753C05">
        <w:rPr>
          <w:color w:val="000000"/>
        </w:rPr>
        <w:t xml:space="preserve"> and it is generally assumed that males do not experience the same mating-immunity trade-off, due to differences in resource allocation to reproduction and defense in females and males. It is traditionally expected that females will exert more energy during reproduction, thus producing an energy trade-off between reproduction and immune defense</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{"citationItems":[{"id":"ITEM-1","itemData":{"DOI":"10.1098/rspb.2010.0937","abstract":"Post-mating reduction in immune defence is common in female insects, and a trade-off between mating and immunity could affect the evolution of immunity. In this work, we tested the capacity of virgin and mated female Drosophila melanogaster to defend against infection by four bacterial pathogens. We found that female D. melanogaster suffer post-mating immunosuppression in a pathogen-dependent manner. The effect of mating was seen after infection with two bacterial pathogens (Providencia rettgeri and Provi-dencia alcalifaciens), though not after infection with two other bacteria (Enterococcus faecalis and Pseudomonas aeruginosa). We then asked whether the evolution of post-mating immunosuppression is primarily a 'female' or 'male' trait by assaying for genetic variation among females for the degree of post-mating immune suppression they experience and among males for the level of post-mating immu-nosuppression they elicit in their mates. We also assayed for an interaction between male and female genotypes to test the specific hypothesis that the evolution of a trade-off between mating and immune defence in females might be being driven by sexual conflict. We found that females, but not males, harbour significant genetic variation for post-mating immunosuppression, and we did not detect an interaction between female and male genotypes. We thus conclude that post-mating immune depression is predominantly a 'female' trait, and find no evidence that it is evolving under sexual conflict.","author":[{"dropping-particle":"","family":"Short","given":"Sarah M","non-dropping-particle":"","parse-names":false,"suffix":""},{"dropping-particle":"","family":"Lazzaro","given":"Brian P","non-dropping-particle":"","parse-names":false,"suffix":""}],"id":"ITEM-1","issued":{"date-parts":[["0"]]},"title":"Female and male genetic contributions to post-mating immune defence in female Drosophila melanogaster","type":"article-journal"},"uris":["http://www.mendeley.com/documents/?uuid=99b521f8-2638-3cb9-ae0a-a1b2c7c94462"]},{"id":"ITEM-2","itemData":{"DOI":"10.1073/PNAS.152271999","ISSN":"0027-8424","PMID":"12097648","abstract":"There are well documented costs of mating in insects but little evidence for underlying mechanisms. Here, we provide experimental evidence for a hormone-based mechanism that reduces immunity as a result of mating. We examined the mealworm beetle Tenebrio molitor and show that ( i ) mating reduces a major humoral immune effector-system (phenoloxidase) in both sexes, and ( ii ) that this down-regulation is mediated by juvenile hormone. Because both juvenile hormone and phenoloxidase have highly conserved functions across all insects, the identified mechanism is similarly likely to be highly conserved. The positive physiological function of mating-induced juvenile hormone secretion is gamete and accessory gland production: we propose that its negative effects on immune function are the consequence of physiological antagonism. Therefore, we have identified a physiological tradeoff between mating and immunity. Our results suggest that increasing mating success can result in increasing periods of immune suppression, which in turn implies that reproductively successful individuals may be more vulnerable to infection by, and the negative fitness effects of, pathogens.\n\n*   PO,\n    :   phenoloxidase","author":[{"dropping-particle":"","family":"Rolff","given":"Jens","non-dropping-particle":"","parse-names":false,"suffix":""},{"dropping-particle":"","family":"Siva-Jothy","given":"Michael T.","non-dropping-particle":"","parse-names":false,"suffix":""}],"container-title":"Proceedings of the National Academy of Sciences","id":"ITEM-2","issue":"15","issued":{"date-parts":[["2002","7","23"]]},"page":"9916-9918","publisher":"National Academy of Sciences","title":"Copulation corrupts immunity: A mechanism for a cost of mating in insects","type":"article-journal","volume":"99"},"uris":["http://www.mendeley.com/documents/?uuid=d8b9e204-e249-364a-8128-24c126bf780b"]}],"mendeley":{"formattedCitation":"(Short and Lazzaro n.d.; Rolff and Siva-Jothy 2002)"},"properties":{"noteIndex":0},"schema":"https://github.com/citation-style-language/schema/raw/master/csl-citation.json"}</w:instrText>
      </w:r>
      <w:r w:rsidRPr="00753C05">
        <w:rPr>
          <w:color w:val="000000"/>
        </w:rPr>
        <w:fldChar w:fldCharType="separate"/>
      </w:r>
      <w:r w:rsidR="008A40E1" w:rsidRPr="008A40E1">
        <w:rPr>
          <w:noProof/>
          <w:color w:val="000000"/>
        </w:rPr>
        <w:t>(Short and Lazzaro n.d.; Rolff and Siva-Jothy 2002)</w:t>
      </w:r>
      <w:r w:rsidRPr="00753C05">
        <w:rPr>
          <w:color w:val="000000"/>
        </w:rPr>
        <w:fldChar w:fldCharType="end"/>
      </w:r>
      <w:r w:rsidRPr="00753C05">
        <w:rPr>
          <w:color w:val="000000"/>
        </w:rPr>
        <w:t>. One hypothesis for mating-immunity trade-offs in females is that female defense is suppressed when exposed to the male ejaculate accessory gland proteins (</w:t>
      </w:r>
      <w:proofErr w:type="spellStart"/>
      <w:r w:rsidRPr="00753C05">
        <w:rPr>
          <w:color w:val="000000"/>
        </w:rPr>
        <w:t>Acp</w:t>
      </w:r>
      <w:proofErr w:type="spellEnd"/>
      <w:r w:rsidRPr="00753C05">
        <w:rPr>
          <w:color w:val="000000"/>
        </w:rPr>
        <w:t>) or sex peptide (SP)</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{"citationItems":[{"id":"ITEM-1","itemData":{"DOI":"10.1016/j","abstract":"such effects include stimulation of female egg production [6, 7, 12-14], reduction of female receptivity [6, 7, 14], ensuring effective sperm storage [15, 16], and promotion of male success in sperm competition [17, 18]. The female mating cost that arises from Acp transfer by London, WC1E 6BT United Kingdom males may be a side effect of Acp function [4, 19] or a direct effect that is selected to reduce the likelihood of female re-mating and/or to increase current investment in reproduction [20, 21]. Summary We investigated whether a single Acp, the sex peptide (SP or Acp70A [5]), is responsible for mating costs in Conflicts between females and males over reproduc-females. SP decreases female receptivity and stimulates tive decisions are common [1]. In Drosophila, as in egg production following the first matings of virgin fe-many other organisms, there is often a conflict over males [6, 7]; it was generally assumed to benefit both how often to mate. The mating frequency that maxi-sexes by acting as a signal to initiate high reproductive mizes male reproductive success is higher than that rates in successfully mated females and as a mechanism which maximizes female reproductive success [2]. In for increasing paternity in males. We exposed wild-type addition, frequent mating reduces female lifespan and females throughout life either to SP-knockdown males reproductive success [3], a cost that is mediated by (which produced no detectable SP [6]) or to control male ejaculate accessory gland proteins (Acps) [4]. males (which were matched for autosomal genetic back-We demonstrate here that a single Acp, the sex peptide ground [6]). We used two independent replicate pairs of [5] (SP or Acp70A), which decreases female receptivity SP-knockdown and control male lines (SP1 knockdown and stimulates egg production in the first matings of and C1, and SP2 knockdown and C2; see the Supple-virgin females [6, 7], is a major contributor to Acp-mental Experimental Procedures available with this arti-mediated mating costs in females. Females continu-cle online). One hundred and ten females for each treat-ously exposed to SP-deficient males (which produce ment of each line were kept in groups of five, and five no detectable SP [6]) had significantly higher fitness males were added to each group. We measured female and higher lifetime reproductive success than control survival, and we sampled female mating frequency, egg females. Hence, rather than benefiting both sexes, reprod…","author":[{"dropping-particle":"","family":"Wigby","given":"Stuart","non-dropping-particle":"","parse-names":false,"suffix":""},{"dropping-particle":"","family":"Chapman","given":"Tracey","non-dropping-particle":"","parse-names":false,"suffix":""}],"container-title":"Current Biology","id":"ITEM-1","issued":{"date-parts":[["2005"]]},"page":"316-321","title":"Sex Peptide Causes Mating Costs in Female Drosophila melanogaster","type":"article-journal","volume":"15"},"uris":["http://www.mendeley.com/documents/?uuid=84ff8a02-a859-401f-b9b1-a039a9c6a42d"]}],"mendeley":{"formattedCitation":"(Wigby and Chapman 2005)","plainTextFormattedCitation":"(Wigby and Chapman 2005)","previouslyFormattedCitation":"(Wigby &amp; Chapman, 2005)"},"properties":{"noteIndex":0},"schema":"https://github.com/citation-style-language/schema/raw/master/csl-citation.json"}</w:instrText>
      </w:r>
      <w:r w:rsidRPr="00753C05">
        <w:rPr>
          <w:color w:val="000000"/>
        </w:rPr>
        <w:fldChar w:fldCharType="separate"/>
      </w:r>
      <w:r w:rsidR="008A40E1" w:rsidRPr="008A40E1">
        <w:rPr>
          <w:noProof/>
          <w:color w:val="000000"/>
        </w:rPr>
        <w:t>(Wigby and Chapman 2005)</w:t>
      </w:r>
      <w:r w:rsidRPr="00753C05">
        <w:rPr>
          <w:color w:val="000000"/>
        </w:rPr>
        <w:fldChar w:fldCharType="end"/>
      </w:r>
      <w:r w:rsidRPr="00753C05">
        <w:rPr>
          <w:color w:val="000000"/>
        </w:rPr>
        <w:t>, due to the effects of juvenile hormone</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{"citationItems":[{"id":"ITEM-1","itemData":{"DOI":"10.1016/j.cub.2017.01.004","ISSN":"09609822","abstract":"Hormonal signaling provides metazoans with the ability to regulate development, growth, metabolism, immune defense, and reproduction in response to internal and external stimuli. The use of hormones as central regulators of physiology makes them prime candidates for mediating allocation of resources to competing biological functions (i.e., hormonal pleiotropy) [1]. In animals, reproductive effort often results in weaker immune responses (e.g., [2–4]), and this reduction is sometimes linked to hormone signaling (see [5–7]). In the fruit fly, Drosophila melanogaster, mating and the receipt of male seminal fluid proteins results in reduced resistance to a systemic bacterial infection [8, 9]. Here, we evaluate whether the immunosuppressive effect of reproduction in female D. melanogaster is attributable to the endocrine signal juvenile hormone (JH), which promotes the development of oocytes and the synthesis and deposition of yolk protein [10, 11]. Previous work has implicated JH as immunosuppressive [12, 13], and the male seminal fluid protein Sex Peptide (SP) activates JH biosynthesis in female D. melanogaster after mating [14]. We find that transfer of SP activates synthesis of JH in the mated female, which in turn suppresses resistance to infection through the receptor germ cell expressed (gce). We find that mated females are more likely to die from infection, suffer higher pathogen burdens, and are less able to induce their immune responses. All of these deficiencies are rescued when JH signaling is blocked. We argue that hormonal signaling is important for regulating immune system activity and, more generally, for governing trade-offs between physiological processes.","author":[{"dropping-particle":"","family":"Schwenke","given":"Robin A.","non-dropping-particle":"","parse-names":false,"suffix":""},{"dropping-particle":"","family":"Lazzaro","given":"Brian P.","non-dropping-particle":"","parse-names":false,"suffix":""}],"container-title":"Current Biology","id":"ITEM-1","issued":{"date-parts":[["2017"]]},"title":"Juvenile Hormone Suppresses Resistance to Infection in Mated Female Drosophila melanogaster","type":"article-journal"},"uris":["http://www.mendeley.com/documents/?uuid=e83dc8ce-08eb-42e0-bff3-2b806e6985b4"]}],"mendeley":{"formattedCitation":"(Schwenke and Lazzaro 2017)","plainTextFormattedCitation":"(Schwenke and Lazzaro 2017)","previouslyFormattedCitation":"(Schwenke &amp; Lazzaro, 2017)"},"properties":{"noteIndex":0},"schema":"https://github.com/citation-style-language/schema/raw/master/csl-citation.json"}</w:instrText>
      </w:r>
      <w:r w:rsidRPr="00753C05">
        <w:rPr>
          <w:color w:val="000000"/>
        </w:rPr>
        <w:fldChar w:fldCharType="separate"/>
      </w:r>
      <w:r w:rsidR="008A40E1" w:rsidRPr="008A40E1">
        <w:rPr>
          <w:noProof/>
          <w:color w:val="000000"/>
        </w:rPr>
        <w:t>(Schwenke and Lazzaro 2017)</w:t>
      </w:r>
      <w:r w:rsidRPr="00753C05">
        <w:rPr>
          <w:color w:val="000000"/>
        </w:rPr>
        <w:fldChar w:fldCharType="end"/>
      </w:r>
      <w:r w:rsidRPr="00753C05">
        <w:rPr>
          <w:color w:val="000000"/>
        </w:rPr>
        <w:t xml:space="preserve">. </w:t>
      </w:r>
    </w:p>
    <w:p w14:paraId="261B0DFF" w14:textId="7DA44FC6" w:rsidR="003E3967" w:rsidRPr="00753C05" w:rsidRDefault="003E3967" w:rsidP="003C5BAF">
      <w:pPr>
        <w:spacing w:line="480" w:lineRule="auto"/>
        <w:ind w:firstLine="720"/>
        <w:rPr>
          <w:color w:val="000000"/>
        </w:rPr>
      </w:pPr>
      <w:r w:rsidRPr="00753C05">
        <w:rPr>
          <w:color w:val="000000"/>
        </w:rPr>
        <w:t xml:space="preserve">However, reproduction in male </w:t>
      </w:r>
      <w:r w:rsidRPr="00753C05">
        <w:rPr>
          <w:i/>
          <w:color w:val="000000"/>
        </w:rPr>
        <w:t>D. melanogaster</w:t>
      </w:r>
      <w:r w:rsidRPr="00753C05">
        <w:rPr>
          <w:color w:val="000000"/>
        </w:rPr>
        <w:t xml:space="preserve"> also accrues costs</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{"citationItems":[{"id":"ITEM-1","itemData":{"DOI":"10.1038/s41559-017-0152","ISSN":"2397-334X","abstract":"Reproduction incurs a physiological cost as a result of evolutionary fitness optimization. In male Drosophila, key reproductive costs are shown to be a result of perceiving female pheromones, and the act of mating reverses the costs.","author":[{"dropping-particle":"","family":"Harvanek","given":"Zachary M.","non-dropping-particle":"","parse-names":false,"suffix":""},{"dropping-particle":"","family":"Lyu","given":"Yang","non-dropping-particle":"","parse-names":false,"suffix":""},{"dropping-particle":"","family":"Gendron","given":"Christi M.","non-dropping-particle":"","parse-names":false,"suffix":""},{"dropping-particle":"","family":"Johnson","given":"Jacob C.","non-dropping-particle":"","parse-names":false,"suffix":""},{"dropping-particle":"","family":"Kondo","given":"Shu","non-dropping-particle":"","parse-names":false,"suffix":""},{"dropping-particle":"","family":"Promislow","given":"Daniel E. L.","non-dropping-particle":"","parse-names":false,"suffix":""},{"dropping-particle":"","family":"Pletcher","given":"Scott D.","non-dropping-particle":"","parse-names":false,"suffix":""}],"container-title":"Nature Ecology &amp; Evolution","id":"ITEM-1","issue":"6","issued":{"date-parts":[["2017","6","15"]]},"page":"0152","publisher":"Nature Publishing Group","title":"Perceptive costs of reproduction drive ageing and physiology in male Drosophila","type":"article-journal","volume":"1"},"uris":["http://www.mendeley.com/documents/?uuid=5039dbfa-030c-32b3-b25c-953d472043c6"]}],"mendeley":{"formattedCitation":"(Harvanek et al. 2017)","plainTextFormattedCitation":"(Harvanek et al. 2017)","previouslyFormattedCitation":"(Harvanek et al., 2017)"},"properties":{"noteIndex":0},"schema":"https://github.com/citation-style-language/schema/raw/master/csl-citation.json"}</w:instrText>
      </w:r>
      <w:r w:rsidRPr="00753C05">
        <w:rPr>
          <w:color w:val="000000"/>
        </w:rPr>
        <w:fldChar w:fldCharType="separate"/>
      </w:r>
      <w:r w:rsidR="008A40E1" w:rsidRPr="008A40E1">
        <w:rPr>
          <w:noProof/>
          <w:color w:val="000000"/>
        </w:rPr>
        <w:t>(Harvanek et al. 2017)</w:t>
      </w:r>
      <w:r w:rsidRPr="00753C05">
        <w:rPr>
          <w:color w:val="000000"/>
        </w:rPr>
        <w:fldChar w:fldCharType="end"/>
      </w:r>
      <w:r w:rsidRPr="00753C05">
        <w:rPr>
          <w:color w:val="000000"/>
        </w:rPr>
        <w:t>, and it has been suggested that these costs trade-off with immune defense</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{"citationItems":[{"id":"ITEM-1","itemData":{"DOI":"10.1073/pnas.131216398","ISBN":"0027-8424","ISSN":"0027-8424","PMID":"11416162","abstract":"Despite the benefits of resistance, susceptibility to infectious disease is commonplace. Although specific susceptibility may be considered an inevitable consequence of the co-evolutionary arms race between parasite and host, a more general constraint may arise from the cost of an immune response. This \"cost\" hypothesis predicts a tradeoff between immune defense and other components of fitness. In particular, a tradeoff between immunity and sexually selected male behavior has been proposed. Here we provide experimental support for the direct phenotypic tradeoff between sexual activity and immunity by studying the antibacterial immune response in Drosophila melanogaster. Males exposed to more females showed a reduced ability to clear a bacterial infection, an effect that we experimentally link to changes in sexual activity. Our results suggest immunosuppression is an important cost of reproduction and that immune function and levels of disease susceptibility will be influenced by sexual selection.","author":[{"dropping-particle":"","family":"McKean","given":"K. A.","non-dropping-particle":"","parse-names":false,"suffix":""},{"dropping-particle":"","family":"Nunney","given":"L.","non-dropping-particle":"","parse-names":false,"suffix":""}],"container-title":"Proceedings of the National Academy of Sciences","id":"ITEM-1","issued":{"date-parts":[["2001"]]},"title":"Increased sexual activity reduces male immune function in Drosophila melanogaster","type":"article-journal"},"uris":["http://www.mendeley.com/documents/?uuid=b7501dec-af1f-338f-8754-d8c9a0da471a"]}],"mendeley":{"formattedCitation":"(McKean and Nunney 2001)","plainTextFormattedCitation":"(McKean and Nunney 2001)","previouslyFormattedCitation":"(McKean &amp; Nunney, 2001)"},"properties":{"noteIndex":0},"schema":"https://github.com/citation-style-language/schema/raw/master/csl-citation.json"}</w:instrText>
      </w:r>
      <w:r w:rsidRPr="00753C05">
        <w:rPr>
          <w:color w:val="000000"/>
        </w:rPr>
        <w:fldChar w:fldCharType="separate"/>
      </w:r>
      <w:r w:rsidR="008A40E1" w:rsidRPr="008A40E1">
        <w:rPr>
          <w:noProof/>
          <w:color w:val="000000"/>
        </w:rPr>
        <w:t>(McKean and Nunney 2001)</w:t>
      </w:r>
      <w:r w:rsidRPr="00753C05">
        <w:rPr>
          <w:color w:val="000000"/>
        </w:rPr>
        <w:fldChar w:fldCharType="end"/>
      </w:r>
      <w:r w:rsidRPr="00753C05">
        <w:rPr>
          <w:color w:val="000000"/>
        </w:rPr>
        <w:t xml:space="preserve">. We therefore expected that a mating-immunity trade-off would be present for both males and females, and that these trade-offs could influence the direction of sexual dimorphism in defense. For both males and females, we tested survival after inoculation with </w:t>
      </w:r>
      <w:r w:rsidRPr="00753C05">
        <w:rPr>
          <w:i/>
          <w:color w:val="000000"/>
        </w:rPr>
        <w:t xml:space="preserve">B. </w:t>
      </w:r>
      <w:proofErr w:type="spellStart"/>
      <w:r w:rsidRPr="00753C05">
        <w:rPr>
          <w:i/>
          <w:color w:val="000000"/>
        </w:rPr>
        <w:t>bassiana</w:t>
      </w:r>
      <w:proofErr w:type="spellEnd"/>
      <w:r w:rsidRPr="00753C05">
        <w:rPr>
          <w:color w:val="000000"/>
        </w:rPr>
        <w:t xml:space="preserve"> ARSEF 12460 for virgins, flies that mated for </w:t>
      </w:r>
      <w:r w:rsidRPr="00753C05">
        <w:rPr>
          <w:color w:val="000000"/>
        </w:rPr>
        <w:lastRenderedPageBreak/>
        <w:t xml:space="preserve">24 hours before inoculation, and flies that mated both before and after inoculation (males and females that cohabited together). </w:t>
      </w:r>
    </w:p>
    <w:p w14:paraId="76F4A9DA" w14:textId="77777777" w:rsidR="003E3967" w:rsidRPr="00753C05" w:rsidRDefault="003E3967" w:rsidP="003C5BAF">
      <w:pPr>
        <w:spacing w:line="480" w:lineRule="auto"/>
        <w:ind w:firstLine="720"/>
        <w:rPr>
          <w:color w:val="000000"/>
        </w:rPr>
      </w:pPr>
      <w:r w:rsidRPr="00753C05">
        <w:rPr>
          <w:color w:val="000000"/>
        </w:rPr>
        <w:t xml:space="preserve">We found that both females and males experience mating-immunity trade-offs. In both sexes, mating for 24-hours prior to inoculation made flies more susceptible to inoculation with ARSEF 12460 compared to virgins, and flies that cohabited with the other sex were more susceptible to inoculation than flies that only mated for one day. It is possible that the cause of the mating-immunity trade-off may be different for females and males. For females, we tested for differences in resource allocation by counting the number of offspring produced by females in different mating and infection conditions. Infected females produced fewer offspring than control females, suggesting that there is a reproductive cost to infection. Under uninfected conditions, females that cohabited with males produced more offspring than females that mated only once. However, under infected conditions, cohabiting and one-day mated females laid indistinguishable numbers of eggs, which may suggest that the increased susceptibility of cohabiting females was not due to increased egg laying. But it is also possible that, due to infection, the numbers of eggs laid were too low for differences to be picked up with our statistical analyses. </w:t>
      </w:r>
    </w:p>
    <w:p w14:paraId="23251592" w14:textId="77777777" w:rsidR="003E3967" w:rsidRPr="00753C05" w:rsidRDefault="003E3967" w:rsidP="003C5BAF">
      <w:pPr>
        <w:spacing w:line="480" w:lineRule="auto"/>
        <w:ind w:firstLine="720"/>
        <w:rPr>
          <w:color w:val="000000"/>
        </w:rPr>
      </w:pPr>
      <w:r w:rsidRPr="00753C05">
        <w:rPr>
          <w:color w:val="000000"/>
        </w:rPr>
        <w:t xml:space="preserve">We did not measure male reproductive output. However, other factors, outside of resource allocation to reproduction could also potentially affect a trade-off with immune defense. In particular, mating itself is energetically costly, as is </w:t>
      </w:r>
      <w:proofErr w:type="spellStart"/>
      <w:r w:rsidRPr="00753C05">
        <w:rPr>
          <w:color w:val="000000"/>
        </w:rPr>
        <w:t>intrasex</w:t>
      </w:r>
      <w:proofErr w:type="spellEnd"/>
      <w:r w:rsidRPr="00753C05">
        <w:rPr>
          <w:color w:val="000000"/>
        </w:rPr>
        <w:t xml:space="preserve"> competition for mates. In our study, cohabiting flies were maintained in population cages with equal sex ratios. The stress and investment for successful mating could have affected male </w:t>
      </w:r>
      <w:r w:rsidRPr="00753C05">
        <w:rPr>
          <w:color w:val="000000"/>
        </w:rPr>
        <w:lastRenderedPageBreak/>
        <w:t xml:space="preserve">susceptibility to infection. It is worth noting that the fungus ARSEF 12460 is not itself transmitted by mating. </w:t>
      </w:r>
    </w:p>
    <w:p w14:paraId="60B941CD" w14:textId="13F94FF7" w:rsidR="003E3967" w:rsidRPr="00753C05" w:rsidRDefault="003E3967" w:rsidP="003C5BAF">
      <w:pPr>
        <w:spacing w:line="480" w:lineRule="auto"/>
        <w:ind w:firstLine="720"/>
        <w:rPr>
          <w:color w:val="000000"/>
        </w:rPr>
      </w:pPr>
      <w:r w:rsidRPr="00753C05">
        <w:rPr>
          <w:color w:val="000000"/>
        </w:rPr>
        <w:t>Prior to mating, both the mated and cohabiting flies were kept individually in straws to preserve virginity in early adulthood. The isolation and tight space within the straw may also cause stress, but this would be controlled among all three mating conditions. Flies were sexed in the straws before being divided among the treatments of this study, and this sexing was done while briefly anesthetizing the flies by placing the straws on ice. Each fly was anesthetized on ice for approximately two minutes. It is possible that this brief exposure to low temperature places high demands on the flies</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{"citationItems":[{"id":"ITEM-1","itemData":{"abstract":"One theory of the evolution of longevity says that improvement in life span is dependent on an increased ability to resist environmental stresses of all kind. Selective breeding of Drosophila melanogaster populations for longevity has demonstrably increased life span and also altered a number of other traits, such as resistance to starvation, desiccation , and ethanol fumes, and the ability to sustain longer flight. While the exact physiologic basis of some of these traits is not yet fully understood, at least some are known to derive from the properties of metabolic substrates of glycolysis. Improvement in those characters can depend partially, therefore, on altered stores of metabolites created from glycogen. Based on the known general relationship of some traits and the suspected basis in metabolism of others, we examine the possibility here that increased life span is accompanied by other traits that also confer physiologic resistance to stress. Specifically, we test the prediction that long-lived populations of fruit flies should be more resistant to low (prefreezing) and freezing temperature extremes. Both selected and control populations were found to be susceptible to prefreezing (1.5°C) and freezing temperatures (0°C) here, but adults and pupae of the long-lived populations generally survived better in both situations, and at all durations of exposure. The resistance of individuals improved with acclimatization, but was superior in the long-lived populations whether thermal decline was rapid or stepwise. Cold resistant, long-lived populations also had significantly higher in vitro levels of glycerol, a cryoprotectant metabolite produced from glycogen. However, while adults and pupae of long-lived stocks were more resistant to cold, larvae of those stocks were more sensitive and survived relatively poorly at every length of exposure and acclimation. This surprising result implies that larvae maintain lower levels of cryoprotectant substances. Upon becoming pupae, however, stage-specific capabilities for environmental resistance and long life emerge. This conclusion agrees with a prior study of these stocks indicating that the uptake and use of nutrients in developing larvae are restricted in long-lived populations.","author":[{"dropping-particle":"","family":"Luckinbill","given":"L S","non-dropping-particle":"","parse-names":false,"suffix":""}],"container-title":"Journal of Gerontology: BIOLOGICAL SCIENCES","id":"ITEM-1","issue":"2","issued":{"date-parts":[["1998"]]},"number-of-pages":"47-53","title":"Selection for Longevity Confers Resistance to Low-Temperature Stress in Drosophila melanogaster","type":"report","volume":"53"},"uris":["http://www.mendeley.com/documents/?uuid=d628090f-2d98-4a68-9a93-75fd6973cfa3"]}],"mendeley":{"formattedCitation":"(Luckinbill 1998)","plainTextFormattedCitation":"(Luckinbill 1998)","previouslyFormattedCitation":"(Luckinbill, 1998)"},"properties":{"noteIndex":0},"schema":"https://github.com/citation-style-language/schema/raw/master/csl-citation.json"}</w:instrText>
      </w:r>
      <w:r w:rsidRPr="00753C05">
        <w:rPr>
          <w:color w:val="000000"/>
        </w:rPr>
        <w:fldChar w:fldCharType="separate"/>
      </w:r>
      <w:r w:rsidR="008A40E1" w:rsidRPr="008A40E1">
        <w:rPr>
          <w:noProof/>
          <w:color w:val="000000"/>
        </w:rPr>
        <w:t>(Luckinbill 1998)</w:t>
      </w:r>
      <w:r w:rsidRPr="00753C05">
        <w:rPr>
          <w:color w:val="000000"/>
        </w:rPr>
        <w:fldChar w:fldCharType="end"/>
      </w:r>
      <w:r w:rsidRPr="00753C05">
        <w:rPr>
          <w:color w:val="000000"/>
        </w:rPr>
        <w:t xml:space="preserve">. As mentioned in the </w:t>
      </w:r>
      <w:proofErr w:type="spellStart"/>
      <w:r w:rsidRPr="00753C05">
        <w:rPr>
          <w:color w:val="000000"/>
        </w:rPr>
        <w:t>Luckinbill</w:t>
      </w:r>
      <w:proofErr w:type="spellEnd"/>
      <w:r w:rsidRPr="00753C05">
        <w:rPr>
          <w:color w:val="000000"/>
        </w:rPr>
        <w:t xml:space="preserve"> experiment</w:t>
      </w:r>
      <w:r w:rsidR="00DD24A3" w:rsidRPr="00753C05">
        <w:rPr>
          <w:color w:val="000000"/>
        </w:rPr>
        <w:t xml:space="preserve"> (1998)</w:t>
      </w:r>
      <w:r w:rsidRPr="00753C05">
        <w:rPr>
          <w:color w:val="000000"/>
        </w:rPr>
        <w:t>, rapid changes in temperature make it difficult for the organism to adjust to low temperatures. Their results show a vast reduction in populations of larva, pupa and adult when changes in temperature were drastic. In addition to early environmental stress, the limited food and space may contribute an exertion of energy</w:t>
      </w:r>
      <w:r w:rsidR="009E1A83" w:rsidRPr="00753C05">
        <w:rPr>
          <w:color w:val="000000"/>
        </w:rPr>
        <w:t xml:space="preserve"> </w:t>
      </w:r>
      <w:r w:rsidRPr="00753C05">
        <w:rPr>
          <w:color w:val="000000"/>
        </w:rPr>
        <w:fldChar w:fldCharType="begin" w:fldLock="1"/>
      </w:r>
      <w:r w:rsidR="008A40E1">
        <w:rPr>
          <w:color w:val="000000"/>
        </w:rPr>
        <w:instrText>ADDIN CSL_CITATION {"citationItems":[{"id":"ITEM-1","itemData":{"abstract":"Theories of density-dependent natural selection predict that evolution should favor those genotypes with the highest per capita rates of population growth under the current density conditions. These theories are silent about the mechanisms that may give rise to these increases in density-dependent growth rates. We have observed the evolution of six populations of Drosophila melanogaster recently placed in crowded environments after nearly 200 generations at low-population density in the laboratory. After 25 generations in these crowded cultures all six populations showed the predicted increase in population growth rates at high-population density with the concomitant decrease in their growth rates at low densities. These changes in rates of population growth are accompanied by changes in the feeding and pupation behavior of the larvae: those populations that have evolved at high-population densities have higher feeding rates and are less likely to pupate on or near the food surface than populations maintained at low densities. These changes in behavior serve to increase the competitive ability of larvae for limited food and reduce mortality under crowded conditions during the pupal stage of development. A detailed understanding of the mechanisms by which populations evolve under density-dependent natural selection will provide a framework for understanding the nature of trade-offs in life history evolution. One of the most useful fusions of theory from ecology and evolution is the theory ofdensity-dependent natural selection (1-4)-often called r-and K-selection, where r and K refer to low-and high-density conditions, respectively. These theories have been used to support the contention that adaptation to high or low density will involve different suites of characters and that it is unlikely that one set of traits will perform optimally in either extreme environment. To study this problem we have undertaken a series of laboratory experiments with Drosophila melanogaster (5, 6). The original design of this experiment was to take three replicate samples from a genetically variable population and maintain them at low larval and adult density (r populations) and from the same source population take three samples maintained at high larval and adult densities (K populations). Over time the r and K populations have become genetically differentiated with respect to a variety of traits: at low density the r populations have higher per capita growth rates than the…","author":[{"dropping-particle":"","family":"Guo","given":"Pingzhong","non-dropping-particle":"","parse-names":false,"suffix":""},{"dropping-particle":"","family":"Mueller","given":"Laurence D","non-dropping-particle":"","parse-names":false,"suffix":""},{"dropping-particle":"","family":"Ayalat","given":"Francisco J","non-dropping-particle":"","parse-names":false,"suffix":""}],"container-title":"Proc. Natl. Acad. Sci. USA","id":"ITEM-1","issued":{"date-parts":[["1991"]]},"number-of-pages":"10905-10906","title":"Evolution of behavior by density-dependent natural selection (low-density selection/high-density selection/Drosophila melanogaster)","type":"report","volume":"88"},"uris":["http://www.mendeley.com/documents/?uuid=84a8dc95-803c-47ae-a78c-df1fc15b8013"]}],"mendeley":{"formattedCitation":"(Guo, Mueller, and Ayalat 1991)","plainTextFormattedCitation":"(Guo, Mueller, and Ayalat 1991)","previouslyFormattedCitation":"(Guo, Mueller, &amp; Ayalat, 1991)"},"properties":{"noteIndex":0},"schema":"https://github.com/citation-style-language/schema/raw/master/csl-citation.json"}</w:instrText>
      </w:r>
      <w:r w:rsidRPr="00753C05">
        <w:rPr>
          <w:color w:val="000000"/>
        </w:rPr>
        <w:fldChar w:fldCharType="separate"/>
      </w:r>
      <w:r w:rsidR="008A40E1" w:rsidRPr="008A40E1">
        <w:rPr>
          <w:noProof/>
          <w:color w:val="000000"/>
        </w:rPr>
        <w:t>(Guo, Mueller, and Ayalat 1991)</w:t>
      </w:r>
      <w:r w:rsidRPr="00753C05">
        <w:rPr>
          <w:color w:val="000000"/>
        </w:rPr>
        <w:fldChar w:fldCharType="end"/>
      </w:r>
      <w:r w:rsidRPr="00753C05">
        <w:rPr>
          <w:color w:val="000000"/>
        </w:rPr>
        <w:t>.</w:t>
      </w:r>
    </w:p>
    <w:p w14:paraId="3E1E456A" w14:textId="77777777" w:rsidR="003E3967" w:rsidRPr="00753C05" w:rsidRDefault="003E3967" w:rsidP="003C5BAF">
      <w:pPr>
        <w:spacing w:line="480" w:lineRule="auto"/>
        <w:ind w:firstLine="720"/>
      </w:pPr>
      <w:r w:rsidRPr="00753C05">
        <w:rPr>
          <w:color w:val="000000"/>
        </w:rPr>
        <w:t xml:space="preserve">Interestingly, the direction of sexual dimorphism in defense against ARSEF 12460 varied by mating status. Among cohabiting flies, males were more susceptible to infection than females. However, when flies were mated for only 24-hours prior to inoculation, females were more susceptible to infection than males. Yet when virgin flies were compared, males were again more susceptible than females. This result supports the idea that the mating-immunity trade-off is at least in part affected by the frequency of mating, instead of being an inherent component of male and female biology.  </w:t>
      </w:r>
    </w:p>
    <w:p w14:paraId="5F16B93A" w14:textId="77777777" w:rsidR="00CD4884" w:rsidRPr="00753C05" w:rsidRDefault="003E3967" w:rsidP="003C5BAF">
      <w:pPr>
        <w:spacing w:line="480" w:lineRule="auto"/>
        <w:ind w:firstLine="720"/>
        <w:rPr>
          <w:color w:val="000000"/>
        </w:rPr>
      </w:pPr>
      <w:r w:rsidRPr="00753C05">
        <w:t xml:space="preserve">Given the potential impacts of reproduction-related resource allocation on the mating-immunity trade-off and on sexual dimorphism in defense, our next avenue of </w:t>
      </w:r>
      <w:r w:rsidRPr="00753C05">
        <w:lastRenderedPageBreak/>
        <w:t xml:space="preserve">research it to investigate the effects of dietary manipulations on these relationships. </w:t>
      </w:r>
      <w:r w:rsidRPr="00753C05">
        <w:rPr>
          <w:color w:val="000000"/>
        </w:rPr>
        <w:t>An experiment conducted by Lee</w:t>
      </w:r>
      <w:r w:rsidR="0002345F" w:rsidRPr="00753C05">
        <w:rPr>
          <w:color w:val="000000"/>
        </w:rPr>
        <w:t>, Kim, and Min</w:t>
      </w:r>
      <w:r w:rsidR="00AE29F9" w:rsidRPr="00753C05">
        <w:rPr>
          <w:color w:val="000000"/>
        </w:rPr>
        <w:t xml:space="preserve"> (2013)</w:t>
      </w:r>
      <w:r w:rsidR="009E1A83" w:rsidRPr="00753C05">
        <w:rPr>
          <w:color w:val="000000"/>
        </w:rPr>
        <w:t xml:space="preserve"> </w:t>
      </w:r>
      <w:r w:rsidRPr="00753C05">
        <w:rPr>
          <w:color w:val="000000"/>
        </w:rPr>
        <w:t xml:space="preserve">observed the dietary preference of mated flies and its effect on survival. Varying ratios between proteins and carbohydrates were tested. Their results showed that mated females preferred a balanced diet compared to virgin females who preferred a more carbohydrate heavy diet. The lifespan of their flies varied on different diets, demonstrating a greater survival of mated females on a balanced diet compared to other diets. The three-way relationship between diet, mating, and immune defense remains an open area of study.  </w:t>
      </w:r>
      <w:bookmarkStart w:id="24" w:name="_Hlk13732844"/>
    </w:p>
    <w:p w14:paraId="747CCA67" w14:textId="77777777" w:rsidR="00401C5B" w:rsidRPr="00753C05" w:rsidRDefault="00401C5B" w:rsidP="003C5BAF">
      <w:pPr>
        <w:spacing w:line="480" w:lineRule="auto"/>
        <w:ind w:firstLine="720"/>
        <w:rPr>
          <w:u w:val="single"/>
        </w:rPr>
      </w:pPr>
    </w:p>
    <w:p w14:paraId="3D6AC060" w14:textId="77777777" w:rsidR="00401C5B" w:rsidRPr="009E06F2" w:rsidRDefault="00401C5B" w:rsidP="00401C5B">
      <w:pPr>
        <w:spacing w:line="480" w:lineRule="auto"/>
        <w:ind w:firstLine="720"/>
        <w:rPr>
          <w:rFonts w:eastAsia="Calibri"/>
        </w:rPr>
      </w:pPr>
      <w:r w:rsidRPr="009E06F2">
        <w:rPr>
          <w:rFonts w:eastAsia="Calibri"/>
          <w:i/>
        </w:rPr>
        <w:t>Drosophila melanogaster</w:t>
      </w:r>
      <w:r w:rsidRPr="009E06F2">
        <w:rPr>
          <w:rFonts w:eastAsia="Calibri"/>
        </w:rPr>
        <w:t xml:space="preserve"> are natural decomposers whose fecundity increases with the increased ingestion of proteins (Lee et al., 2013). A high energy and high carbohydrate diet </w:t>
      </w:r>
      <w:proofErr w:type="gramStart"/>
      <w:r w:rsidRPr="009E06F2">
        <w:rPr>
          <w:rFonts w:eastAsia="Calibri"/>
        </w:rPr>
        <w:t>causes</w:t>
      </w:r>
      <w:proofErr w:type="gramEnd"/>
      <w:r w:rsidRPr="009E06F2">
        <w:rPr>
          <w:rFonts w:eastAsia="Calibri"/>
        </w:rPr>
        <w:t xml:space="preserve"> reduced </w:t>
      </w:r>
      <w:proofErr w:type="spellStart"/>
      <w:r w:rsidRPr="009E06F2">
        <w:rPr>
          <w:rFonts w:eastAsia="Calibri"/>
        </w:rPr>
        <w:t>eclosion</w:t>
      </w:r>
      <w:proofErr w:type="spellEnd"/>
      <w:r w:rsidRPr="009E06F2">
        <w:rPr>
          <w:rFonts w:eastAsia="Calibri"/>
        </w:rPr>
        <w:t xml:space="preserve"> in fruit flies and reduced survival in adults (Lindsey, 2017). Egg to adult time is seen to be fastest at Protein: Carbohydrate 8:1 and lowest at Protein: Carbohydrate 1:16 (</w:t>
      </w:r>
      <w:proofErr w:type="spellStart"/>
      <w:r w:rsidRPr="009E06F2">
        <w:t>Lihoreau</w:t>
      </w:r>
      <w:proofErr w:type="spellEnd"/>
      <w:r w:rsidRPr="009E06F2">
        <w:rPr>
          <w:rStyle w:val="CommentReference"/>
        </w:rPr>
        <w:t xml:space="preserve"> </w:t>
      </w:r>
      <w:r w:rsidRPr="009E06F2">
        <w:rPr>
          <w:rFonts w:eastAsia="Calibri"/>
        </w:rPr>
        <w:t>et al., 2016). In males, a high carbohydrate and low protein diet increases the lifespan and reproductive performance. Moreover, in females, a high fat diet decreases their lifespan and makes them less receptive to mating, which can be rescued by changing the diet in females. When equal concentrations of sucrose and yeast are added in the standard food medium of fruit flies, the females tend to survive longer than males (</w:t>
      </w:r>
      <w:proofErr w:type="spellStart"/>
      <w:r w:rsidRPr="009E06F2">
        <w:rPr>
          <w:rFonts w:eastAsia="Calibri"/>
        </w:rPr>
        <w:t>Magwere</w:t>
      </w:r>
      <w:proofErr w:type="spellEnd"/>
      <w:r w:rsidRPr="009E06F2">
        <w:rPr>
          <w:rFonts w:eastAsia="Calibri"/>
        </w:rPr>
        <w:t xml:space="preserve">, 2004). However, these studies did not look at the effects on susceptibility to infection under these diets. </w:t>
      </w:r>
    </w:p>
    <w:p w14:paraId="32B610AA" w14:textId="6676E9F0" w:rsidR="00EF726B" w:rsidRDefault="00EF726B" w:rsidP="003C5BAF">
      <w:pPr>
        <w:spacing w:line="480" w:lineRule="auto"/>
      </w:pPr>
      <w:r>
        <w:br w:type="page"/>
      </w:r>
    </w:p>
    <w:p w14:paraId="2246095C" w14:textId="77777777" w:rsidR="00401C5B" w:rsidRPr="009E06F2" w:rsidRDefault="00401C5B" w:rsidP="00401C5B">
      <w:pPr>
        <w:spacing w:line="480" w:lineRule="auto"/>
        <w:ind w:firstLine="720"/>
        <w:rPr>
          <w:rFonts w:eastAsia="Calibri"/>
        </w:rPr>
      </w:pPr>
      <w:r w:rsidRPr="009E06F2">
        <w:rPr>
          <w:rFonts w:eastAsia="Calibri"/>
        </w:rPr>
        <w:lastRenderedPageBreak/>
        <w:t xml:space="preserve">An experiment by Lee et al. (2013) observed the sex-specific effects on diet preferences and life span for the wild-type population, Canton-S. While both experiments observed the effects of different mating statuses on sexual dimorphism, Lee et al. did not infect flies with a pathogen. Their results, however, presented that a balanced diet was preferred by mated female flies, ultimately demonstrating a greater median life span for them compared to virgin females and males </w:t>
      </w:r>
      <w:commentRangeStart w:id="25"/>
      <w:r w:rsidRPr="009E06F2">
        <w:rPr>
          <w:rFonts w:eastAsia="Calibri"/>
        </w:rPr>
        <w:t>altogether</w:t>
      </w:r>
      <w:commentRangeEnd w:id="25"/>
      <w:r w:rsidRPr="009E06F2">
        <w:rPr>
          <w:rStyle w:val="CommentReference"/>
        </w:rPr>
        <w:commentReference w:id="25"/>
      </w:r>
      <w:r w:rsidRPr="009E06F2">
        <w:rPr>
          <w:rFonts w:eastAsia="Calibri"/>
        </w:rPr>
        <w:t xml:space="preserve">. </w:t>
      </w:r>
    </w:p>
    <w:p w14:paraId="73E1D201" w14:textId="77777777" w:rsidR="00401C5B" w:rsidRPr="009E06F2" w:rsidRDefault="00401C5B" w:rsidP="00401C5B">
      <w:pPr>
        <w:spacing w:line="480" w:lineRule="auto"/>
        <w:ind w:firstLine="720"/>
        <w:rPr>
          <w:rFonts w:eastAsia="Calibri"/>
        </w:rPr>
      </w:pPr>
      <w:r w:rsidRPr="009E06F2">
        <w:rPr>
          <w:rFonts w:eastAsia="Calibri"/>
        </w:rPr>
        <w:t xml:space="preserve">Most experiments observe the effects of either protein, carbohydrates </w:t>
      </w:r>
      <w:proofErr w:type="gramStart"/>
      <w:r w:rsidRPr="009E06F2">
        <w:rPr>
          <w:rFonts w:eastAsia="Calibri"/>
        </w:rPr>
        <w:t>and</w:t>
      </w:r>
      <w:proofErr w:type="gramEnd"/>
      <w:r w:rsidRPr="009E06F2">
        <w:rPr>
          <w:rFonts w:eastAsia="Calibri"/>
        </w:rPr>
        <w:t xml:space="preserve"> sugar; rarely looking at the factors together. For instance, the Howick and Lazzaro (2014) experiment observed the effects of low-sugar diets versus high-sugar diets on the survival of flies. A high sugar diet is seen to decrease immune defense against infection, resulting in a decrease in survival overall. In this experiment, our results are indicative that these ratios are imperative to the overall performance of flies. Our standard cornmeal diet contains approximately 77 g of molasses per 1 L of food, whereas our glucose diet </w:t>
      </w:r>
      <w:proofErr w:type="gramStart"/>
      <w:r w:rsidRPr="009E06F2">
        <w:rPr>
          <w:rFonts w:eastAsia="Calibri"/>
        </w:rPr>
        <w:t>contain</w:t>
      </w:r>
      <w:proofErr w:type="gramEnd"/>
      <w:r w:rsidRPr="009E06F2">
        <w:rPr>
          <w:rFonts w:eastAsia="Calibri"/>
        </w:rPr>
        <w:t xml:space="preserve"> 21 g of dextrose for every 1 L of food. The results in Figure 1 shows a highest survival for male flies in glucose diet and the highest survival for female flies in cornmeal and yeast diet in comparison with the regular cornmeal diet.</w:t>
      </w:r>
    </w:p>
    <w:p w14:paraId="39426A6C" w14:textId="77777777" w:rsidR="00401C5B" w:rsidRPr="009E06F2" w:rsidRDefault="00401C5B" w:rsidP="00401C5B">
      <w:pPr>
        <w:pStyle w:val="BodyText"/>
        <w:spacing w:after="0" w:line="480" w:lineRule="auto"/>
        <w:contextualSpacing/>
        <w:jc w:val="center"/>
        <w:rPr>
          <w:rFonts w:ascii="Times New Roman" w:hAnsi="Times New Roman"/>
          <w:szCs w:val="24"/>
        </w:rPr>
      </w:pPr>
    </w:p>
    <w:p w14:paraId="43F98707" w14:textId="77777777" w:rsidR="00401C5B" w:rsidRPr="009E06F2" w:rsidRDefault="00401C5B" w:rsidP="00401C5B">
      <w:pPr>
        <w:pStyle w:val="BodyText"/>
        <w:spacing w:after="0" w:line="480" w:lineRule="auto"/>
        <w:contextualSpacing/>
        <w:rPr>
          <w:rFonts w:ascii="Times New Roman" w:hAnsi="Times New Roman"/>
          <w:szCs w:val="24"/>
        </w:rPr>
      </w:pPr>
      <w:r w:rsidRPr="009E06F2">
        <w:rPr>
          <w:rFonts w:ascii="Times New Roman" w:hAnsi="Times New Roman"/>
          <w:szCs w:val="24"/>
        </w:rPr>
        <w:tab/>
      </w:r>
    </w:p>
    <w:p w14:paraId="56BDF08F" w14:textId="77777777" w:rsidR="00401C5B" w:rsidRPr="009E06F2" w:rsidRDefault="00401C5B" w:rsidP="00401C5B">
      <w:pPr>
        <w:pStyle w:val="BodyText"/>
        <w:spacing w:after="0" w:line="240" w:lineRule="auto"/>
        <w:contextualSpacing/>
        <w:jc w:val="center"/>
        <w:rPr>
          <w:rFonts w:ascii="Times New Roman" w:hAnsi="Times New Roman"/>
          <w:szCs w:val="24"/>
        </w:rPr>
      </w:pPr>
    </w:p>
    <w:p w14:paraId="4FC26FB2" w14:textId="77777777" w:rsidR="00401C5B" w:rsidRPr="009E06F2" w:rsidRDefault="00401C5B" w:rsidP="00401C5B">
      <w:pPr>
        <w:pStyle w:val="BodyText"/>
        <w:spacing w:after="0" w:line="240" w:lineRule="auto"/>
        <w:contextualSpacing/>
        <w:jc w:val="center"/>
        <w:rPr>
          <w:rFonts w:ascii="Times New Roman" w:hAnsi="Times New Roman"/>
          <w:szCs w:val="24"/>
        </w:rPr>
      </w:pPr>
      <w:r w:rsidRPr="009E06F2">
        <w:rPr>
          <w:rFonts w:ascii="Times New Roman" w:hAnsi="Times New Roman"/>
          <w:szCs w:val="24"/>
        </w:rPr>
        <w:t>Upon analyzing all three experiments, the result show two narratives:</w:t>
      </w:r>
    </w:p>
    <w:p w14:paraId="7143E005" w14:textId="77777777" w:rsidR="00401C5B" w:rsidRPr="009E06F2" w:rsidRDefault="00401C5B" w:rsidP="00401C5B">
      <w:pPr>
        <w:pStyle w:val="BodyText"/>
        <w:numPr>
          <w:ilvl w:val="0"/>
          <w:numId w:val="23"/>
        </w:numPr>
        <w:spacing w:after="0" w:line="240" w:lineRule="auto"/>
        <w:contextualSpacing/>
        <w:jc w:val="center"/>
        <w:rPr>
          <w:rFonts w:ascii="Times New Roman" w:hAnsi="Times New Roman"/>
          <w:szCs w:val="24"/>
        </w:rPr>
      </w:pPr>
      <w:r w:rsidRPr="009E06F2">
        <w:rPr>
          <w:rFonts w:ascii="Times New Roman" w:hAnsi="Times New Roman"/>
          <w:szCs w:val="24"/>
        </w:rPr>
        <w:t>Ancestral diet demonstrates an improvement in immune defense and survival.</w:t>
      </w:r>
    </w:p>
    <w:p w14:paraId="53F61048" w14:textId="77777777" w:rsidR="00401C5B" w:rsidRPr="009E06F2" w:rsidRDefault="00401C5B" w:rsidP="00401C5B">
      <w:pPr>
        <w:pStyle w:val="BodyText"/>
        <w:numPr>
          <w:ilvl w:val="0"/>
          <w:numId w:val="23"/>
        </w:numPr>
        <w:spacing w:after="0" w:line="240" w:lineRule="auto"/>
        <w:contextualSpacing/>
        <w:jc w:val="center"/>
        <w:rPr>
          <w:rFonts w:ascii="Times New Roman" w:hAnsi="Times New Roman"/>
          <w:szCs w:val="24"/>
        </w:rPr>
      </w:pPr>
      <w:r w:rsidRPr="009E06F2">
        <w:rPr>
          <w:rFonts w:ascii="Times New Roman" w:hAnsi="Times New Roman"/>
          <w:szCs w:val="24"/>
        </w:rPr>
        <w:t>A more balance protein to carbohydrate diets improves….</w:t>
      </w:r>
    </w:p>
    <w:p w14:paraId="7AF993D8" w14:textId="77777777" w:rsidR="00401C5B" w:rsidRDefault="00401C5B" w:rsidP="003C5BAF">
      <w:pPr>
        <w:spacing w:line="480" w:lineRule="auto"/>
      </w:pPr>
    </w:p>
    <w:p w14:paraId="42AEDBFF" w14:textId="07F3C82B" w:rsidR="00401C5B" w:rsidRDefault="00401C5B" w:rsidP="003C5BAF">
      <w:pPr>
        <w:spacing w:line="480" w:lineRule="auto"/>
      </w:pPr>
    </w:p>
    <w:p w14:paraId="2E52CE26" w14:textId="77777777" w:rsidR="00401C5B" w:rsidRDefault="00401C5B" w:rsidP="003C5BAF">
      <w:pPr>
        <w:spacing w:line="480" w:lineRule="auto"/>
      </w:pPr>
    </w:p>
    <w:p w14:paraId="423A7C92" w14:textId="77777777" w:rsidR="00832B17" w:rsidRPr="00753C05" w:rsidRDefault="00832B17" w:rsidP="003C5BAF">
      <w:pPr>
        <w:spacing w:line="480" w:lineRule="auto"/>
        <w:ind w:firstLine="720"/>
      </w:pPr>
    </w:p>
    <w:p w14:paraId="0E8E2D60" w14:textId="77777777" w:rsidR="00832B17" w:rsidRPr="00753C05" w:rsidRDefault="00CD4884" w:rsidP="003C5BAF">
      <w:pPr>
        <w:spacing w:line="480" w:lineRule="auto"/>
        <w:ind w:firstLine="720"/>
        <w:jc w:val="center"/>
        <w:rPr>
          <w:b/>
        </w:rPr>
      </w:pPr>
      <w:r w:rsidRPr="00753C05">
        <w:rPr>
          <w:b/>
        </w:rPr>
        <w:t>Acknowledgements</w:t>
      </w:r>
    </w:p>
    <w:p w14:paraId="1C9A1910" w14:textId="77777777" w:rsidR="00EF726B" w:rsidRDefault="00832B17" w:rsidP="003C5BAF">
      <w:pPr>
        <w:spacing w:line="480" w:lineRule="auto"/>
        <w:jc w:val="both"/>
      </w:pPr>
      <w:r w:rsidRPr="00753C05">
        <w:t xml:space="preserve">This research was funded by a CSUPERB New Investigator Grant to PS. KER and PS conceived the research questions. KER, MC, ALCB, and PS devised experiments and collected data. HY, SB, and PS decided on data analysis and presentation, and HY performed the analyses. Several other students from the </w:t>
      </w:r>
      <w:proofErr w:type="spellStart"/>
      <w:r w:rsidRPr="00753C05">
        <w:t>Shahrestani</w:t>
      </w:r>
      <w:proofErr w:type="spellEnd"/>
      <w:r w:rsidRPr="00753C05">
        <w:t xml:space="preserve"> lab helped with data collection. </w:t>
      </w:r>
      <w:bookmarkEnd w:id="24"/>
    </w:p>
    <w:p w14:paraId="1176F39F" w14:textId="77777777" w:rsidR="00EF726B" w:rsidRDefault="00EF726B" w:rsidP="003C5BAF">
      <w:pPr>
        <w:spacing w:line="480" w:lineRule="auto"/>
        <w:jc w:val="both"/>
        <w:rPr>
          <w:b/>
        </w:rPr>
      </w:pPr>
    </w:p>
    <w:p w14:paraId="3A0DF65D" w14:textId="77777777" w:rsidR="00EF726B" w:rsidRDefault="00EF726B" w:rsidP="003C5BAF">
      <w:pPr>
        <w:spacing w:line="480" w:lineRule="auto"/>
        <w:rPr>
          <w:b/>
        </w:rPr>
      </w:pPr>
      <w:r>
        <w:rPr>
          <w:b/>
        </w:rPr>
        <w:br w:type="page"/>
      </w:r>
    </w:p>
    <w:p w14:paraId="2123DC59" w14:textId="1B6CDAAE" w:rsidR="002E3C7C" w:rsidRPr="00EF726B" w:rsidRDefault="002751DD" w:rsidP="003C5BAF">
      <w:pPr>
        <w:spacing w:line="480" w:lineRule="auto"/>
        <w:jc w:val="center"/>
      </w:pPr>
      <w:r w:rsidRPr="00753C05">
        <w:rPr>
          <w:b/>
        </w:rPr>
        <w:lastRenderedPageBreak/>
        <w:t>Literature Cited</w:t>
      </w:r>
    </w:p>
    <w:p w14:paraId="77C905D7" w14:textId="77777777" w:rsidR="002E3C7C" w:rsidRPr="00753C05" w:rsidRDefault="002E3C7C" w:rsidP="003C5BAF">
      <w:pPr>
        <w:pStyle w:val="BodyText"/>
        <w:spacing w:after="0" w:line="480" w:lineRule="auto"/>
        <w:contextualSpacing/>
        <w:jc w:val="center"/>
        <w:rPr>
          <w:rFonts w:ascii="Times New Roman" w:hAnsi="Times New Roman"/>
          <w:color w:val="0070C0"/>
          <w:szCs w:val="24"/>
        </w:rPr>
      </w:pPr>
    </w:p>
    <w:p w14:paraId="28C83F48" w14:textId="76E642F9" w:rsidR="008A40E1" w:rsidRPr="008A40E1" w:rsidRDefault="008A40E1" w:rsidP="008A40E1">
      <w:pPr>
        <w:widowControl w:val="0"/>
        <w:autoSpaceDE w:val="0"/>
        <w:autoSpaceDN w:val="0"/>
        <w:adjustRightInd w:val="0"/>
        <w:spacing w:line="480" w:lineRule="auto"/>
        <w:ind w:left="480" w:hanging="480"/>
        <w:rPr>
          <w:noProof/>
        </w:rPr>
      </w:pPr>
      <w:r>
        <w:fldChar w:fldCharType="begin" w:fldLock="1"/>
      </w:r>
      <w:r>
        <w:instrText xml:space="preserve">ADDIN Mendeley Bibliography CSL_BIBLIOGRAPHY </w:instrText>
      </w:r>
      <w:r>
        <w:fldChar w:fldCharType="separate"/>
      </w:r>
      <w:r w:rsidRPr="008A40E1">
        <w:rPr>
          <w:noProof/>
        </w:rPr>
        <w:t>Akaike, Hirotogu. 1998. “Information Theory and an Extension of the Maximum Likelihood Principle.” In , 199–213. Springer, New York, NY. https://doi.org/10.1007/978-1-4612-1694-0_15.</w:t>
      </w:r>
    </w:p>
    <w:p w14:paraId="25307683"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Barbarin, Alexis M., Nina E. Jenkins, Edwin G. Rajotte, and Matthew B. Thomas. 2012. “A Preliminary Evaluation of the Potential of Beauveria Bassiana for Bed Bug Control.” </w:t>
      </w:r>
      <w:r w:rsidRPr="008A40E1">
        <w:rPr>
          <w:i/>
          <w:iCs/>
          <w:noProof/>
        </w:rPr>
        <w:t>Journal of Invertebrate Pathology</w:t>
      </w:r>
      <w:r w:rsidRPr="008A40E1">
        <w:rPr>
          <w:noProof/>
        </w:rPr>
        <w:t xml:space="preserve"> 111 (1): 82–85. https://doi.org/10.1016/J.JIP.2012.04.009.</w:t>
      </w:r>
    </w:p>
    <w:p w14:paraId="4F3F52C2"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Begun, David J., and Charles F. Aquadro. 1993. “African and North American Populations of Drosophila Melanogaster Are Very Different at the DNA Level.” </w:t>
      </w:r>
      <w:r w:rsidRPr="008A40E1">
        <w:rPr>
          <w:i/>
          <w:iCs/>
          <w:noProof/>
        </w:rPr>
        <w:t>Nature</w:t>
      </w:r>
      <w:r w:rsidRPr="008A40E1">
        <w:rPr>
          <w:noProof/>
        </w:rPr>
        <w:t xml:space="preserve"> 365 (6446): 548–50. https://doi.org/10.1038/365548a0.</w:t>
      </w:r>
    </w:p>
    <w:p w14:paraId="4B56CE24" w14:textId="58D5951A" w:rsidR="008A40E1" w:rsidRPr="008A40E1" w:rsidRDefault="008A40E1" w:rsidP="008A40E1">
      <w:pPr>
        <w:widowControl w:val="0"/>
        <w:autoSpaceDE w:val="0"/>
        <w:autoSpaceDN w:val="0"/>
        <w:adjustRightInd w:val="0"/>
        <w:spacing w:line="480" w:lineRule="auto"/>
        <w:ind w:left="480" w:hanging="480"/>
        <w:rPr>
          <w:noProof/>
        </w:rPr>
      </w:pPr>
      <w:r w:rsidRPr="00B675CA">
        <w:rPr>
          <w:noProof/>
        </w:rPr>
        <w:t>Begun, David J, Charles F Aquadro, and David Begun. 1995. “Molecular Variation at the Vermilion Locus in Geographically Diverse Populations of Drosophila Melanogaster and D. Simulans.”</w:t>
      </w:r>
      <w:r w:rsidR="00B675CA" w:rsidRPr="00B675CA">
        <w:rPr>
          <w:noProof/>
        </w:rPr>
        <w:t xml:space="preserve"> </w:t>
      </w:r>
      <w:r w:rsidR="00B675CA" w:rsidRPr="00B675CA">
        <w:rPr>
          <w:i/>
          <w:noProof/>
        </w:rPr>
        <w:t>Genetics</w:t>
      </w:r>
      <w:r w:rsidR="00B675CA" w:rsidRPr="00B675CA">
        <w:rPr>
          <w:noProof/>
        </w:rPr>
        <w:t xml:space="preserve"> 140(3): 1019-1032. </w:t>
      </w:r>
      <w:r w:rsidRPr="00B675CA">
        <w:rPr>
          <w:noProof/>
        </w:rPr>
        <w:t>https://www.ncbi.nlm.nih.gov/pmc/articles/PMC1206658/pdf/ge14031019.pdf.</w:t>
      </w:r>
    </w:p>
    <w:p w14:paraId="5C2F29F8"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Bochdanovits, Z., and G. Jong. 2003. “Temperature Dependent Larval Resource Allocation Shaping Adult Body Size in Drosophila Melanogaster.” </w:t>
      </w:r>
      <w:r w:rsidRPr="008A40E1">
        <w:rPr>
          <w:i/>
          <w:iCs/>
          <w:noProof/>
        </w:rPr>
        <w:t>Journal of Evolutionary Biology</w:t>
      </w:r>
      <w:r w:rsidRPr="008A40E1">
        <w:rPr>
          <w:noProof/>
        </w:rPr>
        <w:t xml:space="preserve"> 16 (6): 1159–67. https://doi.org/10.1046/j.1420-9101.2003.00621.x.</w:t>
      </w:r>
    </w:p>
    <w:p w14:paraId="186A08B5"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Buchon, Nicolas, Neal Silverman, and Sara Cherry. 2014. “Immunity in Drosophila Melanogaster-from Microbial Recognition to Whole-Organism Physiology.” </w:t>
      </w:r>
      <w:r w:rsidRPr="008A40E1">
        <w:rPr>
          <w:i/>
          <w:iCs/>
          <w:noProof/>
        </w:rPr>
        <w:t>Nature Reviews Immunology</w:t>
      </w:r>
      <w:r w:rsidRPr="008A40E1">
        <w:rPr>
          <w:noProof/>
        </w:rPr>
        <w:t xml:space="preserve"> 14 (12): 796–810. https://doi.org/10.1038/nri3763.</w:t>
      </w:r>
    </w:p>
    <w:p w14:paraId="36DCB3AA"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lastRenderedPageBreak/>
        <w:t xml:space="preserve">Clarkson, John M., and A.Keith Charnley. 1996. “New Insights into the Mechanisms of Fungal Pathogenesis in Insects.” </w:t>
      </w:r>
      <w:r w:rsidRPr="008A40E1">
        <w:rPr>
          <w:i/>
          <w:iCs/>
          <w:noProof/>
        </w:rPr>
        <w:t>Trends in Microbiology</w:t>
      </w:r>
      <w:r w:rsidRPr="008A40E1">
        <w:rPr>
          <w:noProof/>
        </w:rPr>
        <w:t xml:space="preserve"> 4 (5): 197–203. https://doi.org/10.1016/0966-842X(96)10022-6.</w:t>
      </w:r>
    </w:p>
    <w:p w14:paraId="4BE5452B" w14:textId="34C3ED08" w:rsidR="008A40E1" w:rsidRPr="008A40E1" w:rsidRDefault="008A40E1" w:rsidP="008A40E1">
      <w:pPr>
        <w:widowControl w:val="0"/>
        <w:autoSpaceDE w:val="0"/>
        <w:autoSpaceDN w:val="0"/>
        <w:adjustRightInd w:val="0"/>
        <w:spacing w:line="480" w:lineRule="auto"/>
        <w:ind w:left="480" w:hanging="480"/>
        <w:rPr>
          <w:noProof/>
        </w:rPr>
      </w:pPr>
      <w:r w:rsidRPr="00B675CA">
        <w:rPr>
          <w:noProof/>
        </w:rPr>
        <w:t xml:space="preserve">Cox, D R. </w:t>
      </w:r>
      <w:r w:rsidR="00B675CA" w:rsidRPr="00B675CA">
        <w:rPr>
          <w:noProof/>
        </w:rPr>
        <w:t>1972</w:t>
      </w:r>
      <w:r w:rsidRPr="00B675CA">
        <w:rPr>
          <w:noProof/>
        </w:rPr>
        <w:t xml:space="preserve">. “ Regression Models and Life-Tables.” </w:t>
      </w:r>
      <w:r w:rsidR="00B675CA" w:rsidRPr="00B675CA">
        <w:rPr>
          <w:i/>
          <w:noProof/>
        </w:rPr>
        <w:t>Journal of the Royal Statistic Society</w:t>
      </w:r>
      <w:r w:rsidR="00B675CA" w:rsidRPr="00B675CA">
        <w:rPr>
          <w:noProof/>
        </w:rPr>
        <w:t xml:space="preserve"> B: 187-202</w:t>
      </w:r>
      <w:r w:rsidRPr="00B675CA">
        <w:rPr>
          <w:noProof/>
        </w:rPr>
        <w:t>. https://about.jstor.org/terms.</w:t>
      </w:r>
    </w:p>
    <w:p w14:paraId="359B563E" w14:textId="7E93F0AE" w:rsidR="008A40E1" w:rsidRPr="008A40E1" w:rsidRDefault="008A40E1" w:rsidP="008A40E1">
      <w:pPr>
        <w:widowControl w:val="0"/>
        <w:autoSpaceDE w:val="0"/>
        <w:autoSpaceDN w:val="0"/>
        <w:adjustRightInd w:val="0"/>
        <w:spacing w:line="480" w:lineRule="auto"/>
        <w:ind w:left="480" w:hanging="480"/>
        <w:rPr>
          <w:noProof/>
        </w:rPr>
      </w:pPr>
      <w:r w:rsidRPr="008A40E1">
        <w:rPr>
          <w:noProof/>
        </w:rPr>
        <w:t>Feng, Ming-Guang, and Xiao-Ying Pu. 2005. “Time-Concentration-Mortality Modeling of the Synergistic Interaction Of</w:t>
      </w:r>
      <w:r w:rsidR="00A777B7">
        <w:rPr>
          <w:noProof/>
        </w:rPr>
        <w:t xml:space="preserve"> </w:t>
      </w:r>
      <w:r w:rsidRPr="008A40E1">
        <w:rPr>
          <w:noProof/>
        </w:rPr>
        <w:t xml:space="preserve">Beauveria Bassiana and Imidacloprid AgainstNilaparvata Lugens.” </w:t>
      </w:r>
      <w:r w:rsidRPr="008A40E1">
        <w:rPr>
          <w:i/>
          <w:iCs/>
          <w:noProof/>
        </w:rPr>
        <w:t>Pest Management Science</w:t>
      </w:r>
      <w:r w:rsidRPr="008A40E1">
        <w:rPr>
          <w:noProof/>
        </w:rPr>
        <w:t xml:space="preserve"> 61 (4): 363–70. https://doi.org/10.1002/ps.983.</w:t>
      </w:r>
    </w:p>
    <w:p w14:paraId="23485746" w14:textId="77777777" w:rsidR="008A40E1" w:rsidRPr="008A40E1" w:rsidRDefault="008A40E1" w:rsidP="008A40E1">
      <w:pPr>
        <w:widowControl w:val="0"/>
        <w:autoSpaceDE w:val="0"/>
        <w:autoSpaceDN w:val="0"/>
        <w:adjustRightInd w:val="0"/>
        <w:spacing w:line="480" w:lineRule="auto"/>
        <w:ind w:left="480" w:hanging="480"/>
        <w:rPr>
          <w:noProof/>
        </w:rPr>
      </w:pPr>
      <w:r w:rsidRPr="00B675CA">
        <w:rPr>
          <w:noProof/>
        </w:rPr>
        <w:t xml:space="preserve">Fisher, Ronald. 1932. </w:t>
      </w:r>
      <w:r w:rsidRPr="00B675CA">
        <w:rPr>
          <w:i/>
          <w:iCs/>
          <w:noProof/>
        </w:rPr>
        <w:t>Statistical Methods for Research Workers,</w:t>
      </w:r>
      <w:r w:rsidRPr="00B675CA">
        <w:rPr>
          <w:noProof/>
        </w:rPr>
        <w:t>. Edinburgh: Oliver and Boyd. https://www.worldcat.org/title/statistical-methods-for-research-workers/oclc/4971991.</w:t>
      </w:r>
    </w:p>
    <w:p w14:paraId="2948EE99" w14:textId="35E34A34" w:rsidR="008A40E1" w:rsidRPr="00B675CA" w:rsidRDefault="008A40E1" w:rsidP="008A40E1">
      <w:pPr>
        <w:widowControl w:val="0"/>
        <w:autoSpaceDE w:val="0"/>
        <w:autoSpaceDN w:val="0"/>
        <w:adjustRightInd w:val="0"/>
        <w:spacing w:line="480" w:lineRule="auto"/>
        <w:ind w:left="480" w:hanging="480"/>
        <w:rPr>
          <w:noProof/>
        </w:rPr>
      </w:pPr>
      <w:r w:rsidRPr="00B675CA">
        <w:rPr>
          <w:noProof/>
        </w:rPr>
        <w:t xml:space="preserve">Greenberg, Anthony J, Sean R Hackett, Lawrence G Harshman, and Andrew G Clark. </w:t>
      </w:r>
      <w:r w:rsidR="00B675CA" w:rsidRPr="00B675CA">
        <w:rPr>
          <w:noProof/>
        </w:rPr>
        <w:t>2010</w:t>
      </w:r>
      <w:r w:rsidRPr="00B675CA">
        <w:rPr>
          <w:noProof/>
        </w:rPr>
        <w:t xml:space="preserve">. “A Hierarchical Bayesian Model for a Novel Sparse Partial Diallel Crossing Design.” </w:t>
      </w:r>
      <w:r w:rsidR="00B675CA" w:rsidRPr="00B675CA">
        <w:rPr>
          <w:i/>
          <w:noProof/>
        </w:rPr>
        <w:t xml:space="preserve">Genetics </w:t>
      </w:r>
      <w:r w:rsidR="00B675CA" w:rsidRPr="00B675CA">
        <w:rPr>
          <w:noProof/>
        </w:rPr>
        <w:t>185(1): 361-373 .</w:t>
      </w:r>
      <w:r w:rsidRPr="00B675CA">
        <w:rPr>
          <w:noProof/>
        </w:rPr>
        <w:t xml:space="preserve"> https://doi.org/10.1534/genetics.110.115055.</w:t>
      </w:r>
    </w:p>
    <w:p w14:paraId="6DF63913"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Guo, Pingzhong, Laurence D Mueller, and Francisco J Ayalat. 1991. “Evolution of Behavior by Density-Dependent Natural Selection (Low-Density Selection/High-Density Selection/Drosophila Melanogaster).” </w:t>
      </w:r>
      <w:r w:rsidRPr="008A40E1">
        <w:rPr>
          <w:i/>
          <w:iCs/>
          <w:noProof/>
        </w:rPr>
        <w:t>Proc. Natl. Acad. Sci. USA</w:t>
      </w:r>
      <w:r w:rsidRPr="008A40E1">
        <w:rPr>
          <w:noProof/>
        </w:rPr>
        <w:t>. Vol. 88.</w:t>
      </w:r>
    </w:p>
    <w:p w14:paraId="19F87169"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Hanna, C., and C. Hanna. 2013. “The Lethal and Sublethal Effects of Three Pesticides on the Striped Lynx Spider ( </w:t>
      </w:r>
      <w:r w:rsidRPr="008A40E1">
        <w:rPr>
          <w:i/>
          <w:iCs/>
          <w:noProof/>
        </w:rPr>
        <w:t>Oxyopes Salticus</w:t>
      </w:r>
      <w:r w:rsidRPr="008A40E1">
        <w:rPr>
          <w:noProof/>
        </w:rPr>
        <w:t xml:space="preserve"> Hentz).” </w:t>
      </w:r>
      <w:r w:rsidRPr="008A40E1">
        <w:rPr>
          <w:i/>
          <w:iCs/>
          <w:noProof/>
        </w:rPr>
        <w:t>Journal of Applied Entomology</w:t>
      </w:r>
      <w:r w:rsidRPr="008A40E1">
        <w:rPr>
          <w:noProof/>
        </w:rPr>
        <w:t xml:space="preserve"> 137 (1–2): 68–76. https://doi.org/10.1111/jen.12014.</w:t>
      </w:r>
    </w:p>
    <w:p w14:paraId="6B238503"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Harvanek, Zachary M., Yang Lyu, Christi M. Gendron, Jacob C. Johnson, Shu Kondo, Daniel E. L. Promislow, and Scott D. Pletcher. 2017. “Perceptive Costs of </w:t>
      </w:r>
      <w:r w:rsidRPr="008A40E1">
        <w:rPr>
          <w:noProof/>
        </w:rPr>
        <w:lastRenderedPageBreak/>
        <w:t xml:space="preserve">Reproduction Drive Ageing and Physiology in Male Drosophila.” </w:t>
      </w:r>
      <w:r w:rsidRPr="008A40E1">
        <w:rPr>
          <w:i/>
          <w:iCs/>
          <w:noProof/>
        </w:rPr>
        <w:t>Nature Ecology &amp; Evolution</w:t>
      </w:r>
      <w:r w:rsidRPr="008A40E1">
        <w:rPr>
          <w:noProof/>
        </w:rPr>
        <w:t xml:space="preserve"> 1 (6): 0152. https://doi.org/10.1038/s41559-017-0152.</w:t>
      </w:r>
    </w:p>
    <w:p w14:paraId="4CB2A2F3"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Heinig, R L, Krijn P Paaijmans, Penelope A Hancock, and Matthew B Thomas. 2015. “The Potential for Fungal Biopesticides to Reduce Malaria Transmission under Diverse Environmental Conditions.” </w:t>
      </w:r>
      <w:r w:rsidRPr="008A40E1">
        <w:rPr>
          <w:i/>
          <w:iCs/>
          <w:noProof/>
        </w:rPr>
        <w:t>The Journal of Applied Ecology</w:t>
      </w:r>
      <w:r w:rsidRPr="008A40E1">
        <w:rPr>
          <w:noProof/>
        </w:rPr>
        <w:t xml:space="preserve"> 52 (6): 1558–66. https://doi.org/10.1111/1365-2664.12522.</w:t>
      </w:r>
    </w:p>
    <w:p w14:paraId="7C221C9D" w14:textId="7B771FA7" w:rsidR="008A40E1" w:rsidRPr="008A40E1" w:rsidRDefault="008A40E1" w:rsidP="008A40E1">
      <w:pPr>
        <w:widowControl w:val="0"/>
        <w:autoSpaceDE w:val="0"/>
        <w:autoSpaceDN w:val="0"/>
        <w:adjustRightInd w:val="0"/>
        <w:spacing w:line="480" w:lineRule="auto"/>
        <w:ind w:left="480" w:hanging="480"/>
        <w:rPr>
          <w:noProof/>
        </w:rPr>
      </w:pPr>
      <w:r w:rsidRPr="00B675CA">
        <w:rPr>
          <w:noProof/>
        </w:rPr>
        <w:t xml:space="preserve">Hoffmann, Jules A, and Jean-Marc Reichhart. 2002. “Drosophila Innate Immunity: An Evolutionary Perspective.” </w:t>
      </w:r>
      <w:r w:rsidR="00B675CA" w:rsidRPr="00B675CA">
        <w:rPr>
          <w:i/>
          <w:noProof/>
        </w:rPr>
        <w:t>Nature Immunology</w:t>
      </w:r>
      <w:r w:rsidR="00B675CA" w:rsidRPr="00B675CA">
        <w:rPr>
          <w:noProof/>
        </w:rPr>
        <w:t xml:space="preserve"> 3(2): 121-126 </w:t>
      </w:r>
      <w:r w:rsidRPr="00B675CA">
        <w:rPr>
          <w:noProof/>
        </w:rPr>
        <w:t>http://immunol.nature.com.</w:t>
      </w:r>
    </w:p>
    <w:p w14:paraId="43B0B928" w14:textId="0B4071BC" w:rsidR="008A40E1" w:rsidRPr="008A40E1" w:rsidRDefault="008A40E1" w:rsidP="008A40E1">
      <w:pPr>
        <w:widowControl w:val="0"/>
        <w:autoSpaceDE w:val="0"/>
        <w:autoSpaceDN w:val="0"/>
        <w:adjustRightInd w:val="0"/>
        <w:spacing w:line="480" w:lineRule="auto"/>
        <w:ind w:left="480" w:hanging="480"/>
        <w:rPr>
          <w:noProof/>
        </w:rPr>
      </w:pPr>
      <w:r w:rsidRPr="00B675CA">
        <w:rPr>
          <w:noProof/>
        </w:rPr>
        <w:t xml:space="preserve">Id, Sumer Alali, Valeria Mereghetti, Franco Faoro, Stefano Bocchi, Fawaz Al Azmeh, and Matteo Montagnaid. 2019. “Thermotolerant Isolates of Beauveria Bassiana as Potential Control Agent of Insect Pest in Subtropical Climates.” </w:t>
      </w:r>
      <w:r w:rsidR="00B675CA" w:rsidRPr="00B675CA">
        <w:rPr>
          <w:i/>
          <w:noProof/>
        </w:rPr>
        <w:t>PloS One</w:t>
      </w:r>
      <w:r w:rsidR="00B675CA" w:rsidRPr="00B675CA">
        <w:rPr>
          <w:noProof/>
        </w:rPr>
        <w:t xml:space="preserve"> 14(2). </w:t>
      </w:r>
      <w:r w:rsidRPr="00B675CA">
        <w:rPr>
          <w:noProof/>
        </w:rPr>
        <w:t>https://doi.org/10.1371/journal.pone.0211457.</w:t>
      </w:r>
    </w:p>
    <w:p w14:paraId="6DBC12C3"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Kaplan, E L, and Paul Meier. 1958. “Nonparametric Estimation from Incomplete Observations NONPARAMETRIC ESTIMATION FROM INCOMPLETE OBSERVATIONS*.” </w:t>
      </w:r>
      <w:r w:rsidRPr="008A40E1">
        <w:rPr>
          <w:i/>
          <w:iCs/>
          <w:noProof/>
        </w:rPr>
        <w:t>Source: Journal of the American Statistical Association</w:t>
      </w:r>
      <w:r w:rsidRPr="008A40E1">
        <w:rPr>
          <w:noProof/>
        </w:rPr>
        <w:t>. Vol. 53. https://www.jstor.org/stable/pdf/2281868.pdf?refreqid=excelsior%3A758e9b1f47a14f142907a548fd8eb2ae.</w:t>
      </w:r>
    </w:p>
    <w:p w14:paraId="6328BDDF" w14:textId="0F48C982" w:rsidR="008A40E1" w:rsidRPr="008A40E1" w:rsidRDefault="008A40E1" w:rsidP="008A40E1">
      <w:pPr>
        <w:widowControl w:val="0"/>
        <w:autoSpaceDE w:val="0"/>
        <w:autoSpaceDN w:val="0"/>
        <w:adjustRightInd w:val="0"/>
        <w:spacing w:line="480" w:lineRule="auto"/>
        <w:ind w:left="480" w:hanging="480"/>
        <w:rPr>
          <w:noProof/>
        </w:rPr>
      </w:pPr>
      <w:r w:rsidRPr="00B675CA">
        <w:rPr>
          <w:noProof/>
        </w:rPr>
        <w:t xml:space="preserve">King, Elizabeth G, Chris M Merkes, Casey L Mcneil, Steven R Hoofer, Saunak Sen, Karl W Broman, Anthony D Long, and Stuart J Macdonald. </w:t>
      </w:r>
      <w:r w:rsidR="00B675CA" w:rsidRPr="00B675CA">
        <w:rPr>
          <w:noProof/>
        </w:rPr>
        <w:t>2012</w:t>
      </w:r>
      <w:r w:rsidRPr="00B675CA">
        <w:rPr>
          <w:noProof/>
        </w:rPr>
        <w:t xml:space="preserve">. “Genetic Dissection of a Model Complex Trait Using the Drosophila Synthetic Population Resource.” </w:t>
      </w:r>
      <w:r w:rsidR="00B675CA" w:rsidRPr="00B675CA">
        <w:rPr>
          <w:i/>
          <w:noProof/>
        </w:rPr>
        <w:t>Genome Research</w:t>
      </w:r>
      <w:r w:rsidR="00B675CA" w:rsidRPr="00B675CA">
        <w:rPr>
          <w:noProof/>
        </w:rPr>
        <w:t xml:space="preserve"> 22(8): 1558-1566. </w:t>
      </w:r>
      <w:r w:rsidRPr="00B675CA">
        <w:rPr>
          <w:noProof/>
        </w:rPr>
        <w:t>https://doi.org/10.1101/gr.134031.111.</w:t>
      </w:r>
    </w:p>
    <w:p w14:paraId="2D08F7BE"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lastRenderedPageBreak/>
        <w:t xml:space="preserve">Luckinbill, L S. 1998. “Selection for Longevity Confers Resistance to Low-Temperature Stress in Drosophila Melanogaster.” </w:t>
      </w:r>
      <w:r w:rsidRPr="008A40E1">
        <w:rPr>
          <w:i/>
          <w:iCs/>
          <w:noProof/>
        </w:rPr>
        <w:t>Journal of Gerontology: BIOLOGICAL SCIENCES</w:t>
      </w:r>
      <w:r w:rsidRPr="008A40E1">
        <w:rPr>
          <w:noProof/>
        </w:rPr>
        <w:t>. Vol. 53. https://academic.oup.com/biomedgerontology/article-abstract/53A/2/B147/571060.</w:t>
      </w:r>
    </w:p>
    <w:p w14:paraId="4C1504CC"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Mantel, N. 1966. “Evaluation of Survival Data and Two New Rank Order Statistics Arising in Its Consideration.” </w:t>
      </w:r>
      <w:r w:rsidRPr="008A40E1">
        <w:rPr>
          <w:i/>
          <w:iCs/>
          <w:noProof/>
        </w:rPr>
        <w:t>Cancer Chemotherapy Reports</w:t>
      </w:r>
      <w:r w:rsidRPr="008A40E1">
        <w:rPr>
          <w:noProof/>
        </w:rPr>
        <w:t xml:space="preserve"> 50 (3): 163–70. http://www.ncbi.nlm.nih.gov/pubmed/5910392.</w:t>
      </w:r>
    </w:p>
    <w:p w14:paraId="5D65D89B"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McKean, K. A., and L. Nunney. 2001. “Increased Sexual Activity Reduces Male Immune Function in Drosophila Melanogaster.” </w:t>
      </w:r>
      <w:r w:rsidRPr="008A40E1">
        <w:rPr>
          <w:i/>
          <w:iCs/>
          <w:noProof/>
        </w:rPr>
        <w:t>Proceedings of the National Academy of Sciences</w:t>
      </w:r>
      <w:r w:rsidRPr="008A40E1">
        <w:rPr>
          <w:noProof/>
        </w:rPr>
        <w:t>. https://doi.org/10.1073/pnas.131216398.</w:t>
      </w:r>
    </w:p>
    <w:p w14:paraId="27338BA0" w14:textId="4E0E4132" w:rsidR="008A40E1" w:rsidRPr="008A40E1" w:rsidRDefault="008A40E1" w:rsidP="008A40E1">
      <w:pPr>
        <w:widowControl w:val="0"/>
        <w:autoSpaceDE w:val="0"/>
        <w:autoSpaceDN w:val="0"/>
        <w:adjustRightInd w:val="0"/>
        <w:spacing w:line="480" w:lineRule="auto"/>
        <w:ind w:left="480" w:hanging="480"/>
        <w:rPr>
          <w:noProof/>
        </w:rPr>
      </w:pPr>
      <w:r w:rsidRPr="00740AB7">
        <w:rPr>
          <w:noProof/>
        </w:rPr>
        <w:t>Ortiz-Urquiza, Almudena, and Nemat O Keyhani. 2013. “Action on the Surface: Entomopathogenic Fungi versus the Insect Cuticle”</w:t>
      </w:r>
      <w:r w:rsidR="00740AB7" w:rsidRPr="00740AB7">
        <w:rPr>
          <w:noProof/>
        </w:rPr>
        <w:t xml:space="preserve">. </w:t>
      </w:r>
      <w:r w:rsidR="00740AB7" w:rsidRPr="00740AB7">
        <w:rPr>
          <w:i/>
          <w:noProof/>
        </w:rPr>
        <w:t>Insects</w:t>
      </w:r>
      <w:r w:rsidR="00740AB7" w:rsidRPr="00740AB7">
        <w:rPr>
          <w:noProof/>
        </w:rPr>
        <w:t xml:space="preserve"> </w:t>
      </w:r>
      <w:r w:rsidRPr="00740AB7">
        <w:rPr>
          <w:noProof/>
        </w:rPr>
        <w:t>4: 357–74. https://doi.org/10.3390/insects4030357.</w:t>
      </w:r>
    </w:p>
    <w:p w14:paraId="7F804061" w14:textId="6A1E1E63" w:rsidR="008A40E1" w:rsidRPr="008A40E1" w:rsidRDefault="008A40E1" w:rsidP="008A40E1">
      <w:pPr>
        <w:widowControl w:val="0"/>
        <w:autoSpaceDE w:val="0"/>
        <w:autoSpaceDN w:val="0"/>
        <w:adjustRightInd w:val="0"/>
        <w:spacing w:line="480" w:lineRule="auto"/>
        <w:ind w:left="480" w:hanging="480"/>
        <w:rPr>
          <w:noProof/>
        </w:rPr>
      </w:pPr>
      <w:r w:rsidRPr="00740AB7">
        <w:rPr>
          <w:noProof/>
        </w:rPr>
        <w:t xml:space="preserve">Pham, Linh N, Marc S Dionne, Mimi Shirasu-Hiza, and David S Schneider. </w:t>
      </w:r>
      <w:r w:rsidR="00740AB7" w:rsidRPr="00740AB7">
        <w:rPr>
          <w:noProof/>
        </w:rPr>
        <w:t>2007</w:t>
      </w:r>
      <w:r w:rsidRPr="00740AB7">
        <w:rPr>
          <w:noProof/>
        </w:rPr>
        <w:t xml:space="preserve">. “A Specific Primed Immune Response in Drosophila Is Dependent on Phagocytes.” </w:t>
      </w:r>
      <w:r w:rsidR="00740AB7" w:rsidRPr="00740AB7">
        <w:rPr>
          <w:i/>
          <w:noProof/>
        </w:rPr>
        <w:t>PloS Pathogens</w:t>
      </w:r>
      <w:r w:rsidR="00740AB7" w:rsidRPr="00740AB7">
        <w:rPr>
          <w:noProof/>
        </w:rPr>
        <w:t xml:space="preserve"> 3(3)</w:t>
      </w:r>
      <w:r w:rsidRPr="00740AB7">
        <w:rPr>
          <w:noProof/>
        </w:rPr>
        <w:t>. https://doi.org/10.1371/journal.ppat.0030026.</w:t>
      </w:r>
    </w:p>
    <w:p w14:paraId="7632BF79" w14:textId="5D49AB1E" w:rsidR="008A40E1" w:rsidRPr="008A40E1" w:rsidRDefault="008A40E1" w:rsidP="008A40E1">
      <w:pPr>
        <w:widowControl w:val="0"/>
        <w:autoSpaceDE w:val="0"/>
        <w:autoSpaceDN w:val="0"/>
        <w:adjustRightInd w:val="0"/>
        <w:spacing w:line="480" w:lineRule="auto"/>
        <w:ind w:left="480" w:hanging="480"/>
        <w:rPr>
          <w:noProof/>
        </w:rPr>
      </w:pPr>
      <w:r w:rsidRPr="00740AB7">
        <w:rPr>
          <w:noProof/>
        </w:rPr>
        <w:t xml:space="preserve">Robert, Michael A, Rebecca C Christofferson, Noah J B Silva, Chalmers Vasquez, Christopher N Mores, and Helen J Wearing. 2016. “Modeling Mosquito-Borne Disease Spread in U.S. Urbanized Areas: The Case of Dengue in Miami.” </w:t>
      </w:r>
      <w:r w:rsidR="00740AB7" w:rsidRPr="00740AB7">
        <w:rPr>
          <w:i/>
          <w:noProof/>
        </w:rPr>
        <w:t xml:space="preserve">PloS One </w:t>
      </w:r>
      <w:r w:rsidR="00740AB7" w:rsidRPr="00740AB7">
        <w:rPr>
          <w:noProof/>
        </w:rPr>
        <w:t>11(8)</w:t>
      </w:r>
      <w:r w:rsidR="00740AB7" w:rsidRPr="00740AB7">
        <w:rPr>
          <w:i/>
          <w:noProof/>
        </w:rPr>
        <w:t xml:space="preserve">. </w:t>
      </w:r>
      <w:r w:rsidRPr="00740AB7">
        <w:rPr>
          <w:noProof/>
        </w:rPr>
        <w:t>https://doi.org/10.1371/journal.pone.0161365.</w:t>
      </w:r>
    </w:p>
    <w:p w14:paraId="13E87713"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Rolff, Jens, and Michael T. Siva-Jothy. 2002. “Copulation Corrupts Immunity: A Mechanism for a Cost of Mating in Insects.” </w:t>
      </w:r>
      <w:r w:rsidRPr="008A40E1">
        <w:rPr>
          <w:i/>
          <w:iCs/>
          <w:noProof/>
        </w:rPr>
        <w:t>Proceedings of the National Academy of Sciences</w:t>
      </w:r>
      <w:r w:rsidRPr="008A40E1">
        <w:rPr>
          <w:noProof/>
        </w:rPr>
        <w:t xml:space="preserve"> 99 (15): 9916–18. https://doi.org/10.1073/PNAS.152271999.</w:t>
      </w:r>
    </w:p>
    <w:p w14:paraId="582CDFF4"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lastRenderedPageBreak/>
        <w:t xml:space="preserve">Schwenke, Robin A., and Brian P. Lazzaro. 2017. “Juvenile Hormone Suppresses Resistance to Infection in Mated Female Drosophila Melanogaster.” </w:t>
      </w:r>
      <w:r w:rsidRPr="008A40E1">
        <w:rPr>
          <w:i/>
          <w:iCs/>
          <w:noProof/>
        </w:rPr>
        <w:t>Current Biology</w:t>
      </w:r>
      <w:r w:rsidRPr="008A40E1">
        <w:rPr>
          <w:noProof/>
        </w:rPr>
        <w:t>. https://doi.org/10.1016/j.cub.2017.01.004.</w:t>
      </w:r>
    </w:p>
    <w:p w14:paraId="4C987B7E"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Schwenke, Robin A, Brian P Lazzaro, and Mariana F Wolfner. n.d. “Reproduction-Immunity Trade-Offs in Insects.” Accessed June 11, 2019. https://doi.org/10.1146/annurev-ento-010715-023924.</w:t>
      </w:r>
    </w:p>
    <w:p w14:paraId="10C6612D"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Shahrestani, Parvin, Moria Chambers, John Vandenberg, Kelly Garcia, Glen Malaret, Pratik Chowdhury, Yonathan Estrella, Ming Zhu, and Brian P Lazzaro. 2018. “Sexual Dimorphism in Drosophila Melanogaster Survival of Beauveria Bassiana Infection Depends on Core Immune Signaling.” </w:t>
      </w:r>
      <w:r w:rsidRPr="008A40E1">
        <w:rPr>
          <w:i/>
          <w:iCs/>
          <w:noProof/>
        </w:rPr>
        <w:t>Scientific REPORtS |</w:t>
      </w:r>
      <w:r w:rsidRPr="008A40E1">
        <w:rPr>
          <w:noProof/>
        </w:rPr>
        <w:t xml:space="preserve"> 8: 12501. https://doi.org/10.1038/s41598-018-30527-1.</w:t>
      </w:r>
    </w:p>
    <w:p w14:paraId="258AAB01"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Short, Sarah M, and Brian P Lazzaro. n.d. “Female and Male Genetic Contributions to Post-Mating Immune Defence in Female Drosophila Melanogaster.” Accessed September 12, 2018. https://doi.org/10.1098/rspb.2010.0937.</w:t>
      </w:r>
    </w:p>
    <w:p w14:paraId="53CF0CEB"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Tang, Huaping. 2009. “Regulation and Function of the Melanization Reaction in Drosophila.” </w:t>
      </w:r>
      <w:r w:rsidRPr="008A40E1">
        <w:rPr>
          <w:i/>
          <w:iCs/>
          <w:noProof/>
        </w:rPr>
        <w:t>Fly</w:t>
      </w:r>
      <w:r w:rsidRPr="008A40E1">
        <w:rPr>
          <w:noProof/>
        </w:rPr>
        <w:t xml:space="preserve"> 3 (1): 105–11. https://doi.org/10.4161/fly.3.1.7747.</w:t>
      </w:r>
    </w:p>
    <w:p w14:paraId="492F7F1E"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Vandenberg, John D. 1996. “Standardized Bioassay and Screening of Beauveria Bassiana and Paecilomyces Fumosoroseus Against the Russian Wheat Aphid (Homoptera: Aphididae).” </w:t>
      </w:r>
      <w:r w:rsidRPr="008A40E1">
        <w:rPr>
          <w:i/>
          <w:iCs/>
          <w:noProof/>
        </w:rPr>
        <w:t>Journal of Economic Entomology</w:t>
      </w:r>
      <w:r w:rsidRPr="008A40E1">
        <w:rPr>
          <w:noProof/>
        </w:rPr>
        <w:t xml:space="preserve"> 89 (6): 1418–23. https://doi.org/10.1093/jee/89.6.1418.</w:t>
      </w:r>
    </w:p>
    <w:p w14:paraId="3E2C8361" w14:textId="77777777" w:rsidR="008A40E1" w:rsidRPr="008A40E1" w:rsidRDefault="008A40E1" w:rsidP="008A40E1">
      <w:pPr>
        <w:widowControl w:val="0"/>
        <w:autoSpaceDE w:val="0"/>
        <w:autoSpaceDN w:val="0"/>
        <w:adjustRightInd w:val="0"/>
        <w:spacing w:line="480" w:lineRule="auto"/>
        <w:ind w:left="480" w:hanging="480"/>
        <w:rPr>
          <w:noProof/>
        </w:rPr>
      </w:pPr>
      <w:r w:rsidRPr="008A40E1">
        <w:rPr>
          <w:noProof/>
        </w:rPr>
        <w:t xml:space="preserve">Wigby, Stuart, and Tracey Chapman. 2005. “Sex Peptide Causes Mating Costs in Female Drosophila Melanogaster.” </w:t>
      </w:r>
      <w:r w:rsidRPr="008A40E1">
        <w:rPr>
          <w:i/>
          <w:iCs/>
          <w:noProof/>
        </w:rPr>
        <w:t>Current Biology</w:t>
      </w:r>
      <w:r w:rsidRPr="008A40E1">
        <w:rPr>
          <w:noProof/>
        </w:rPr>
        <w:t xml:space="preserve"> 15: 316–21. https://doi.org/10.1016/j.</w:t>
      </w:r>
    </w:p>
    <w:p w14:paraId="3FCB1B2A" w14:textId="2A98D2F1" w:rsidR="006058AD" w:rsidRPr="00753C05" w:rsidRDefault="008A40E1" w:rsidP="00C94614">
      <w:pPr>
        <w:keepLines/>
        <w:spacing w:line="480" w:lineRule="auto"/>
        <w:ind w:left="720" w:hanging="720"/>
        <w:rPr>
          <w:b/>
          <w:u w:val="single"/>
        </w:rPr>
      </w:pPr>
      <w:r>
        <w:fldChar w:fldCharType="end"/>
      </w:r>
    </w:p>
    <w:sectPr w:rsidR="006058AD" w:rsidRPr="00753C05" w:rsidSect="00B92E66">
      <w:headerReference w:type="default" r:id="rId14"/>
      <w:footerReference w:type="default" r:id="rId15"/>
      <w:headerReference w:type="first" r:id="rId16"/>
      <w:pgSz w:w="12240" w:h="15840" w:code="1"/>
      <w:pgMar w:top="1440" w:right="1440" w:bottom="1440" w:left="2160" w:header="720" w:footer="893" w:gutter="0"/>
      <w:lnNumType w:countBy="1" w:restart="continuous"/>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uthor" w:initials="A">
    <w:p w14:paraId="53D6C8AF" w14:textId="77777777" w:rsidR="002E14FF" w:rsidRDefault="002E14FF">
      <w:pPr>
        <w:pStyle w:val="CommentText"/>
      </w:pPr>
      <w:r>
        <w:rPr>
          <w:rStyle w:val="CommentReference"/>
        </w:rPr>
        <w:annotationRef/>
      </w:r>
      <w:r>
        <w:t>Arnie – fix citations. What’s the date of this paper?</w:t>
      </w:r>
    </w:p>
    <w:p w14:paraId="7458893D" w14:textId="77777777" w:rsidR="002E14FF" w:rsidRDefault="002E14FF">
      <w:pPr>
        <w:pStyle w:val="CommentText"/>
      </w:pPr>
    </w:p>
    <w:p w14:paraId="2129284F" w14:textId="5277595A" w:rsidR="002E14FF" w:rsidRDefault="002E14FF">
      <w:pPr>
        <w:pStyle w:val="CommentText"/>
      </w:pPr>
    </w:p>
  </w:comment>
  <w:comment w:id="4" w:author="Author" w:initials="A">
    <w:p w14:paraId="667A2BAB" w14:textId="05523AB6" w:rsidR="002E14FF" w:rsidRDefault="002E14FF">
      <w:pPr>
        <w:pStyle w:val="CommentText"/>
      </w:pPr>
      <w:r>
        <w:rPr>
          <w:rStyle w:val="CommentReference"/>
        </w:rPr>
        <w:annotationRef/>
      </w:r>
      <w:r>
        <w:t>Arnie – fix citations. What’s the date of this paper?</w:t>
      </w:r>
    </w:p>
  </w:comment>
  <w:comment w:id="5" w:author="Author" w:initials="A">
    <w:p w14:paraId="60EFFF6B" w14:textId="19E526B1" w:rsidR="002E14FF" w:rsidRDefault="002E14FF">
      <w:pPr>
        <w:pStyle w:val="CommentText"/>
      </w:pPr>
      <w:r>
        <w:rPr>
          <w:rStyle w:val="CommentReference"/>
        </w:rPr>
        <w:annotationRef/>
      </w:r>
      <w:r>
        <w:t xml:space="preserve">Kshama or Arnie - Is the mating result shown with both Providencia </w:t>
      </w:r>
      <w:proofErr w:type="spellStart"/>
      <w:r>
        <w:t>rettgeri</w:t>
      </w:r>
      <w:proofErr w:type="spellEnd"/>
      <w:r>
        <w:t xml:space="preserve"> and </w:t>
      </w:r>
      <w:proofErr w:type="spellStart"/>
      <w:r>
        <w:t>Providencial</w:t>
      </w:r>
      <w:proofErr w:type="spellEnd"/>
      <w:r>
        <w:t xml:space="preserve"> </w:t>
      </w:r>
      <w:proofErr w:type="spellStart"/>
      <w:r>
        <w:t>alcalifaciens</w:t>
      </w:r>
      <w:proofErr w:type="spellEnd"/>
      <w:r>
        <w:t xml:space="preserve">? Or just with </w:t>
      </w:r>
      <w:proofErr w:type="spellStart"/>
      <w:r>
        <w:t>rettgeri</w:t>
      </w:r>
      <w:proofErr w:type="spellEnd"/>
      <w:r>
        <w:t>?</w:t>
      </w:r>
    </w:p>
  </w:comment>
  <w:comment w:id="6" w:author="Author" w:initials="A">
    <w:p w14:paraId="5B8C3170" w14:textId="07CE1419" w:rsidR="002E14FF" w:rsidRDefault="002E14FF">
      <w:pPr>
        <w:pStyle w:val="CommentText"/>
      </w:pPr>
      <w:r>
        <w:rPr>
          <w:rStyle w:val="CommentReference"/>
        </w:rPr>
        <w:annotationRef/>
      </w:r>
      <w:r>
        <w:t>Arnie – fix citations. What’s the date of this paper?</w:t>
      </w:r>
    </w:p>
  </w:comment>
  <w:comment w:id="7" w:author="Author" w:initials="A">
    <w:p w14:paraId="67777E62" w14:textId="379879E2" w:rsidR="002E14FF" w:rsidRDefault="002E14FF">
      <w:pPr>
        <w:pStyle w:val="CommentText"/>
      </w:pPr>
      <w:r>
        <w:rPr>
          <w:rStyle w:val="CommentReference"/>
        </w:rPr>
        <w:annotationRef/>
      </w:r>
      <w:r>
        <w:t>Arnie – fix citations. What’s the date of this paper?</w:t>
      </w:r>
    </w:p>
  </w:comment>
  <w:comment w:id="8" w:author="Author" w:initials="A">
    <w:p w14:paraId="2B0E8648" w14:textId="1DEED0EE" w:rsidR="002E14FF" w:rsidRDefault="002E14FF" w:rsidP="0049148B">
      <w:pPr>
        <w:pStyle w:val="CommentText"/>
      </w:pPr>
      <w:r>
        <w:rPr>
          <w:rStyle w:val="CommentReference"/>
        </w:rPr>
        <w:annotationRef/>
      </w:r>
      <w:r>
        <w:t>Arnie – fix citations. What’s the date of this paper?</w:t>
      </w:r>
    </w:p>
  </w:comment>
  <w:comment w:id="9" w:author="Author" w:initials="A">
    <w:p w14:paraId="44A94AD6" w14:textId="24840A00" w:rsidR="002E14FF" w:rsidRDefault="002E14FF" w:rsidP="0049148B">
      <w:pPr>
        <w:pStyle w:val="CommentText"/>
      </w:pPr>
      <w:r>
        <w:rPr>
          <w:rStyle w:val="CommentReference"/>
        </w:rPr>
        <w:annotationRef/>
      </w:r>
      <w:r>
        <w:t>Arnie – fix citations. What’s the date of this paper?</w:t>
      </w:r>
    </w:p>
  </w:comment>
  <w:comment w:id="10" w:author="Author" w:initials="A">
    <w:p w14:paraId="7D7FB875" w14:textId="7A55CC08" w:rsidR="002E14FF" w:rsidRDefault="002E14FF" w:rsidP="0049148B">
      <w:pPr>
        <w:pStyle w:val="CommentText"/>
      </w:pPr>
      <w:r>
        <w:rPr>
          <w:rStyle w:val="CommentReference"/>
        </w:rPr>
        <w:annotationRef/>
      </w:r>
      <w:r>
        <w:t>Arnie – fix citations. What’s the date of this paper?</w:t>
      </w:r>
    </w:p>
  </w:comment>
  <w:comment w:id="11" w:author="Author" w:initials="A">
    <w:p w14:paraId="5D526E90" w14:textId="7D69B36E" w:rsidR="002E14FF" w:rsidRDefault="002E14FF">
      <w:pPr>
        <w:pStyle w:val="CommentText"/>
      </w:pPr>
      <w:r>
        <w:rPr>
          <w:rStyle w:val="CommentReference"/>
        </w:rPr>
        <w:annotationRef/>
      </w:r>
      <w:r>
        <w:t>Arnie – fix citations. What’s the date of this paper?</w:t>
      </w:r>
    </w:p>
  </w:comment>
  <w:comment w:id="12" w:author="Author" w:initials="A">
    <w:p w14:paraId="576668A8" w14:textId="296D8AC0" w:rsidR="002E14FF" w:rsidRDefault="002E14FF">
      <w:pPr>
        <w:pStyle w:val="CommentText"/>
      </w:pPr>
      <w:r>
        <w:rPr>
          <w:rStyle w:val="CommentReference"/>
        </w:rPr>
        <w:annotationRef/>
      </w:r>
      <w:r>
        <w:t>Arnie – fix reference formatting Begun et al. 1995</w:t>
      </w:r>
    </w:p>
  </w:comment>
  <w:comment w:id="13" w:author="Author" w:initials="A">
    <w:p w14:paraId="161C341A" w14:textId="311AD8E5" w:rsidR="002E14FF" w:rsidRDefault="002E14FF">
      <w:pPr>
        <w:pStyle w:val="CommentText"/>
      </w:pPr>
      <w:r>
        <w:rPr>
          <w:rStyle w:val="CommentReference"/>
        </w:rPr>
        <w:annotationRef/>
      </w:r>
      <w:r>
        <w:t>Kshama - Check this number.</w:t>
      </w:r>
    </w:p>
  </w:comment>
  <w:comment w:id="14" w:author="Author" w:initials="A">
    <w:p w14:paraId="5B2D80B1" w14:textId="77777777" w:rsidR="002E14FF" w:rsidRDefault="002E14FF">
      <w:pPr>
        <w:pStyle w:val="CommentText"/>
      </w:pPr>
      <w:r>
        <w:rPr>
          <w:rStyle w:val="CommentReference"/>
        </w:rPr>
        <w:annotationRef/>
      </w:r>
      <w:r>
        <w:t xml:space="preserve">Cut this to 12 days of mortality data instead of 14. </w:t>
      </w:r>
    </w:p>
    <w:p w14:paraId="21C09F16" w14:textId="02B5436E" w:rsidR="002E14FF" w:rsidRDefault="002E14FF">
      <w:pPr>
        <w:pStyle w:val="CommentText"/>
      </w:pPr>
      <w:proofErr w:type="gramStart"/>
      <w:r>
        <w:t>So</w:t>
      </w:r>
      <w:proofErr w:type="gramEnd"/>
      <w:r>
        <w:t xml:space="preserve"> this number gets changed to 27. </w:t>
      </w:r>
    </w:p>
  </w:comment>
  <w:comment w:id="15" w:author="Author" w:initials="A">
    <w:p w14:paraId="33DB58B0" w14:textId="409C72C0" w:rsidR="002E14FF" w:rsidRDefault="002E14FF">
      <w:pPr>
        <w:pStyle w:val="CommentText"/>
      </w:pPr>
      <w:r>
        <w:rPr>
          <w:rStyle w:val="CommentReference"/>
        </w:rPr>
        <w:annotationRef/>
      </w:r>
      <w:r>
        <w:t xml:space="preserve">Han – adjust this analysis so that it only includes the four treatments listed above. </w:t>
      </w:r>
    </w:p>
    <w:p w14:paraId="4CEB18B9" w14:textId="7F7D9FE5" w:rsidR="002E14FF" w:rsidRDefault="002E14FF">
      <w:pPr>
        <w:pStyle w:val="CommentText"/>
      </w:pPr>
      <w:r>
        <w:t xml:space="preserve">Be sure to cut the data to 12 days of post-spray survival data, instead of the current 14 days. </w:t>
      </w:r>
    </w:p>
    <w:p w14:paraId="7B76112C" w14:textId="77777777" w:rsidR="002E14FF" w:rsidRDefault="002E14FF">
      <w:pPr>
        <w:pStyle w:val="CommentText"/>
      </w:pPr>
    </w:p>
    <w:p w14:paraId="6DC2348D" w14:textId="13E20E5C" w:rsidR="002E14FF" w:rsidRDefault="002E14FF">
      <w:pPr>
        <w:pStyle w:val="CommentText"/>
      </w:pPr>
      <w:r>
        <w:t xml:space="preserve">Also, add text describing your work. </w:t>
      </w:r>
    </w:p>
  </w:comment>
  <w:comment w:id="16" w:author="Author" w:initials="A">
    <w:p w14:paraId="60B7F7FF" w14:textId="77777777" w:rsidR="002E14FF" w:rsidRDefault="002E14FF" w:rsidP="00524D18">
      <w:pPr>
        <w:pStyle w:val="CommentText"/>
      </w:pPr>
      <w:r>
        <w:rPr>
          <w:rStyle w:val="CommentReference"/>
        </w:rPr>
        <w:annotationRef/>
      </w:r>
      <w:r>
        <w:t xml:space="preserve">Cut this to 12 days of mortality data instead of 14. </w:t>
      </w:r>
    </w:p>
    <w:p w14:paraId="0530F8B2" w14:textId="0CB1D718" w:rsidR="002E14FF" w:rsidRDefault="002E14FF" w:rsidP="00524D18">
      <w:pPr>
        <w:pStyle w:val="CommentText"/>
      </w:pPr>
      <w:proofErr w:type="gramStart"/>
      <w:r>
        <w:t>So</w:t>
      </w:r>
      <w:proofErr w:type="gramEnd"/>
      <w:r>
        <w:t xml:space="preserve"> this number gets changed to 27.</w:t>
      </w:r>
    </w:p>
  </w:comment>
  <w:comment w:id="18" w:author="Author" w:initials="A">
    <w:p w14:paraId="571FB1F7" w14:textId="77777777" w:rsidR="002E14FF" w:rsidRDefault="002E14FF">
      <w:pPr>
        <w:pStyle w:val="CommentText"/>
      </w:pPr>
      <w:r>
        <w:rPr>
          <w:rStyle w:val="CommentReference"/>
        </w:rPr>
        <w:annotationRef/>
      </w:r>
      <w:r>
        <w:t>Han – do this analysis while cutting off the days post spray at 12 (instead of the current 14)</w:t>
      </w:r>
    </w:p>
    <w:p w14:paraId="05A139DE" w14:textId="4A20BD3B" w:rsidR="002E14FF" w:rsidRDefault="002E14FF">
      <w:pPr>
        <w:pStyle w:val="CommentText"/>
      </w:pPr>
      <w:r>
        <w:t xml:space="preserve">Update the text below if any changes are made to how you analyze this data. </w:t>
      </w:r>
    </w:p>
  </w:comment>
  <w:comment w:id="19" w:author="Author" w:initials="A">
    <w:p w14:paraId="38EC41DC" w14:textId="2EBCAA8F" w:rsidR="002E14FF" w:rsidRDefault="002E14FF">
      <w:pPr>
        <w:pStyle w:val="CommentText"/>
      </w:pPr>
      <w:r>
        <w:rPr>
          <w:rStyle w:val="CommentReference"/>
        </w:rPr>
        <w:annotationRef/>
      </w:r>
      <w:r>
        <w:t xml:space="preserve">Han - Cut the data off at 12 days. This may change your time intervals for the analysis. </w:t>
      </w:r>
    </w:p>
  </w:comment>
  <w:comment w:id="20" w:author="Author" w:initials="A">
    <w:p w14:paraId="1E05ADE2" w14:textId="71392E34" w:rsidR="002E14FF" w:rsidRDefault="002E14FF">
      <w:pPr>
        <w:pStyle w:val="CommentText"/>
      </w:pPr>
      <w:r>
        <w:rPr>
          <w:rStyle w:val="CommentReference"/>
        </w:rPr>
        <w:annotationRef/>
      </w:r>
      <w:r>
        <w:t xml:space="preserve">Arnie or Kshama– how much of each of these yeast pastes did you add to the surface of the diets? I didn’t find that anywhere in your descriptions. </w:t>
      </w:r>
    </w:p>
  </w:comment>
  <w:comment w:id="22" w:author="Author" w:initials="A">
    <w:p w14:paraId="78FDC24A" w14:textId="1FBD5826" w:rsidR="002E14FF" w:rsidRDefault="002E14FF">
      <w:pPr>
        <w:pStyle w:val="CommentText"/>
      </w:pPr>
      <w:r>
        <w:rPr>
          <w:rStyle w:val="CommentReference"/>
        </w:rPr>
        <w:annotationRef/>
      </w:r>
      <w:r>
        <w:t>Cut this to 12 days of data instead of the current 13</w:t>
      </w:r>
    </w:p>
  </w:comment>
  <w:comment w:id="21" w:author="Author" w:initials="A">
    <w:p w14:paraId="40C75CE3" w14:textId="5306C58A" w:rsidR="002E14FF" w:rsidRDefault="002E14FF">
      <w:pPr>
        <w:pStyle w:val="CommentText"/>
      </w:pPr>
      <w:r>
        <w:rPr>
          <w:rStyle w:val="CommentReference"/>
        </w:rPr>
        <w:annotationRef/>
      </w:r>
      <w:r>
        <w:t xml:space="preserve">Fix this table </w:t>
      </w:r>
    </w:p>
  </w:comment>
  <w:comment w:id="23" w:author="Author" w:initials="A">
    <w:p w14:paraId="5705EB10" w14:textId="6C75BF11" w:rsidR="002E14FF" w:rsidRDefault="002E14FF">
      <w:pPr>
        <w:pStyle w:val="CommentText"/>
      </w:pPr>
      <w:r>
        <w:rPr>
          <w:rStyle w:val="CommentReference"/>
        </w:rPr>
        <w:annotationRef/>
      </w:r>
      <w:r>
        <w:t xml:space="preserve">Han – add this analysis and text about it. </w:t>
      </w:r>
    </w:p>
  </w:comment>
  <w:comment w:id="25" w:author="Author" w:initials="A">
    <w:p w14:paraId="21DB8CB9" w14:textId="77777777" w:rsidR="002E14FF" w:rsidRDefault="002E14FF" w:rsidP="00401C5B">
      <w:pPr>
        <w:pStyle w:val="CommentText"/>
      </w:pPr>
      <w:r>
        <w:rPr>
          <w:rStyle w:val="CommentReference"/>
        </w:rPr>
        <w:annotationRef/>
      </w:r>
      <w:r>
        <w:t>If diets from different labs affect survival, they may affect load and gene expression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29284F" w15:done="0"/>
  <w15:commentEx w15:paraId="667A2BAB" w15:done="0"/>
  <w15:commentEx w15:paraId="60EFFF6B" w15:done="0"/>
  <w15:commentEx w15:paraId="5B8C3170" w15:done="0"/>
  <w15:commentEx w15:paraId="67777E62" w15:done="0"/>
  <w15:commentEx w15:paraId="2B0E8648" w15:done="0"/>
  <w15:commentEx w15:paraId="44A94AD6" w15:done="0"/>
  <w15:commentEx w15:paraId="7D7FB875" w15:done="0"/>
  <w15:commentEx w15:paraId="5D526E90" w15:done="0"/>
  <w15:commentEx w15:paraId="576668A8" w15:done="0"/>
  <w15:commentEx w15:paraId="161C341A" w15:done="0"/>
  <w15:commentEx w15:paraId="21C09F16" w15:done="0"/>
  <w15:commentEx w15:paraId="6DC2348D" w15:done="0"/>
  <w15:commentEx w15:paraId="0530F8B2" w15:done="0"/>
  <w15:commentEx w15:paraId="05A139DE" w15:done="0"/>
  <w15:commentEx w15:paraId="38EC41DC" w15:done="0"/>
  <w15:commentEx w15:paraId="1E05ADE2" w15:done="0"/>
  <w15:commentEx w15:paraId="78FDC24A" w15:done="0"/>
  <w15:commentEx w15:paraId="40C75CE3" w15:done="0"/>
  <w15:commentEx w15:paraId="5705EB10" w15:done="0"/>
  <w15:commentEx w15:paraId="21DB8C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29284F" w16cid:durableId="216D755B"/>
  <w16cid:commentId w16cid:paraId="667A2BAB" w16cid:durableId="21A75792"/>
  <w16cid:commentId w16cid:paraId="60EFFF6B" w16cid:durableId="21A75797"/>
  <w16cid:commentId w16cid:paraId="5B8C3170" w16cid:durableId="21A75782"/>
  <w16cid:commentId w16cid:paraId="67777E62" w16cid:durableId="21A757D9"/>
  <w16cid:commentId w16cid:paraId="2B0E8648" w16cid:durableId="216D755C"/>
  <w16cid:commentId w16cid:paraId="44A94AD6" w16cid:durableId="216D755D"/>
  <w16cid:commentId w16cid:paraId="7D7FB875" w16cid:durableId="216D755E"/>
  <w16cid:commentId w16cid:paraId="5D526E90" w16cid:durableId="216D755F"/>
  <w16cid:commentId w16cid:paraId="576668A8" w16cid:durableId="21A767C2"/>
  <w16cid:commentId w16cid:paraId="161C341A" w16cid:durableId="21B5DE1B"/>
  <w16cid:commentId w16cid:paraId="21C09F16" w16cid:durableId="21B73C82"/>
  <w16cid:commentId w16cid:paraId="6DC2348D" w16cid:durableId="21B73C10"/>
  <w16cid:commentId w16cid:paraId="0530F8B2" w16cid:durableId="21B73D0D"/>
  <w16cid:commentId w16cid:paraId="05A139DE" w16cid:durableId="21B73E42"/>
  <w16cid:commentId w16cid:paraId="38EC41DC" w16cid:durableId="21B73E89"/>
  <w16cid:commentId w16cid:paraId="1E05ADE2" w16cid:durableId="21B73F81"/>
  <w16cid:commentId w16cid:paraId="78FDC24A" w16cid:durableId="21B73F0A"/>
  <w16cid:commentId w16cid:paraId="40C75CE3" w16cid:durableId="21B86F28"/>
  <w16cid:commentId w16cid:paraId="5705EB10" w16cid:durableId="21B73FBE"/>
  <w16cid:commentId w16cid:paraId="21DB8CB9" w16cid:durableId="21A4FA0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E233C" w14:textId="77777777" w:rsidR="00244D87" w:rsidRDefault="00244D87">
      <w:r>
        <w:separator/>
      </w:r>
    </w:p>
  </w:endnote>
  <w:endnote w:type="continuationSeparator" w:id="0">
    <w:p w14:paraId="72FC5AC3" w14:textId="77777777" w:rsidR="00244D87" w:rsidRDefault="00244D87">
      <w:r>
        <w:continuationSeparator/>
      </w:r>
    </w:p>
  </w:endnote>
  <w:endnote w:type="continuationNotice" w:id="1">
    <w:p w14:paraId="7975C1EB" w14:textId="77777777" w:rsidR="00244D87" w:rsidRDefault="00244D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3366A" w14:textId="293FD142" w:rsidR="002E14FF" w:rsidRDefault="002E14FF" w:rsidP="00017E61">
    <w:pPr>
      <w:pStyle w:val="Footer"/>
      <w:jc w:val="center"/>
    </w:pPr>
  </w:p>
  <w:p w14:paraId="1985B1F3" w14:textId="77777777" w:rsidR="002E14FF" w:rsidRDefault="002E14FF" w:rsidP="006A27D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F37B4" w14:textId="77777777" w:rsidR="00244D87" w:rsidRDefault="00244D87">
      <w:r>
        <w:separator/>
      </w:r>
    </w:p>
  </w:footnote>
  <w:footnote w:type="continuationSeparator" w:id="0">
    <w:p w14:paraId="1C61F422" w14:textId="77777777" w:rsidR="00244D87" w:rsidRDefault="00244D87">
      <w:r>
        <w:continuationSeparator/>
      </w:r>
    </w:p>
  </w:footnote>
  <w:footnote w:type="continuationNotice" w:id="1">
    <w:p w14:paraId="3E7231E9" w14:textId="77777777" w:rsidR="00244D87" w:rsidRDefault="00244D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2152983"/>
      <w:docPartObj>
        <w:docPartGallery w:val="Page Numbers (Top of Page)"/>
        <w:docPartUnique/>
      </w:docPartObj>
    </w:sdtPr>
    <w:sdtEndPr>
      <w:rPr>
        <w:noProof/>
      </w:rPr>
    </w:sdtEndPr>
    <w:sdtContent>
      <w:p w14:paraId="60470624" w14:textId="741DA426" w:rsidR="002E14FF" w:rsidRDefault="002E14FF" w:rsidP="000038CE">
        <w:pPr>
          <w:pStyle w:val="Header"/>
          <w:tabs>
            <w:tab w:val="clear" w:pos="4320"/>
            <w:tab w:val="center" w:pos="5850"/>
          </w:tabs>
        </w:pPr>
        <w:r>
          <w:t>MATING AND IMMUNE DEFENSE TRADEOFFS</w:t>
        </w:r>
        <w:r>
          <w:tab/>
        </w:r>
        <w:r>
          <w:tab/>
        </w:r>
        <w:r>
          <w:fldChar w:fldCharType="begin"/>
        </w:r>
        <w:r>
          <w:instrText xml:space="preserve"> PAGE   \* MERGEFORMAT </w:instrText>
        </w:r>
        <w:r>
          <w:fldChar w:fldCharType="separate"/>
        </w:r>
        <w:r>
          <w:rPr>
            <w:noProof/>
          </w:rPr>
          <w:t>27</w:t>
        </w:r>
        <w:r>
          <w:rPr>
            <w:noProof/>
          </w:rPr>
          <w:fldChar w:fldCharType="end"/>
        </w:r>
      </w:p>
    </w:sdtContent>
  </w:sdt>
  <w:p w14:paraId="4848D827" w14:textId="77777777" w:rsidR="002E14FF" w:rsidRDefault="002E14FF" w:rsidP="00F82E6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86689"/>
      <w:docPartObj>
        <w:docPartGallery w:val="Page Numbers (Top of Page)"/>
        <w:docPartUnique/>
      </w:docPartObj>
    </w:sdtPr>
    <w:sdtEndPr>
      <w:rPr>
        <w:noProof/>
      </w:rPr>
    </w:sdtEndPr>
    <w:sdtContent>
      <w:p w14:paraId="1B226BCF" w14:textId="6434A278" w:rsidR="002E14FF" w:rsidRDefault="002E14FF" w:rsidP="000038CE">
        <w:pPr>
          <w:pStyle w:val="Header"/>
          <w:tabs>
            <w:tab w:val="clear" w:pos="4320"/>
            <w:tab w:val="center" w:pos="6750"/>
          </w:tabs>
        </w:pPr>
        <w:r>
          <w:t>Running head: MATING AND IMMUNE DEFENSE TRADEOFFS</w:t>
        </w:r>
        <w:r>
          <w:tab/>
        </w:r>
        <w:r>
          <w:tab/>
        </w:r>
        <w:r>
          <w:fldChar w:fldCharType="begin"/>
        </w:r>
        <w:r>
          <w:instrText xml:space="preserve"> PAGE   \* MERGEFORMAT </w:instrText>
        </w:r>
        <w:r>
          <w:fldChar w:fldCharType="separate"/>
        </w:r>
        <w:r>
          <w:rPr>
            <w:noProof/>
          </w:rPr>
          <w:t>1</w:t>
        </w:r>
        <w:r>
          <w:rPr>
            <w:noProof/>
          </w:rPr>
          <w:fldChar w:fldCharType="end"/>
        </w:r>
      </w:p>
    </w:sdtContent>
  </w:sdt>
  <w:p w14:paraId="4D21213E" w14:textId="77777777" w:rsidR="002E14FF" w:rsidRDefault="002E14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B1E55"/>
    <w:multiLevelType w:val="hybridMultilevel"/>
    <w:tmpl w:val="88489C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F0EDF"/>
    <w:multiLevelType w:val="hybridMultilevel"/>
    <w:tmpl w:val="A544B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F337B"/>
    <w:multiLevelType w:val="multilevel"/>
    <w:tmpl w:val="8C6A26A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DAC4136"/>
    <w:multiLevelType w:val="hybridMultilevel"/>
    <w:tmpl w:val="CBE4A8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E16B68"/>
    <w:multiLevelType w:val="hybridMultilevel"/>
    <w:tmpl w:val="8BCC7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714D9"/>
    <w:multiLevelType w:val="multilevel"/>
    <w:tmpl w:val="FA5E9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84C0D"/>
    <w:multiLevelType w:val="hybridMultilevel"/>
    <w:tmpl w:val="9BFECFA4"/>
    <w:lvl w:ilvl="0" w:tplc="1D9C343E">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14003"/>
    <w:multiLevelType w:val="hybridMultilevel"/>
    <w:tmpl w:val="35C401A0"/>
    <w:lvl w:ilvl="0" w:tplc="BE568D0A">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BF6199"/>
    <w:multiLevelType w:val="hybridMultilevel"/>
    <w:tmpl w:val="A6BA9B2E"/>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217940"/>
    <w:multiLevelType w:val="hybridMultilevel"/>
    <w:tmpl w:val="1236E640"/>
    <w:lvl w:ilvl="0" w:tplc="FE7221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AC09E8"/>
    <w:multiLevelType w:val="hybridMultilevel"/>
    <w:tmpl w:val="42F2BC7C"/>
    <w:lvl w:ilvl="0" w:tplc="369C77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7A2C"/>
    <w:multiLevelType w:val="hybridMultilevel"/>
    <w:tmpl w:val="474EE3EE"/>
    <w:lvl w:ilvl="0" w:tplc="74DC7B72">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51A6B"/>
    <w:multiLevelType w:val="hybridMultilevel"/>
    <w:tmpl w:val="C3B6D34A"/>
    <w:lvl w:ilvl="0" w:tplc="1D4A0DF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4844915"/>
    <w:multiLevelType w:val="hybridMultilevel"/>
    <w:tmpl w:val="CBFC2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630871"/>
    <w:multiLevelType w:val="hybridMultilevel"/>
    <w:tmpl w:val="ECE6B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7655D4"/>
    <w:multiLevelType w:val="hybridMultilevel"/>
    <w:tmpl w:val="ECE6B7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D916F7"/>
    <w:multiLevelType w:val="hybridMultilevel"/>
    <w:tmpl w:val="81B8ECCA"/>
    <w:lvl w:ilvl="0" w:tplc="0409000D">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586678AB"/>
    <w:multiLevelType w:val="hybridMultilevel"/>
    <w:tmpl w:val="62AE1D68"/>
    <w:lvl w:ilvl="0" w:tplc="04090001">
      <w:start w:val="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156EA2"/>
    <w:multiLevelType w:val="hybridMultilevel"/>
    <w:tmpl w:val="B7909D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A556AB"/>
    <w:multiLevelType w:val="hybridMultilevel"/>
    <w:tmpl w:val="6BC8535C"/>
    <w:lvl w:ilvl="0" w:tplc="B61E341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A993AFB"/>
    <w:multiLevelType w:val="hybridMultilevel"/>
    <w:tmpl w:val="558A18B4"/>
    <w:lvl w:ilvl="0" w:tplc="1A1641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EC1BD7"/>
    <w:multiLevelType w:val="hybridMultilevel"/>
    <w:tmpl w:val="9418E3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4E4EB9"/>
    <w:multiLevelType w:val="hybridMultilevel"/>
    <w:tmpl w:val="890C13AC"/>
    <w:lvl w:ilvl="0" w:tplc="0409000F">
      <w:start w:val="1"/>
      <w:numFmt w:val="decimal"/>
      <w:lvlText w:val="%1."/>
      <w:lvlJc w:val="left"/>
      <w:pPr>
        <w:ind w:left="907" w:hanging="360"/>
      </w:pPr>
    </w:lvl>
    <w:lvl w:ilvl="1" w:tplc="04090019">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num w:numId="1">
    <w:abstractNumId w:val="16"/>
  </w:num>
  <w:num w:numId="2">
    <w:abstractNumId w:val="0"/>
  </w:num>
  <w:num w:numId="3">
    <w:abstractNumId w:val="21"/>
  </w:num>
  <w:num w:numId="4">
    <w:abstractNumId w:val="18"/>
  </w:num>
  <w:num w:numId="5">
    <w:abstractNumId w:val="3"/>
  </w:num>
  <w:num w:numId="6">
    <w:abstractNumId w:val="4"/>
  </w:num>
  <w:num w:numId="7">
    <w:abstractNumId w:val="5"/>
  </w:num>
  <w:num w:numId="8">
    <w:abstractNumId w:val="22"/>
  </w:num>
  <w:num w:numId="9">
    <w:abstractNumId w:val="13"/>
  </w:num>
  <w:num w:numId="10">
    <w:abstractNumId w:val="14"/>
  </w:num>
  <w:num w:numId="11">
    <w:abstractNumId w:val="15"/>
  </w:num>
  <w:num w:numId="12">
    <w:abstractNumId w:val="7"/>
  </w:num>
  <w:num w:numId="13">
    <w:abstractNumId w:val="6"/>
  </w:num>
  <w:num w:numId="14">
    <w:abstractNumId w:val="11"/>
  </w:num>
  <w:num w:numId="15">
    <w:abstractNumId w:val="2"/>
  </w:num>
  <w:num w:numId="16">
    <w:abstractNumId w:val="9"/>
  </w:num>
  <w:num w:numId="17">
    <w:abstractNumId w:val="10"/>
  </w:num>
  <w:num w:numId="18">
    <w:abstractNumId w:val="19"/>
  </w:num>
  <w:num w:numId="19">
    <w:abstractNumId w:val="12"/>
  </w:num>
  <w:num w:numId="20">
    <w:abstractNumId w:val="17"/>
  </w:num>
  <w:num w:numId="21">
    <w:abstractNumId w:val="8"/>
  </w:num>
  <w:num w:numId="22">
    <w:abstractNumId w:val="20"/>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0A1"/>
    <w:rsid w:val="0000030E"/>
    <w:rsid w:val="0000149E"/>
    <w:rsid w:val="000024D6"/>
    <w:rsid w:val="000038CE"/>
    <w:rsid w:val="000075F3"/>
    <w:rsid w:val="000133A8"/>
    <w:rsid w:val="0001798D"/>
    <w:rsid w:val="00017E61"/>
    <w:rsid w:val="00021477"/>
    <w:rsid w:val="0002224E"/>
    <w:rsid w:val="0002345F"/>
    <w:rsid w:val="000234C3"/>
    <w:rsid w:val="0002583B"/>
    <w:rsid w:val="00025F0B"/>
    <w:rsid w:val="00027667"/>
    <w:rsid w:val="0002778E"/>
    <w:rsid w:val="0003214B"/>
    <w:rsid w:val="00032152"/>
    <w:rsid w:val="00033356"/>
    <w:rsid w:val="0003414C"/>
    <w:rsid w:val="00035FED"/>
    <w:rsid w:val="000432B5"/>
    <w:rsid w:val="00046729"/>
    <w:rsid w:val="00052401"/>
    <w:rsid w:val="00052ECA"/>
    <w:rsid w:val="000560CF"/>
    <w:rsid w:val="00057DC1"/>
    <w:rsid w:val="00064243"/>
    <w:rsid w:val="00071CE9"/>
    <w:rsid w:val="00072FD3"/>
    <w:rsid w:val="000804B8"/>
    <w:rsid w:val="00080B96"/>
    <w:rsid w:val="000811DC"/>
    <w:rsid w:val="000839B6"/>
    <w:rsid w:val="00084494"/>
    <w:rsid w:val="0008490D"/>
    <w:rsid w:val="00085B10"/>
    <w:rsid w:val="00092C18"/>
    <w:rsid w:val="000A0073"/>
    <w:rsid w:val="000A4148"/>
    <w:rsid w:val="000A54B8"/>
    <w:rsid w:val="000B041C"/>
    <w:rsid w:val="000C208F"/>
    <w:rsid w:val="000C5F19"/>
    <w:rsid w:val="000C7341"/>
    <w:rsid w:val="000D55F1"/>
    <w:rsid w:val="000D6691"/>
    <w:rsid w:val="000E232B"/>
    <w:rsid w:val="000E7E7D"/>
    <w:rsid w:val="000F0F01"/>
    <w:rsid w:val="000F2A63"/>
    <w:rsid w:val="000F3422"/>
    <w:rsid w:val="000F7D24"/>
    <w:rsid w:val="001056B4"/>
    <w:rsid w:val="001123CF"/>
    <w:rsid w:val="00112517"/>
    <w:rsid w:val="00116306"/>
    <w:rsid w:val="001200CD"/>
    <w:rsid w:val="00122B06"/>
    <w:rsid w:val="0012568E"/>
    <w:rsid w:val="00126BA8"/>
    <w:rsid w:val="00133B46"/>
    <w:rsid w:val="0013577A"/>
    <w:rsid w:val="0014279B"/>
    <w:rsid w:val="00142D60"/>
    <w:rsid w:val="00147A72"/>
    <w:rsid w:val="001608E7"/>
    <w:rsid w:val="001635A3"/>
    <w:rsid w:val="001639FF"/>
    <w:rsid w:val="00163BB5"/>
    <w:rsid w:val="00166445"/>
    <w:rsid w:val="001773FE"/>
    <w:rsid w:val="00182EF8"/>
    <w:rsid w:val="00185A99"/>
    <w:rsid w:val="00191BCA"/>
    <w:rsid w:val="0019209B"/>
    <w:rsid w:val="0019311F"/>
    <w:rsid w:val="001933F6"/>
    <w:rsid w:val="0019427C"/>
    <w:rsid w:val="0019428D"/>
    <w:rsid w:val="00196C96"/>
    <w:rsid w:val="001A310D"/>
    <w:rsid w:val="001B1103"/>
    <w:rsid w:val="001B402B"/>
    <w:rsid w:val="001B4DAB"/>
    <w:rsid w:val="001C12ED"/>
    <w:rsid w:val="001C3736"/>
    <w:rsid w:val="001C74DF"/>
    <w:rsid w:val="001D2693"/>
    <w:rsid w:val="001D43A9"/>
    <w:rsid w:val="001D66E2"/>
    <w:rsid w:val="001E2B41"/>
    <w:rsid w:val="001E2E0B"/>
    <w:rsid w:val="001F121D"/>
    <w:rsid w:val="001F2512"/>
    <w:rsid w:val="001F6B9A"/>
    <w:rsid w:val="001F7B00"/>
    <w:rsid w:val="00201356"/>
    <w:rsid w:val="00202E9F"/>
    <w:rsid w:val="002036BE"/>
    <w:rsid w:val="002049E0"/>
    <w:rsid w:val="00206210"/>
    <w:rsid w:val="002065EF"/>
    <w:rsid w:val="00206FAD"/>
    <w:rsid w:val="00212CC7"/>
    <w:rsid w:val="00213D12"/>
    <w:rsid w:val="0021505C"/>
    <w:rsid w:val="002275BA"/>
    <w:rsid w:val="0023370E"/>
    <w:rsid w:val="00235A87"/>
    <w:rsid w:val="00244D87"/>
    <w:rsid w:val="00253B0B"/>
    <w:rsid w:val="00254162"/>
    <w:rsid w:val="00261A60"/>
    <w:rsid w:val="00262102"/>
    <w:rsid w:val="00264116"/>
    <w:rsid w:val="00265583"/>
    <w:rsid w:val="0027228F"/>
    <w:rsid w:val="0027261F"/>
    <w:rsid w:val="002751DD"/>
    <w:rsid w:val="00275672"/>
    <w:rsid w:val="002927B8"/>
    <w:rsid w:val="00296162"/>
    <w:rsid w:val="002B233F"/>
    <w:rsid w:val="002B267B"/>
    <w:rsid w:val="002C001E"/>
    <w:rsid w:val="002C0BD8"/>
    <w:rsid w:val="002C2804"/>
    <w:rsid w:val="002C5C80"/>
    <w:rsid w:val="002D5566"/>
    <w:rsid w:val="002E0E21"/>
    <w:rsid w:val="002E14FF"/>
    <w:rsid w:val="002E17FF"/>
    <w:rsid w:val="002E2C5E"/>
    <w:rsid w:val="002E3C7C"/>
    <w:rsid w:val="002E5CB7"/>
    <w:rsid w:val="002F30DF"/>
    <w:rsid w:val="002F3F32"/>
    <w:rsid w:val="002F4B15"/>
    <w:rsid w:val="002F6E3D"/>
    <w:rsid w:val="00304184"/>
    <w:rsid w:val="00304A46"/>
    <w:rsid w:val="00310548"/>
    <w:rsid w:val="0031149F"/>
    <w:rsid w:val="00325355"/>
    <w:rsid w:val="00327CBB"/>
    <w:rsid w:val="00331D78"/>
    <w:rsid w:val="0033255C"/>
    <w:rsid w:val="00332DC7"/>
    <w:rsid w:val="003330E0"/>
    <w:rsid w:val="003364CB"/>
    <w:rsid w:val="00344469"/>
    <w:rsid w:val="003449F0"/>
    <w:rsid w:val="0034572A"/>
    <w:rsid w:val="00346E26"/>
    <w:rsid w:val="00347899"/>
    <w:rsid w:val="00347A60"/>
    <w:rsid w:val="00350F69"/>
    <w:rsid w:val="00351138"/>
    <w:rsid w:val="00351E44"/>
    <w:rsid w:val="00353964"/>
    <w:rsid w:val="00353EE4"/>
    <w:rsid w:val="00354942"/>
    <w:rsid w:val="00355320"/>
    <w:rsid w:val="003555DC"/>
    <w:rsid w:val="003571D0"/>
    <w:rsid w:val="00362784"/>
    <w:rsid w:val="003653D8"/>
    <w:rsid w:val="00365F1A"/>
    <w:rsid w:val="00377D42"/>
    <w:rsid w:val="003859D5"/>
    <w:rsid w:val="00391835"/>
    <w:rsid w:val="003A0E3D"/>
    <w:rsid w:val="003A42A4"/>
    <w:rsid w:val="003A621C"/>
    <w:rsid w:val="003C0FE5"/>
    <w:rsid w:val="003C2728"/>
    <w:rsid w:val="003C5BAF"/>
    <w:rsid w:val="003C635D"/>
    <w:rsid w:val="003C7F20"/>
    <w:rsid w:val="003D4F3E"/>
    <w:rsid w:val="003D4F86"/>
    <w:rsid w:val="003D6364"/>
    <w:rsid w:val="003E2E9A"/>
    <w:rsid w:val="003E3967"/>
    <w:rsid w:val="003E4650"/>
    <w:rsid w:val="003F5D96"/>
    <w:rsid w:val="00401C5B"/>
    <w:rsid w:val="00403640"/>
    <w:rsid w:val="00410E8D"/>
    <w:rsid w:val="00414986"/>
    <w:rsid w:val="00414FDB"/>
    <w:rsid w:val="004166BB"/>
    <w:rsid w:val="00417821"/>
    <w:rsid w:val="004239D5"/>
    <w:rsid w:val="004242F1"/>
    <w:rsid w:val="00427A18"/>
    <w:rsid w:val="00427C15"/>
    <w:rsid w:val="00435C75"/>
    <w:rsid w:val="004366B0"/>
    <w:rsid w:val="00442A81"/>
    <w:rsid w:val="00447949"/>
    <w:rsid w:val="00453BD1"/>
    <w:rsid w:val="004547F8"/>
    <w:rsid w:val="004549FC"/>
    <w:rsid w:val="00460BE3"/>
    <w:rsid w:val="00482044"/>
    <w:rsid w:val="00483E7D"/>
    <w:rsid w:val="00485027"/>
    <w:rsid w:val="004867DE"/>
    <w:rsid w:val="004870F9"/>
    <w:rsid w:val="00490C13"/>
    <w:rsid w:val="0049148B"/>
    <w:rsid w:val="004927B8"/>
    <w:rsid w:val="0049577A"/>
    <w:rsid w:val="00495F33"/>
    <w:rsid w:val="00497CAF"/>
    <w:rsid w:val="004A0239"/>
    <w:rsid w:val="004A1A89"/>
    <w:rsid w:val="004A241C"/>
    <w:rsid w:val="004A301C"/>
    <w:rsid w:val="004A6980"/>
    <w:rsid w:val="004B3ABC"/>
    <w:rsid w:val="004B58CE"/>
    <w:rsid w:val="004C4DA2"/>
    <w:rsid w:val="004D2FC2"/>
    <w:rsid w:val="004D4048"/>
    <w:rsid w:val="004E083E"/>
    <w:rsid w:val="004E22E2"/>
    <w:rsid w:val="004E2707"/>
    <w:rsid w:val="004E3A4E"/>
    <w:rsid w:val="004E5779"/>
    <w:rsid w:val="004F0414"/>
    <w:rsid w:val="004F2811"/>
    <w:rsid w:val="004F7409"/>
    <w:rsid w:val="00500785"/>
    <w:rsid w:val="005022FE"/>
    <w:rsid w:val="00505123"/>
    <w:rsid w:val="00513DB9"/>
    <w:rsid w:val="00515DF8"/>
    <w:rsid w:val="0052119A"/>
    <w:rsid w:val="00521E71"/>
    <w:rsid w:val="00522E97"/>
    <w:rsid w:val="005230C8"/>
    <w:rsid w:val="00524D18"/>
    <w:rsid w:val="00542B06"/>
    <w:rsid w:val="005475CC"/>
    <w:rsid w:val="0055160E"/>
    <w:rsid w:val="00554FCD"/>
    <w:rsid w:val="005559F1"/>
    <w:rsid w:val="00555AF5"/>
    <w:rsid w:val="005570A1"/>
    <w:rsid w:val="00557848"/>
    <w:rsid w:val="005602D6"/>
    <w:rsid w:val="005629C9"/>
    <w:rsid w:val="00562B83"/>
    <w:rsid w:val="005637A6"/>
    <w:rsid w:val="00586833"/>
    <w:rsid w:val="00586A22"/>
    <w:rsid w:val="00591005"/>
    <w:rsid w:val="00597133"/>
    <w:rsid w:val="005A3D22"/>
    <w:rsid w:val="005A484A"/>
    <w:rsid w:val="005A6806"/>
    <w:rsid w:val="005A6F93"/>
    <w:rsid w:val="005A71B5"/>
    <w:rsid w:val="005B0A4D"/>
    <w:rsid w:val="005B2CF2"/>
    <w:rsid w:val="005B66F5"/>
    <w:rsid w:val="005C178B"/>
    <w:rsid w:val="005C4980"/>
    <w:rsid w:val="005C727F"/>
    <w:rsid w:val="005C73F4"/>
    <w:rsid w:val="005C7FA0"/>
    <w:rsid w:val="005E3A0C"/>
    <w:rsid w:val="005E500D"/>
    <w:rsid w:val="005F793D"/>
    <w:rsid w:val="0060505F"/>
    <w:rsid w:val="006058AD"/>
    <w:rsid w:val="0060679A"/>
    <w:rsid w:val="0060753D"/>
    <w:rsid w:val="006075F4"/>
    <w:rsid w:val="00607769"/>
    <w:rsid w:val="00607C05"/>
    <w:rsid w:val="00612E54"/>
    <w:rsid w:val="006178A3"/>
    <w:rsid w:val="006219CD"/>
    <w:rsid w:val="00622F7B"/>
    <w:rsid w:val="006265BB"/>
    <w:rsid w:val="006267B8"/>
    <w:rsid w:val="00627C0F"/>
    <w:rsid w:val="00630C23"/>
    <w:rsid w:val="0064427B"/>
    <w:rsid w:val="0064429B"/>
    <w:rsid w:val="00644E5B"/>
    <w:rsid w:val="006451DD"/>
    <w:rsid w:val="00647CCC"/>
    <w:rsid w:val="00650C60"/>
    <w:rsid w:val="00653947"/>
    <w:rsid w:val="00655483"/>
    <w:rsid w:val="006628C0"/>
    <w:rsid w:val="006630A1"/>
    <w:rsid w:val="0066429C"/>
    <w:rsid w:val="0067096C"/>
    <w:rsid w:val="00680788"/>
    <w:rsid w:val="00681E7E"/>
    <w:rsid w:val="00681FF0"/>
    <w:rsid w:val="00685132"/>
    <w:rsid w:val="00685A85"/>
    <w:rsid w:val="0068647F"/>
    <w:rsid w:val="0069063D"/>
    <w:rsid w:val="0069066B"/>
    <w:rsid w:val="00691930"/>
    <w:rsid w:val="00692602"/>
    <w:rsid w:val="0069332A"/>
    <w:rsid w:val="00696226"/>
    <w:rsid w:val="0069785A"/>
    <w:rsid w:val="006A2115"/>
    <w:rsid w:val="006A27D3"/>
    <w:rsid w:val="006A60D1"/>
    <w:rsid w:val="006B0C40"/>
    <w:rsid w:val="006C02B4"/>
    <w:rsid w:val="006C1722"/>
    <w:rsid w:val="006C491C"/>
    <w:rsid w:val="006C4B10"/>
    <w:rsid w:val="006C782C"/>
    <w:rsid w:val="006D2A38"/>
    <w:rsid w:val="006E7B58"/>
    <w:rsid w:val="006F0D1C"/>
    <w:rsid w:val="006F57C9"/>
    <w:rsid w:val="0070003F"/>
    <w:rsid w:val="00701FDA"/>
    <w:rsid w:val="00705EBB"/>
    <w:rsid w:val="00707489"/>
    <w:rsid w:val="007125FE"/>
    <w:rsid w:val="00712DC8"/>
    <w:rsid w:val="00716F7B"/>
    <w:rsid w:val="00735C65"/>
    <w:rsid w:val="00736D64"/>
    <w:rsid w:val="00740337"/>
    <w:rsid w:val="00740AB7"/>
    <w:rsid w:val="00741D5B"/>
    <w:rsid w:val="00742EB9"/>
    <w:rsid w:val="00743576"/>
    <w:rsid w:val="00747551"/>
    <w:rsid w:val="0075070E"/>
    <w:rsid w:val="00753C05"/>
    <w:rsid w:val="00753F39"/>
    <w:rsid w:val="00756CAE"/>
    <w:rsid w:val="00763978"/>
    <w:rsid w:val="00765928"/>
    <w:rsid w:val="007659A0"/>
    <w:rsid w:val="00771456"/>
    <w:rsid w:val="0077181A"/>
    <w:rsid w:val="00774C3B"/>
    <w:rsid w:val="00775CC3"/>
    <w:rsid w:val="00775E88"/>
    <w:rsid w:val="007765A7"/>
    <w:rsid w:val="00777718"/>
    <w:rsid w:val="00790866"/>
    <w:rsid w:val="00791ABD"/>
    <w:rsid w:val="007A6B93"/>
    <w:rsid w:val="007C3A09"/>
    <w:rsid w:val="007C511F"/>
    <w:rsid w:val="007D70B4"/>
    <w:rsid w:val="007D7C33"/>
    <w:rsid w:val="007E4069"/>
    <w:rsid w:val="007E7268"/>
    <w:rsid w:val="007F443E"/>
    <w:rsid w:val="00803FD3"/>
    <w:rsid w:val="00806777"/>
    <w:rsid w:val="0081134A"/>
    <w:rsid w:val="0081233B"/>
    <w:rsid w:val="00817204"/>
    <w:rsid w:val="0082162B"/>
    <w:rsid w:val="00821C69"/>
    <w:rsid w:val="00822ABB"/>
    <w:rsid w:val="00823EC3"/>
    <w:rsid w:val="00824DD9"/>
    <w:rsid w:val="008279DE"/>
    <w:rsid w:val="00827F84"/>
    <w:rsid w:val="00831CA7"/>
    <w:rsid w:val="00832B17"/>
    <w:rsid w:val="00834DB4"/>
    <w:rsid w:val="00836101"/>
    <w:rsid w:val="00842136"/>
    <w:rsid w:val="0084758A"/>
    <w:rsid w:val="00854BC0"/>
    <w:rsid w:val="00855425"/>
    <w:rsid w:val="00855890"/>
    <w:rsid w:val="00856530"/>
    <w:rsid w:val="008607C2"/>
    <w:rsid w:val="0086110D"/>
    <w:rsid w:val="00863EE3"/>
    <w:rsid w:val="00864CDB"/>
    <w:rsid w:val="00866790"/>
    <w:rsid w:val="00867A2E"/>
    <w:rsid w:val="00867FB3"/>
    <w:rsid w:val="00875402"/>
    <w:rsid w:val="00875D06"/>
    <w:rsid w:val="0087691D"/>
    <w:rsid w:val="00883897"/>
    <w:rsid w:val="0088473B"/>
    <w:rsid w:val="00884E52"/>
    <w:rsid w:val="00884F55"/>
    <w:rsid w:val="00885C8D"/>
    <w:rsid w:val="00885E77"/>
    <w:rsid w:val="00887652"/>
    <w:rsid w:val="008A40E1"/>
    <w:rsid w:val="008A5EC9"/>
    <w:rsid w:val="008B6BF3"/>
    <w:rsid w:val="008D2340"/>
    <w:rsid w:val="008D758E"/>
    <w:rsid w:val="008E019A"/>
    <w:rsid w:val="008E1ECA"/>
    <w:rsid w:val="008E47D6"/>
    <w:rsid w:val="008E5E84"/>
    <w:rsid w:val="008E67DD"/>
    <w:rsid w:val="008F23D5"/>
    <w:rsid w:val="008F270E"/>
    <w:rsid w:val="008F4C44"/>
    <w:rsid w:val="008F762C"/>
    <w:rsid w:val="0090234C"/>
    <w:rsid w:val="00902A16"/>
    <w:rsid w:val="00902BAD"/>
    <w:rsid w:val="00906152"/>
    <w:rsid w:val="00906A72"/>
    <w:rsid w:val="009100B8"/>
    <w:rsid w:val="00916936"/>
    <w:rsid w:val="00917B6D"/>
    <w:rsid w:val="00923542"/>
    <w:rsid w:val="00925D8C"/>
    <w:rsid w:val="0093035C"/>
    <w:rsid w:val="00932A46"/>
    <w:rsid w:val="00933D01"/>
    <w:rsid w:val="00934D61"/>
    <w:rsid w:val="009352C7"/>
    <w:rsid w:val="00936376"/>
    <w:rsid w:val="00936389"/>
    <w:rsid w:val="00936A6D"/>
    <w:rsid w:val="00937EA4"/>
    <w:rsid w:val="00942B8A"/>
    <w:rsid w:val="00950E49"/>
    <w:rsid w:val="009525CC"/>
    <w:rsid w:val="00953C7B"/>
    <w:rsid w:val="009557B4"/>
    <w:rsid w:val="00956282"/>
    <w:rsid w:val="00963318"/>
    <w:rsid w:val="00966306"/>
    <w:rsid w:val="00966CB8"/>
    <w:rsid w:val="0097043A"/>
    <w:rsid w:val="009707D7"/>
    <w:rsid w:val="00970A2A"/>
    <w:rsid w:val="00971244"/>
    <w:rsid w:val="00972811"/>
    <w:rsid w:val="00972E1C"/>
    <w:rsid w:val="00975C0B"/>
    <w:rsid w:val="00976650"/>
    <w:rsid w:val="00976A8D"/>
    <w:rsid w:val="00977FD4"/>
    <w:rsid w:val="009827A1"/>
    <w:rsid w:val="00994E58"/>
    <w:rsid w:val="00997DD4"/>
    <w:rsid w:val="009A2D30"/>
    <w:rsid w:val="009A6BE8"/>
    <w:rsid w:val="009B0D30"/>
    <w:rsid w:val="009B29EF"/>
    <w:rsid w:val="009B6AFC"/>
    <w:rsid w:val="009B6F2F"/>
    <w:rsid w:val="009C1933"/>
    <w:rsid w:val="009C43C7"/>
    <w:rsid w:val="009C5212"/>
    <w:rsid w:val="009D2D21"/>
    <w:rsid w:val="009D452C"/>
    <w:rsid w:val="009D7375"/>
    <w:rsid w:val="009E1A83"/>
    <w:rsid w:val="009E26C0"/>
    <w:rsid w:val="009E3A89"/>
    <w:rsid w:val="009E7EB5"/>
    <w:rsid w:val="009F11D6"/>
    <w:rsid w:val="009F4988"/>
    <w:rsid w:val="009F4CB9"/>
    <w:rsid w:val="009F4E22"/>
    <w:rsid w:val="00A0714A"/>
    <w:rsid w:val="00A220B3"/>
    <w:rsid w:val="00A221C6"/>
    <w:rsid w:val="00A23037"/>
    <w:rsid w:val="00A3390F"/>
    <w:rsid w:val="00A35F46"/>
    <w:rsid w:val="00A4092B"/>
    <w:rsid w:val="00A41A3C"/>
    <w:rsid w:val="00A43F7E"/>
    <w:rsid w:val="00A46427"/>
    <w:rsid w:val="00A47D1D"/>
    <w:rsid w:val="00A543C9"/>
    <w:rsid w:val="00A6286A"/>
    <w:rsid w:val="00A66026"/>
    <w:rsid w:val="00A6663F"/>
    <w:rsid w:val="00A73C50"/>
    <w:rsid w:val="00A77348"/>
    <w:rsid w:val="00A777B7"/>
    <w:rsid w:val="00A7786B"/>
    <w:rsid w:val="00A77B9B"/>
    <w:rsid w:val="00A81976"/>
    <w:rsid w:val="00A90D3B"/>
    <w:rsid w:val="00A9469D"/>
    <w:rsid w:val="00A9494E"/>
    <w:rsid w:val="00AA335A"/>
    <w:rsid w:val="00AA5DAE"/>
    <w:rsid w:val="00AA6996"/>
    <w:rsid w:val="00AA7142"/>
    <w:rsid w:val="00AB1246"/>
    <w:rsid w:val="00AC103C"/>
    <w:rsid w:val="00AC29AE"/>
    <w:rsid w:val="00AC2B42"/>
    <w:rsid w:val="00AC3671"/>
    <w:rsid w:val="00AD088B"/>
    <w:rsid w:val="00AD24B1"/>
    <w:rsid w:val="00AD2DDE"/>
    <w:rsid w:val="00AD73A0"/>
    <w:rsid w:val="00AE29F9"/>
    <w:rsid w:val="00AE2E74"/>
    <w:rsid w:val="00AE4A13"/>
    <w:rsid w:val="00AE63EC"/>
    <w:rsid w:val="00AE66ED"/>
    <w:rsid w:val="00AE6AA7"/>
    <w:rsid w:val="00AF3C3F"/>
    <w:rsid w:val="00AF5A58"/>
    <w:rsid w:val="00AF67F5"/>
    <w:rsid w:val="00B0150A"/>
    <w:rsid w:val="00B018DD"/>
    <w:rsid w:val="00B0240E"/>
    <w:rsid w:val="00B03F12"/>
    <w:rsid w:val="00B04BD0"/>
    <w:rsid w:val="00B0537B"/>
    <w:rsid w:val="00B12848"/>
    <w:rsid w:val="00B12BEA"/>
    <w:rsid w:val="00B21216"/>
    <w:rsid w:val="00B24705"/>
    <w:rsid w:val="00B34B0B"/>
    <w:rsid w:val="00B359A2"/>
    <w:rsid w:val="00B37D61"/>
    <w:rsid w:val="00B562D4"/>
    <w:rsid w:val="00B562E7"/>
    <w:rsid w:val="00B63289"/>
    <w:rsid w:val="00B66469"/>
    <w:rsid w:val="00B675CA"/>
    <w:rsid w:val="00B677C9"/>
    <w:rsid w:val="00B7063F"/>
    <w:rsid w:val="00B71803"/>
    <w:rsid w:val="00B71970"/>
    <w:rsid w:val="00B837B9"/>
    <w:rsid w:val="00B87D7B"/>
    <w:rsid w:val="00B9116A"/>
    <w:rsid w:val="00B92A5D"/>
    <w:rsid w:val="00B92E66"/>
    <w:rsid w:val="00B930DB"/>
    <w:rsid w:val="00B94298"/>
    <w:rsid w:val="00B971D2"/>
    <w:rsid w:val="00B97D94"/>
    <w:rsid w:val="00BA437C"/>
    <w:rsid w:val="00BB0819"/>
    <w:rsid w:val="00BB3618"/>
    <w:rsid w:val="00BB4651"/>
    <w:rsid w:val="00BC0461"/>
    <w:rsid w:val="00BC29C8"/>
    <w:rsid w:val="00BC3B01"/>
    <w:rsid w:val="00BC4524"/>
    <w:rsid w:val="00BC5620"/>
    <w:rsid w:val="00BC76FE"/>
    <w:rsid w:val="00BC7912"/>
    <w:rsid w:val="00BD005D"/>
    <w:rsid w:val="00BD1F1C"/>
    <w:rsid w:val="00BD5E26"/>
    <w:rsid w:val="00BE0A67"/>
    <w:rsid w:val="00BE1CE6"/>
    <w:rsid w:val="00BE4662"/>
    <w:rsid w:val="00BE7309"/>
    <w:rsid w:val="00BE7EF0"/>
    <w:rsid w:val="00BF20E4"/>
    <w:rsid w:val="00BF349F"/>
    <w:rsid w:val="00C00ECF"/>
    <w:rsid w:val="00C01095"/>
    <w:rsid w:val="00C10E68"/>
    <w:rsid w:val="00C1153F"/>
    <w:rsid w:val="00C17150"/>
    <w:rsid w:val="00C318C8"/>
    <w:rsid w:val="00C354E1"/>
    <w:rsid w:val="00C40B31"/>
    <w:rsid w:val="00C43E41"/>
    <w:rsid w:val="00C50092"/>
    <w:rsid w:val="00C52733"/>
    <w:rsid w:val="00C53752"/>
    <w:rsid w:val="00C54FB2"/>
    <w:rsid w:val="00C55017"/>
    <w:rsid w:val="00C55CAC"/>
    <w:rsid w:val="00C56054"/>
    <w:rsid w:val="00C627EF"/>
    <w:rsid w:val="00C63791"/>
    <w:rsid w:val="00C66148"/>
    <w:rsid w:val="00C671A6"/>
    <w:rsid w:val="00C72CBE"/>
    <w:rsid w:val="00C73ACF"/>
    <w:rsid w:val="00C76671"/>
    <w:rsid w:val="00C82160"/>
    <w:rsid w:val="00C844BB"/>
    <w:rsid w:val="00C860F1"/>
    <w:rsid w:val="00C86B6A"/>
    <w:rsid w:val="00C871F5"/>
    <w:rsid w:val="00C9047C"/>
    <w:rsid w:val="00C935A1"/>
    <w:rsid w:val="00C94614"/>
    <w:rsid w:val="00C94EBB"/>
    <w:rsid w:val="00C97B6F"/>
    <w:rsid w:val="00CA32C5"/>
    <w:rsid w:val="00CA48C0"/>
    <w:rsid w:val="00CA4ADD"/>
    <w:rsid w:val="00CA7159"/>
    <w:rsid w:val="00CA732D"/>
    <w:rsid w:val="00CB27A6"/>
    <w:rsid w:val="00CB3B43"/>
    <w:rsid w:val="00CC2D45"/>
    <w:rsid w:val="00CC5DD4"/>
    <w:rsid w:val="00CC78C9"/>
    <w:rsid w:val="00CD4884"/>
    <w:rsid w:val="00CE3A3E"/>
    <w:rsid w:val="00CE4560"/>
    <w:rsid w:val="00CE6C26"/>
    <w:rsid w:val="00CF29B0"/>
    <w:rsid w:val="00CF35E1"/>
    <w:rsid w:val="00CF426E"/>
    <w:rsid w:val="00CF71A6"/>
    <w:rsid w:val="00CF74BC"/>
    <w:rsid w:val="00D00392"/>
    <w:rsid w:val="00D005E9"/>
    <w:rsid w:val="00D046EE"/>
    <w:rsid w:val="00D15C8C"/>
    <w:rsid w:val="00D17424"/>
    <w:rsid w:val="00D24792"/>
    <w:rsid w:val="00D26C1A"/>
    <w:rsid w:val="00D327A7"/>
    <w:rsid w:val="00D32819"/>
    <w:rsid w:val="00D37C90"/>
    <w:rsid w:val="00D43371"/>
    <w:rsid w:val="00D51A0A"/>
    <w:rsid w:val="00D52509"/>
    <w:rsid w:val="00D542A7"/>
    <w:rsid w:val="00D550C2"/>
    <w:rsid w:val="00D567FB"/>
    <w:rsid w:val="00D620FC"/>
    <w:rsid w:val="00D625DF"/>
    <w:rsid w:val="00D64C4C"/>
    <w:rsid w:val="00D657AD"/>
    <w:rsid w:val="00D66528"/>
    <w:rsid w:val="00D75EF0"/>
    <w:rsid w:val="00D80D6F"/>
    <w:rsid w:val="00D829F4"/>
    <w:rsid w:val="00D8366E"/>
    <w:rsid w:val="00D920AF"/>
    <w:rsid w:val="00D93EC3"/>
    <w:rsid w:val="00D96506"/>
    <w:rsid w:val="00D96A95"/>
    <w:rsid w:val="00DA2397"/>
    <w:rsid w:val="00DA2597"/>
    <w:rsid w:val="00DA312A"/>
    <w:rsid w:val="00DA32AB"/>
    <w:rsid w:val="00DB0F03"/>
    <w:rsid w:val="00DB3B1E"/>
    <w:rsid w:val="00DC070C"/>
    <w:rsid w:val="00DC0F37"/>
    <w:rsid w:val="00DC0F9A"/>
    <w:rsid w:val="00DC46D5"/>
    <w:rsid w:val="00DC5419"/>
    <w:rsid w:val="00DC5ACD"/>
    <w:rsid w:val="00DC6F09"/>
    <w:rsid w:val="00DD24A3"/>
    <w:rsid w:val="00DE30B8"/>
    <w:rsid w:val="00DE3A7C"/>
    <w:rsid w:val="00DE3EF1"/>
    <w:rsid w:val="00DE51CF"/>
    <w:rsid w:val="00DE581D"/>
    <w:rsid w:val="00DE61AB"/>
    <w:rsid w:val="00DE7750"/>
    <w:rsid w:val="00DF16FF"/>
    <w:rsid w:val="00DF32F3"/>
    <w:rsid w:val="00DF395C"/>
    <w:rsid w:val="00E03EF1"/>
    <w:rsid w:val="00E11CDB"/>
    <w:rsid w:val="00E142CD"/>
    <w:rsid w:val="00E146B6"/>
    <w:rsid w:val="00E2372C"/>
    <w:rsid w:val="00E25705"/>
    <w:rsid w:val="00E2679E"/>
    <w:rsid w:val="00E31942"/>
    <w:rsid w:val="00E340A4"/>
    <w:rsid w:val="00E42089"/>
    <w:rsid w:val="00E4535D"/>
    <w:rsid w:val="00E45AF6"/>
    <w:rsid w:val="00E45BFA"/>
    <w:rsid w:val="00E5322E"/>
    <w:rsid w:val="00E54E27"/>
    <w:rsid w:val="00E55992"/>
    <w:rsid w:val="00E604B1"/>
    <w:rsid w:val="00E621F2"/>
    <w:rsid w:val="00E62829"/>
    <w:rsid w:val="00E632EA"/>
    <w:rsid w:val="00E67ADD"/>
    <w:rsid w:val="00E703F4"/>
    <w:rsid w:val="00E72B9F"/>
    <w:rsid w:val="00E740C8"/>
    <w:rsid w:val="00E80356"/>
    <w:rsid w:val="00E85454"/>
    <w:rsid w:val="00E9160A"/>
    <w:rsid w:val="00EA03F2"/>
    <w:rsid w:val="00EA05FB"/>
    <w:rsid w:val="00EA07FF"/>
    <w:rsid w:val="00EA4112"/>
    <w:rsid w:val="00EA43B6"/>
    <w:rsid w:val="00EA503E"/>
    <w:rsid w:val="00EB3F86"/>
    <w:rsid w:val="00EB46C3"/>
    <w:rsid w:val="00EB4C59"/>
    <w:rsid w:val="00EC05C2"/>
    <w:rsid w:val="00EC362B"/>
    <w:rsid w:val="00EC45DA"/>
    <w:rsid w:val="00EC4C54"/>
    <w:rsid w:val="00ED48FF"/>
    <w:rsid w:val="00ED4C0D"/>
    <w:rsid w:val="00ED5919"/>
    <w:rsid w:val="00EE0C8A"/>
    <w:rsid w:val="00EE25DB"/>
    <w:rsid w:val="00EE29D7"/>
    <w:rsid w:val="00EE5B4B"/>
    <w:rsid w:val="00EE660B"/>
    <w:rsid w:val="00EE6ADD"/>
    <w:rsid w:val="00EE786C"/>
    <w:rsid w:val="00EF674E"/>
    <w:rsid w:val="00EF6D56"/>
    <w:rsid w:val="00EF726B"/>
    <w:rsid w:val="00F00FC9"/>
    <w:rsid w:val="00F04415"/>
    <w:rsid w:val="00F0566C"/>
    <w:rsid w:val="00F05A61"/>
    <w:rsid w:val="00F0763E"/>
    <w:rsid w:val="00F20F79"/>
    <w:rsid w:val="00F2111C"/>
    <w:rsid w:val="00F21EEC"/>
    <w:rsid w:val="00F234BF"/>
    <w:rsid w:val="00F25244"/>
    <w:rsid w:val="00F30532"/>
    <w:rsid w:val="00F3074C"/>
    <w:rsid w:val="00F31247"/>
    <w:rsid w:val="00F428D9"/>
    <w:rsid w:val="00F4371F"/>
    <w:rsid w:val="00F46B38"/>
    <w:rsid w:val="00F510CC"/>
    <w:rsid w:val="00F5449C"/>
    <w:rsid w:val="00F55C17"/>
    <w:rsid w:val="00F56DD0"/>
    <w:rsid w:val="00F60A6E"/>
    <w:rsid w:val="00F67BE4"/>
    <w:rsid w:val="00F76766"/>
    <w:rsid w:val="00F81B21"/>
    <w:rsid w:val="00F82E6E"/>
    <w:rsid w:val="00F83338"/>
    <w:rsid w:val="00F85AAB"/>
    <w:rsid w:val="00F85F25"/>
    <w:rsid w:val="00F8686A"/>
    <w:rsid w:val="00F873F6"/>
    <w:rsid w:val="00F87912"/>
    <w:rsid w:val="00F917C2"/>
    <w:rsid w:val="00F91B1A"/>
    <w:rsid w:val="00F92B0E"/>
    <w:rsid w:val="00F93BD4"/>
    <w:rsid w:val="00F942F5"/>
    <w:rsid w:val="00F94C5D"/>
    <w:rsid w:val="00FA1676"/>
    <w:rsid w:val="00FA23EA"/>
    <w:rsid w:val="00FA3FBA"/>
    <w:rsid w:val="00FA53B6"/>
    <w:rsid w:val="00FA6965"/>
    <w:rsid w:val="00FB0EAE"/>
    <w:rsid w:val="00FB129D"/>
    <w:rsid w:val="00FB3998"/>
    <w:rsid w:val="00FB5118"/>
    <w:rsid w:val="00FB7977"/>
    <w:rsid w:val="00FC0408"/>
    <w:rsid w:val="00FC38EB"/>
    <w:rsid w:val="00FC57E5"/>
    <w:rsid w:val="00FC7480"/>
    <w:rsid w:val="00FD0A55"/>
    <w:rsid w:val="00FE75A3"/>
    <w:rsid w:val="00FF57FB"/>
    <w:rsid w:val="00FF58C4"/>
    <w:rsid w:val="00FF64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70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3897"/>
    <w:rPr>
      <w:sz w:val="24"/>
      <w:szCs w:val="24"/>
    </w:rPr>
  </w:style>
  <w:style w:type="paragraph" w:styleId="Heading1">
    <w:name w:val="heading 1"/>
    <w:basedOn w:val="Normal"/>
    <w:next w:val="Normal"/>
    <w:link w:val="Heading1Char"/>
    <w:qFormat/>
    <w:rsid w:val="008D758E"/>
    <w:pPr>
      <w:keepNext/>
      <w:pBdr>
        <w:top w:val="single" w:sz="4" w:space="1" w:color="auto"/>
        <w:left w:val="single" w:sz="4" w:space="4" w:color="auto"/>
        <w:bottom w:val="single" w:sz="4" w:space="1" w:color="auto"/>
        <w:right w:val="single" w:sz="4" w:space="4" w:color="auto"/>
      </w:pBdr>
      <w:outlineLvl w:val="0"/>
    </w:pPr>
    <w:rPr>
      <w:b/>
      <w:bCs/>
      <w:sz w:val="20"/>
    </w:rPr>
  </w:style>
  <w:style w:type="paragraph" w:styleId="Heading2">
    <w:name w:val="heading 2"/>
    <w:basedOn w:val="Normal"/>
    <w:next w:val="Normal"/>
    <w:link w:val="Heading2Char"/>
    <w:qFormat/>
    <w:rsid w:val="008D758E"/>
    <w:pPr>
      <w:keepNext/>
      <w:spacing w:line="480" w:lineRule="auto"/>
      <w:jc w:val="both"/>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83897"/>
    <w:pPr>
      <w:tabs>
        <w:tab w:val="center" w:pos="4320"/>
        <w:tab w:val="right" w:pos="8640"/>
      </w:tabs>
    </w:pPr>
  </w:style>
  <w:style w:type="character" w:styleId="PageNumber">
    <w:name w:val="page number"/>
    <w:basedOn w:val="DefaultParagraphFont"/>
    <w:rsid w:val="00883897"/>
  </w:style>
  <w:style w:type="paragraph" w:styleId="Footer">
    <w:name w:val="footer"/>
    <w:basedOn w:val="Normal"/>
    <w:link w:val="FooterChar"/>
    <w:uiPriority w:val="99"/>
    <w:rsid w:val="00883897"/>
    <w:pPr>
      <w:tabs>
        <w:tab w:val="center" w:pos="4320"/>
        <w:tab w:val="right" w:pos="8640"/>
      </w:tabs>
    </w:pPr>
  </w:style>
  <w:style w:type="paragraph" w:styleId="BodyTextIndent3">
    <w:name w:val="Body Text Indent 3"/>
    <w:basedOn w:val="Normal"/>
    <w:rsid w:val="00883897"/>
    <w:pPr>
      <w:ind w:firstLine="720"/>
      <w:jc w:val="center"/>
    </w:pPr>
  </w:style>
  <w:style w:type="paragraph" w:styleId="NoSpacing">
    <w:name w:val="No Spacing"/>
    <w:uiPriority w:val="1"/>
    <w:qFormat/>
    <w:rsid w:val="001A310D"/>
    <w:rPr>
      <w:rFonts w:ascii="Calibri" w:eastAsia="Calibri" w:hAnsi="Calibri"/>
      <w:sz w:val="22"/>
      <w:szCs w:val="22"/>
    </w:rPr>
  </w:style>
  <w:style w:type="character" w:customStyle="1" w:styleId="StyleLatinTimesNewRomanPSMT">
    <w:name w:val="Style (Latin) TimesNewRomanPSMT"/>
    <w:rsid w:val="001A310D"/>
    <w:rPr>
      <w:rFonts w:ascii="Arial" w:hAnsi="Arial"/>
      <w:sz w:val="24"/>
    </w:rPr>
  </w:style>
  <w:style w:type="paragraph" w:styleId="BodyText">
    <w:name w:val="Body Text"/>
    <w:basedOn w:val="Normal"/>
    <w:link w:val="BodyTextChar"/>
    <w:rsid w:val="0014279B"/>
    <w:pPr>
      <w:spacing w:after="120" w:line="276" w:lineRule="auto"/>
    </w:pPr>
    <w:rPr>
      <w:rFonts w:ascii="Calibri" w:eastAsia="Calibri" w:hAnsi="Calibri"/>
      <w:szCs w:val="22"/>
    </w:rPr>
  </w:style>
  <w:style w:type="character" w:customStyle="1" w:styleId="BodyTextChar">
    <w:name w:val="Body Text Char"/>
    <w:link w:val="BodyText"/>
    <w:rsid w:val="0014279B"/>
    <w:rPr>
      <w:rFonts w:ascii="Calibri" w:eastAsia="Calibri" w:hAnsi="Calibri"/>
      <w:sz w:val="24"/>
      <w:szCs w:val="22"/>
    </w:rPr>
  </w:style>
  <w:style w:type="paragraph" w:styleId="ListParagraph">
    <w:name w:val="List Paragraph"/>
    <w:basedOn w:val="Normal"/>
    <w:uiPriority w:val="34"/>
    <w:qFormat/>
    <w:rsid w:val="00F2111C"/>
    <w:pPr>
      <w:ind w:left="720"/>
    </w:pPr>
  </w:style>
  <w:style w:type="character" w:customStyle="1" w:styleId="Heading1Char">
    <w:name w:val="Heading 1 Char"/>
    <w:link w:val="Heading1"/>
    <w:rsid w:val="008D758E"/>
    <w:rPr>
      <w:b/>
      <w:bCs/>
      <w:szCs w:val="24"/>
    </w:rPr>
  </w:style>
  <w:style w:type="character" w:customStyle="1" w:styleId="Heading2Char">
    <w:name w:val="Heading 2 Char"/>
    <w:link w:val="Heading2"/>
    <w:rsid w:val="008D758E"/>
    <w:rPr>
      <w:sz w:val="24"/>
      <w:szCs w:val="24"/>
      <w:u w:val="single"/>
    </w:rPr>
  </w:style>
  <w:style w:type="paragraph" w:styleId="FootnoteText">
    <w:name w:val="footnote text"/>
    <w:basedOn w:val="Normal"/>
    <w:link w:val="FootnoteTextChar"/>
    <w:autoRedefine/>
    <w:rsid w:val="00F55C17"/>
    <w:pPr>
      <w:spacing w:after="240"/>
    </w:pPr>
    <w:rPr>
      <w:sz w:val="20"/>
      <w:szCs w:val="20"/>
    </w:rPr>
  </w:style>
  <w:style w:type="character" w:customStyle="1" w:styleId="FootnoteTextChar">
    <w:name w:val="Footnote Text Char"/>
    <w:basedOn w:val="DefaultParagraphFont"/>
    <w:link w:val="FootnoteText"/>
    <w:rsid w:val="00F55C17"/>
  </w:style>
  <w:style w:type="character" w:styleId="FootnoteReference">
    <w:name w:val="footnote reference"/>
    <w:rsid w:val="008D758E"/>
    <w:rPr>
      <w:rFonts w:ascii="Times New Roman" w:hAnsi="Times New Roman"/>
      <w:sz w:val="28"/>
      <w:vertAlign w:val="superscript"/>
    </w:rPr>
  </w:style>
  <w:style w:type="table" w:styleId="TableGrid">
    <w:name w:val="Table Grid"/>
    <w:basedOn w:val="TableNormal"/>
    <w:rsid w:val="005E3A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6630A1"/>
    <w:rPr>
      <w:sz w:val="24"/>
      <w:szCs w:val="24"/>
    </w:rPr>
  </w:style>
  <w:style w:type="character" w:customStyle="1" w:styleId="FooterChar">
    <w:name w:val="Footer Char"/>
    <w:link w:val="Footer"/>
    <w:uiPriority w:val="99"/>
    <w:rsid w:val="00DC0F9A"/>
    <w:rPr>
      <w:sz w:val="24"/>
      <w:szCs w:val="24"/>
    </w:rPr>
  </w:style>
  <w:style w:type="paragraph" w:styleId="BalloonText">
    <w:name w:val="Balloon Text"/>
    <w:basedOn w:val="Normal"/>
    <w:link w:val="BalloonTextChar"/>
    <w:rsid w:val="001F6B9A"/>
    <w:rPr>
      <w:rFonts w:ascii="Tahoma" w:hAnsi="Tahoma" w:cs="Tahoma"/>
      <w:sz w:val="16"/>
      <w:szCs w:val="16"/>
    </w:rPr>
  </w:style>
  <w:style w:type="character" w:customStyle="1" w:styleId="BalloonTextChar">
    <w:name w:val="Balloon Text Char"/>
    <w:link w:val="BalloonText"/>
    <w:rsid w:val="001F6B9A"/>
    <w:rPr>
      <w:rFonts w:ascii="Tahoma" w:hAnsi="Tahoma" w:cs="Tahoma"/>
      <w:sz w:val="16"/>
      <w:szCs w:val="16"/>
    </w:rPr>
  </w:style>
  <w:style w:type="paragraph" w:styleId="Revision">
    <w:name w:val="Revision"/>
    <w:hidden/>
    <w:uiPriority w:val="99"/>
    <w:semiHidden/>
    <w:rsid w:val="003571D0"/>
    <w:rPr>
      <w:sz w:val="24"/>
      <w:szCs w:val="24"/>
    </w:rPr>
  </w:style>
  <w:style w:type="paragraph" w:styleId="TOCHeading">
    <w:name w:val="TOC Heading"/>
    <w:basedOn w:val="Heading1"/>
    <w:next w:val="Normal"/>
    <w:uiPriority w:val="39"/>
    <w:unhideWhenUsed/>
    <w:qFormat/>
    <w:rsid w:val="00DA312A"/>
    <w:pPr>
      <w:keepLines/>
      <w:pBdr>
        <w:top w:val="none" w:sz="0" w:space="0" w:color="auto"/>
        <w:left w:val="none" w:sz="0" w:space="0" w:color="auto"/>
        <w:bottom w:val="none" w:sz="0" w:space="0" w:color="auto"/>
        <w:right w:val="none" w:sz="0" w:space="0" w:color="auto"/>
      </w:pBdr>
      <w:spacing w:before="480" w:line="276" w:lineRule="auto"/>
      <w:outlineLvl w:val="9"/>
    </w:pPr>
    <w:rPr>
      <w:rFonts w:asciiTheme="majorHAnsi" w:eastAsiaTheme="majorEastAsia" w:hAnsiTheme="majorHAnsi" w:cstheme="majorBidi"/>
      <w:color w:val="365F91" w:themeColor="accent1" w:themeShade="BF"/>
      <w:sz w:val="28"/>
      <w:szCs w:val="28"/>
    </w:rPr>
  </w:style>
  <w:style w:type="paragraph" w:styleId="TableofFigures">
    <w:name w:val="table of figures"/>
    <w:basedOn w:val="Normal"/>
    <w:next w:val="Normal"/>
    <w:unhideWhenUsed/>
    <w:rsid w:val="00351138"/>
  </w:style>
  <w:style w:type="paragraph" w:styleId="TOC2">
    <w:name w:val="toc 2"/>
    <w:basedOn w:val="Normal"/>
    <w:next w:val="Normal"/>
    <w:autoRedefine/>
    <w:uiPriority w:val="39"/>
    <w:unhideWhenUsed/>
    <w:rsid w:val="00DA312A"/>
    <w:pPr>
      <w:ind w:left="240"/>
    </w:pPr>
    <w:rPr>
      <w:rFonts w:asciiTheme="minorHAnsi" w:hAnsiTheme="minorHAnsi"/>
      <w:b/>
      <w:bCs/>
      <w:sz w:val="22"/>
      <w:szCs w:val="22"/>
    </w:rPr>
  </w:style>
  <w:style w:type="paragraph" w:styleId="TOC1">
    <w:name w:val="toc 1"/>
    <w:basedOn w:val="Normal"/>
    <w:next w:val="Normal"/>
    <w:autoRedefine/>
    <w:uiPriority w:val="39"/>
    <w:unhideWhenUsed/>
    <w:rsid w:val="00DA312A"/>
    <w:pPr>
      <w:spacing w:before="120"/>
    </w:pPr>
    <w:rPr>
      <w:rFonts w:asciiTheme="minorHAnsi" w:hAnsiTheme="minorHAnsi"/>
      <w:b/>
      <w:bCs/>
    </w:rPr>
  </w:style>
  <w:style w:type="paragraph" w:styleId="TOC3">
    <w:name w:val="toc 3"/>
    <w:basedOn w:val="Normal"/>
    <w:next w:val="Normal"/>
    <w:autoRedefine/>
    <w:uiPriority w:val="39"/>
    <w:unhideWhenUsed/>
    <w:rsid w:val="00DA312A"/>
    <w:pPr>
      <w:ind w:left="480"/>
    </w:pPr>
    <w:rPr>
      <w:rFonts w:asciiTheme="minorHAnsi" w:hAnsiTheme="minorHAnsi"/>
      <w:sz w:val="22"/>
      <w:szCs w:val="22"/>
    </w:rPr>
  </w:style>
  <w:style w:type="paragraph" w:styleId="TOC4">
    <w:name w:val="toc 4"/>
    <w:basedOn w:val="Normal"/>
    <w:next w:val="Normal"/>
    <w:autoRedefine/>
    <w:semiHidden/>
    <w:unhideWhenUsed/>
    <w:rsid w:val="00DA312A"/>
    <w:pPr>
      <w:ind w:left="720"/>
    </w:pPr>
    <w:rPr>
      <w:rFonts w:asciiTheme="minorHAnsi" w:hAnsiTheme="minorHAnsi"/>
      <w:sz w:val="20"/>
      <w:szCs w:val="20"/>
    </w:rPr>
  </w:style>
  <w:style w:type="paragraph" w:styleId="TOC5">
    <w:name w:val="toc 5"/>
    <w:basedOn w:val="Normal"/>
    <w:next w:val="Normal"/>
    <w:autoRedefine/>
    <w:semiHidden/>
    <w:unhideWhenUsed/>
    <w:rsid w:val="00DA312A"/>
    <w:pPr>
      <w:ind w:left="960"/>
    </w:pPr>
    <w:rPr>
      <w:rFonts w:asciiTheme="minorHAnsi" w:hAnsiTheme="minorHAnsi"/>
      <w:sz w:val="20"/>
      <w:szCs w:val="20"/>
    </w:rPr>
  </w:style>
  <w:style w:type="paragraph" w:styleId="TOC6">
    <w:name w:val="toc 6"/>
    <w:basedOn w:val="Normal"/>
    <w:next w:val="Normal"/>
    <w:autoRedefine/>
    <w:semiHidden/>
    <w:unhideWhenUsed/>
    <w:rsid w:val="00DA312A"/>
    <w:pPr>
      <w:ind w:left="1200"/>
    </w:pPr>
    <w:rPr>
      <w:rFonts w:asciiTheme="minorHAnsi" w:hAnsiTheme="minorHAnsi"/>
      <w:sz w:val="20"/>
      <w:szCs w:val="20"/>
    </w:rPr>
  </w:style>
  <w:style w:type="paragraph" w:styleId="TOC7">
    <w:name w:val="toc 7"/>
    <w:basedOn w:val="Normal"/>
    <w:next w:val="Normal"/>
    <w:autoRedefine/>
    <w:semiHidden/>
    <w:unhideWhenUsed/>
    <w:rsid w:val="00DA312A"/>
    <w:pPr>
      <w:ind w:left="1440"/>
    </w:pPr>
    <w:rPr>
      <w:rFonts w:asciiTheme="minorHAnsi" w:hAnsiTheme="minorHAnsi"/>
      <w:sz w:val="20"/>
      <w:szCs w:val="20"/>
    </w:rPr>
  </w:style>
  <w:style w:type="paragraph" w:styleId="TOC8">
    <w:name w:val="toc 8"/>
    <w:basedOn w:val="Normal"/>
    <w:next w:val="Normal"/>
    <w:autoRedefine/>
    <w:semiHidden/>
    <w:unhideWhenUsed/>
    <w:rsid w:val="00DA312A"/>
    <w:pPr>
      <w:ind w:left="1680"/>
    </w:pPr>
    <w:rPr>
      <w:rFonts w:asciiTheme="minorHAnsi" w:hAnsiTheme="minorHAnsi"/>
      <w:sz w:val="20"/>
      <w:szCs w:val="20"/>
    </w:rPr>
  </w:style>
  <w:style w:type="paragraph" w:styleId="TOC9">
    <w:name w:val="toc 9"/>
    <w:basedOn w:val="Normal"/>
    <w:next w:val="Normal"/>
    <w:autoRedefine/>
    <w:semiHidden/>
    <w:unhideWhenUsed/>
    <w:rsid w:val="00DA312A"/>
    <w:pPr>
      <w:ind w:left="1920"/>
    </w:pPr>
    <w:rPr>
      <w:rFonts w:asciiTheme="minorHAnsi" w:hAnsiTheme="minorHAnsi"/>
      <w:sz w:val="20"/>
      <w:szCs w:val="20"/>
    </w:rPr>
  </w:style>
  <w:style w:type="character" w:styleId="Hyperlink">
    <w:name w:val="Hyperlink"/>
    <w:basedOn w:val="DefaultParagraphFont"/>
    <w:unhideWhenUsed/>
    <w:rsid w:val="003C7F20"/>
    <w:rPr>
      <w:color w:val="0000FF" w:themeColor="hyperlink"/>
      <w:u w:val="single"/>
    </w:rPr>
  </w:style>
  <w:style w:type="character" w:customStyle="1" w:styleId="UnresolvedMention1">
    <w:name w:val="Unresolved Mention1"/>
    <w:basedOn w:val="DefaultParagraphFont"/>
    <w:uiPriority w:val="99"/>
    <w:semiHidden/>
    <w:unhideWhenUsed/>
    <w:rsid w:val="003C7F20"/>
    <w:rPr>
      <w:color w:val="808080"/>
      <w:shd w:val="clear" w:color="auto" w:fill="E6E6E6"/>
    </w:rPr>
  </w:style>
  <w:style w:type="paragraph" w:customStyle="1" w:styleId="m-1797201651535799558gmail-msolistparagraph">
    <w:name w:val="m_-1797201651535799558gmail-msolistparagraph"/>
    <w:basedOn w:val="Normal"/>
    <w:rsid w:val="009C5212"/>
    <w:pPr>
      <w:spacing w:before="100" w:beforeAutospacing="1" w:after="100" w:afterAutospacing="1"/>
    </w:pPr>
  </w:style>
  <w:style w:type="paragraph" w:styleId="NormalWeb">
    <w:name w:val="Normal (Web)"/>
    <w:basedOn w:val="Normal"/>
    <w:uiPriority w:val="99"/>
    <w:unhideWhenUsed/>
    <w:rsid w:val="003E3967"/>
  </w:style>
  <w:style w:type="table" w:customStyle="1" w:styleId="TableGrid1">
    <w:name w:val="Table Grid1"/>
    <w:basedOn w:val="TableNormal"/>
    <w:next w:val="TableGrid"/>
    <w:uiPriority w:val="59"/>
    <w:rsid w:val="003E3967"/>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3E3967"/>
    <w:rPr>
      <w:rFonts w:ascii="Calibri" w:eastAsia="Calibri" w:hAnsi="Calibri"/>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rsid w:val="003E39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semiHidden/>
    <w:unhideWhenUsed/>
    <w:rsid w:val="001933F6"/>
    <w:rPr>
      <w:sz w:val="16"/>
      <w:szCs w:val="16"/>
    </w:rPr>
  </w:style>
  <w:style w:type="paragraph" w:styleId="CommentText">
    <w:name w:val="annotation text"/>
    <w:basedOn w:val="Normal"/>
    <w:link w:val="CommentTextChar"/>
    <w:unhideWhenUsed/>
    <w:rsid w:val="001933F6"/>
    <w:rPr>
      <w:sz w:val="20"/>
      <w:szCs w:val="20"/>
    </w:rPr>
  </w:style>
  <w:style w:type="character" w:customStyle="1" w:styleId="CommentTextChar">
    <w:name w:val="Comment Text Char"/>
    <w:basedOn w:val="DefaultParagraphFont"/>
    <w:link w:val="CommentText"/>
    <w:rsid w:val="001933F6"/>
  </w:style>
  <w:style w:type="paragraph" w:styleId="CommentSubject">
    <w:name w:val="annotation subject"/>
    <w:basedOn w:val="CommentText"/>
    <w:next w:val="CommentText"/>
    <w:link w:val="CommentSubjectChar"/>
    <w:semiHidden/>
    <w:unhideWhenUsed/>
    <w:rsid w:val="001933F6"/>
    <w:rPr>
      <w:b/>
      <w:bCs/>
    </w:rPr>
  </w:style>
  <w:style w:type="character" w:customStyle="1" w:styleId="CommentSubjectChar">
    <w:name w:val="Comment Subject Char"/>
    <w:basedOn w:val="CommentTextChar"/>
    <w:link w:val="CommentSubject"/>
    <w:semiHidden/>
    <w:rsid w:val="001933F6"/>
    <w:rPr>
      <w:b/>
      <w:bCs/>
    </w:rPr>
  </w:style>
  <w:style w:type="table" w:customStyle="1" w:styleId="TableGrid2">
    <w:name w:val="Table Grid2"/>
    <w:basedOn w:val="TableNormal"/>
    <w:next w:val="TableGrid"/>
    <w:uiPriority w:val="59"/>
    <w:rsid w:val="00F510CC"/>
    <w:rPr>
      <w:rFonts w:eastAsia="DengXi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F25244"/>
    <w:rPr>
      <w:color w:val="605E5C"/>
      <w:shd w:val="clear" w:color="auto" w:fill="E1DFDD"/>
    </w:rPr>
  </w:style>
  <w:style w:type="character" w:styleId="FollowedHyperlink">
    <w:name w:val="FollowedHyperlink"/>
    <w:basedOn w:val="DefaultParagraphFont"/>
    <w:semiHidden/>
    <w:unhideWhenUsed/>
    <w:rsid w:val="00BB4651"/>
    <w:rPr>
      <w:color w:val="800080" w:themeColor="followedHyperlink"/>
      <w:u w:val="single"/>
    </w:rPr>
  </w:style>
  <w:style w:type="character" w:styleId="LineNumber">
    <w:name w:val="line number"/>
    <w:basedOn w:val="DefaultParagraphFont"/>
    <w:semiHidden/>
    <w:unhideWhenUsed/>
    <w:rsid w:val="00B92E66"/>
  </w:style>
  <w:style w:type="character" w:styleId="UnresolvedMention">
    <w:name w:val="Unresolved Mention"/>
    <w:basedOn w:val="DefaultParagraphFont"/>
    <w:uiPriority w:val="99"/>
    <w:semiHidden/>
    <w:unhideWhenUsed/>
    <w:rsid w:val="00017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778">
      <w:bodyDiv w:val="1"/>
      <w:marLeft w:val="0"/>
      <w:marRight w:val="0"/>
      <w:marTop w:val="0"/>
      <w:marBottom w:val="0"/>
      <w:divBdr>
        <w:top w:val="none" w:sz="0" w:space="0" w:color="auto"/>
        <w:left w:val="none" w:sz="0" w:space="0" w:color="auto"/>
        <w:bottom w:val="none" w:sz="0" w:space="0" w:color="auto"/>
        <w:right w:val="none" w:sz="0" w:space="0" w:color="auto"/>
      </w:divBdr>
    </w:div>
    <w:div w:id="85394705">
      <w:bodyDiv w:val="1"/>
      <w:marLeft w:val="0"/>
      <w:marRight w:val="0"/>
      <w:marTop w:val="0"/>
      <w:marBottom w:val="0"/>
      <w:divBdr>
        <w:top w:val="none" w:sz="0" w:space="0" w:color="auto"/>
        <w:left w:val="none" w:sz="0" w:space="0" w:color="auto"/>
        <w:bottom w:val="none" w:sz="0" w:space="0" w:color="auto"/>
        <w:right w:val="none" w:sz="0" w:space="0" w:color="auto"/>
      </w:divBdr>
    </w:div>
    <w:div w:id="184439106">
      <w:bodyDiv w:val="1"/>
      <w:marLeft w:val="0"/>
      <w:marRight w:val="0"/>
      <w:marTop w:val="0"/>
      <w:marBottom w:val="0"/>
      <w:divBdr>
        <w:top w:val="none" w:sz="0" w:space="0" w:color="auto"/>
        <w:left w:val="none" w:sz="0" w:space="0" w:color="auto"/>
        <w:bottom w:val="none" w:sz="0" w:space="0" w:color="auto"/>
        <w:right w:val="none" w:sz="0" w:space="0" w:color="auto"/>
      </w:divBdr>
    </w:div>
    <w:div w:id="310794414">
      <w:bodyDiv w:val="1"/>
      <w:marLeft w:val="0"/>
      <w:marRight w:val="0"/>
      <w:marTop w:val="0"/>
      <w:marBottom w:val="0"/>
      <w:divBdr>
        <w:top w:val="none" w:sz="0" w:space="0" w:color="auto"/>
        <w:left w:val="none" w:sz="0" w:space="0" w:color="auto"/>
        <w:bottom w:val="none" w:sz="0" w:space="0" w:color="auto"/>
        <w:right w:val="none" w:sz="0" w:space="0" w:color="auto"/>
      </w:divBdr>
    </w:div>
    <w:div w:id="388697989">
      <w:bodyDiv w:val="1"/>
      <w:marLeft w:val="0"/>
      <w:marRight w:val="0"/>
      <w:marTop w:val="0"/>
      <w:marBottom w:val="0"/>
      <w:divBdr>
        <w:top w:val="none" w:sz="0" w:space="0" w:color="auto"/>
        <w:left w:val="none" w:sz="0" w:space="0" w:color="auto"/>
        <w:bottom w:val="none" w:sz="0" w:space="0" w:color="auto"/>
        <w:right w:val="none" w:sz="0" w:space="0" w:color="auto"/>
      </w:divBdr>
    </w:div>
    <w:div w:id="409279793">
      <w:bodyDiv w:val="1"/>
      <w:marLeft w:val="0"/>
      <w:marRight w:val="0"/>
      <w:marTop w:val="0"/>
      <w:marBottom w:val="0"/>
      <w:divBdr>
        <w:top w:val="none" w:sz="0" w:space="0" w:color="auto"/>
        <w:left w:val="none" w:sz="0" w:space="0" w:color="auto"/>
        <w:bottom w:val="none" w:sz="0" w:space="0" w:color="auto"/>
        <w:right w:val="none" w:sz="0" w:space="0" w:color="auto"/>
      </w:divBdr>
    </w:div>
    <w:div w:id="623780112">
      <w:bodyDiv w:val="1"/>
      <w:marLeft w:val="0"/>
      <w:marRight w:val="0"/>
      <w:marTop w:val="0"/>
      <w:marBottom w:val="0"/>
      <w:divBdr>
        <w:top w:val="none" w:sz="0" w:space="0" w:color="auto"/>
        <w:left w:val="none" w:sz="0" w:space="0" w:color="auto"/>
        <w:bottom w:val="none" w:sz="0" w:space="0" w:color="auto"/>
        <w:right w:val="none" w:sz="0" w:space="0" w:color="auto"/>
      </w:divBdr>
    </w:div>
    <w:div w:id="676730472">
      <w:bodyDiv w:val="1"/>
      <w:marLeft w:val="0"/>
      <w:marRight w:val="0"/>
      <w:marTop w:val="0"/>
      <w:marBottom w:val="0"/>
      <w:divBdr>
        <w:top w:val="none" w:sz="0" w:space="0" w:color="auto"/>
        <w:left w:val="none" w:sz="0" w:space="0" w:color="auto"/>
        <w:bottom w:val="none" w:sz="0" w:space="0" w:color="auto"/>
        <w:right w:val="none" w:sz="0" w:space="0" w:color="auto"/>
      </w:divBdr>
    </w:div>
    <w:div w:id="688868501">
      <w:bodyDiv w:val="1"/>
      <w:marLeft w:val="0"/>
      <w:marRight w:val="0"/>
      <w:marTop w:val="0"/>
      <w:marBottom w:val="0"/>
      <w:divBdr>
        <w:top w:val="none" w:sz="0" w:space="0" w:color="auto"/>
        <w:left w:val="none" w:sz="0" w:space="0" w:color="auto"/>
        <w:bottom w:val="none" w:sz="0" w:space="0" w:color="auto"/>
        <w:right w:val="none" w:sz="0" w:space="0" w:color="auto"/>
      </w:divBdr>
    </w:div>
    <w:div w:id="714429044">
      <w:bodyDiv w:val="1"/>
      <w:marLeft w:val="0"/>
      <w:marRight w:val="0"/>
      <w:marTop w:val="0"/>
      <w:marBottom w:val="0"/>
      <w:divBdr>
        <w:top w:val="none" w:sz="0" w:space="0" w:color="auto"/>
        <w:left w:val="none" w:sz="0" w:space="0" w:color="auto"/>
        <w:bottom w:val="none" w:sz="0" w:space="0" w:color="auto"/>
        <w:right w:val="none" w:sz="0" w:space="0" w:color="auto"/>
      </w:divBdr>
    </w:div>
    <w:div w:id="733507684">
      <w:bodyDiv w:val="1"/>
      <w:marLeft w:val="0"/>
      <w:marRight w:val="0"/>
      <w:marTop w:val="0"/>
      <w:marBottom w:val="0"/>
      <w:divBdr>
        <w:top w:val="none" w:sz="0" w:space="0" w:color="auto"/>
        <w:left w:val="none" w:sz="0" w:space="0" w:color="auto"/>
        <w:bottom w:val="none" w:sz="0" w:space="0" w:color="auto"/>
        <w:right w:val="none" w:sz="0" w:space="0" w:color="auto"/>
      </w:divBdr>
    </w:div>
    <w:div w:id="766078395">
      <w:bodyDiv w:val="1"/>
      <w:marLeft w:val="0"/>
      <w:marRight w:val="0"/>
      <w:marTop w:val="0"/>
      <w:marBottom w:val="0"/>
      <w:divBdr>
        <w:top w:val="none" w:sz="0" w:space="0" w:color="auto"/>
        <w:left w:val="none" w:sz="0" w:space="0" w:color="auto"/>
        <w:bottom w:val="none" w:sz="0" w:space="0" w:color="auto"/>
        <w:right w:val="none" w:sz="0" w:space="0" w:color="auto"/>
      </w:divBdr>
    </w:div>
    <w:div w:id="773524662">
      <w:bodyDiv w:val="1"/>
      <w:marLeft w:val="0"/>
      <w:marRight w:val="0"/>
      <w:marTop w:val="0"/>
      <w:marBottom w:val="0"/>
      <w:divBdr>
        <w:top w:val="none" w:sz="0" w:space="0" w:color="auto"/>
        <w:left w:val="none" w:sz="0" w:space="0" w:color="auto"/>
        <w:bottom w:val="none" w:sz="0" w:space="0" w:color="auto"/>
        <w:right w:val="none" w:sz="0" w:space="0" w:color="auto"/>
      </w:divBdr>
    </w:div>
    <w:div w:id="973952523">
      <w:bodyDiv w:val="1"/>
      <w:marLeft w:val="0"/>
      <w:marRight w:val="0"/>
      <w:marTop w:val="0"/>
      <w:marBottom w:val="0"/>
      <w:divBdr>
        <w:top w:val="none" w:sz="0" w:space="0" w:color="auto"/>
        <w:left w:val="none" w:sz="0" w:space="0" w:color="auto"/>
        <w:bottom w:val="none" w:sz="0" w:space="0" w:color="auto"/>
        <w:right w:val="none" w:sz="0" w:space="0" w:color="auto"/>
      </w:divBdr>
    </w:div>
    <w:div w:id="997265820">
      <w:bodyDiv w:val="1"/>
      <w:marLeft w:val="0"/>
      <w:marRight w:val="0"/>
      <w:marTop w:val="0"/>
      <w:marBottom w:val="0"/>
      <w:divBdr>
        <w:top w:val="none" w:sz="0" w:space="0" w:color="auto"/>
        <w:left w:val="none" w:sz="0" w:space="0" w:color="auto"/>
        <w:bottom w:val="none" w:sz="0" w:space="0" w:color="auto"/>
        <w:right w:val="none" w:sz="0" w:space="0" w:color="auto"/>
      </w:divBdr>
    </w:div>
    <w:div w:id="1010067112">
      <w:bodyDiv w:val="1"/>
      <w:marLeft w:val="0"/>
      <w:marRight w:val="0"/>
      <w:marTop w:val="0"/>
      <w:marBottom w:val="0"/>
      <w:divBdr>
        <w:top w:val="none" w:sz="0" w:space="0" w:color="auto"/>
        <w:left w:val="none" w:sz="0" w:space="0" w:color="auto"/>
        <w:bottom w:val="none" w:sz="0" w:space="0" w:color="auto"/>
        <w:right w:val="none" w:sz="0" w:space="0" w:color="auto"/>
      </w:divBdr>
    </w:div>
    <w:div w:id="1013145239">
      <w:bodyDiv w:val="1"/>
      <w:marLeft w:val="0"/>
      <w:marRight w:val="0"/>
      <w:marTop w:val="0"/>
      <w:marBottom w:val="0"/>
      <w:divBdr>
        <w:top w:val="none" w:sz="0" w:space="0" w:color="auto"/>
        <w:left w:val="none" w:sz="0" w:space="0" w:color="auto"/>
        <w:bottom w:val="none" w:sz="0" w:space="0" w:color="auto"/>
        <w:right w:val="none" w:sz="0" w:space="0" w:color="auto"/>
      </w:divBdr>
    </w:div>
    <w:div w:id="1030688907">
      <w:bodyDiv w:val="1"/>
      <w:marLeft w:val="0"/>
      <w:marRight w:val="0"/>
      <w:marTop w:val="0"/>
      <w:marBottom w:val="0"/>
      <w:divBdr>
        <w:top w:val="none" w:sz="0" w:space="0" w:color="auto"/>
        <w:left w:val="none" w:sz="0" w:space="0" w:color="auto"/>
        <w:bottom w:val="none" w:sz="0" w:space="0" w:color="auto"/>
        <w:right w:val="none" w:sz="0" w:space="0" w:color="auto"/>
      </w:divBdr>
    </w:div>
    <w:div w:id="1139223728">
      <w:bodyDiv w:val="1"/>
      <w:marLeft w:val="0"/>
      <w:marRight w:val="0"/>
      <w:marTop w:val="0"/>
      <w:marBottom w:val="16"/>
      <w:divBdr>
        <w:top w:val="none" w:sz="0" w:space="0" w:color="auto"/>
        <w:left w:val="none" w:sz="0" w:space="0" w:color="auto"/>
        <w:bottom w:val="none" w:sz="0" w:space="0" w:color="auto"/>
        <w:right w:val="none" w:sz="0" w:space="0" w:color="auto"/>
      </w:divBdr>
      <w:divsChild>
        <w:div w:id="1422215125">
          <w:marLeft w:val="0"/>
          <w:marRight w:val="0"/>
          <w:marTop w:val="0"/>
          <w:marBottom w:val="0"/>
          <w:divBdr>
            <w:top w:val="none" w:sz="0" w:space="0" w:color="auto"/>
            <w:left w:val="none" w:sz="0" w:space="0" w:color="auto"/>
            <w:bottom w:val="none" w:sz="0" w:space="0" w:color="auto"/>
            <w:right w:val="none" w:sz="0" w:space="0" w:color="auto"/>
          </w:divBdr>
          <w:divsChild>
            <w:div w:id="855849016">
              <w:marLeft w:val="0"/>
              <w:marRight w:val="0"/>
              <w:marTop w:val="160"/>
              <w:marBottom w:val="0"/>
              <w:divBdr>
                <w:top w:val="single" w:sz="6" w:space="0" w:color="002157"/>
                <w:left w:val="none" w:sz="0" w:space="0" w:color="auto"/>
                <w:bottom w:val="none" w:sz="0" w:space="0" w:color="auto"/>
                <w:right w:val="none" w:sz="0" w:space="0" w:color="auto"/>
              </w:divBdr>
              <w:divsChild>
                <w:div w:id="160780638">
                  <w:marLeft w:val="0"/>
                  <w:marRight w:val="0"/>
                  <w:marTop w:val="0"/>
                  <w:marBottom w:val="0"/>
                  <w:divBdr>
                    <w:top w:val="none" w:sz="0" w:space="0" w:color="auto"/>
                    <w:left w:val="none" w:sz="0" w:space="0" w:color="auto"/>
                    <w:bottom w:val="none" w:sz="0" w:space="0" w:color="auto"/>
                    <w:right w:val="none" w:sz="0" w:space="0" w:color="auto"/>
                  </w:divBdr>
                  <w:divsChild>
                    <w:div w:id="97140037">
                      <w:marLeft w:val="25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598144">
      <w:bodyDiv w:val="1"/>
      <w:marLeft w:val="0"/>
      <w:marRight w:val="0"/>
      <w:marTop w:val="0"/>
      <w:marBottom w:val="0"/>
      <w:divBdr>
        <w:top w:val="none" w:sz="0" w:space="0" w:color="auto"/>
        <w:left w:val="none" w:sz="0" w:space="0" w:color="auto"/>
        <w:bottom w:val="none" w:sz="0" w:space="0" w:color="auto"/>
        <w:right w:val="none" w:sz="0" w:space="0" w:color="auto"/>
      </w:divBdr>
    </w:div>
    <w:div w:id="1179657216">
      <w:bodyDiv w:val="1"/>
      <w:marLeft w:val="0"/>
      <w:marRight w:val="0"/>
      <w:marTop w:val="0"/>
      <w:marBottom w:val="0"/>
      <w:divBdr>
        <w:top w:val="none" w:sz="0" w:space="0" w:color="auto"/>
        <w:left w:val="none" w:sz="0" w:space="0" w:color="auto"/>
        <w:bottom w:val="none" w:sz="0" w:space="0" w:color="auto"/>
        <w:right w:val="none" w:sz="0" w:space="0" w:color="auto"/>
      </w:divBdr>
    </w:div>
    <w:div w:id="1211267572">
      <w:bodyDiv w:val="1"/>
      <w:marLeft w:val="0"/>
      <w:marRight w:val="0"/>
      <w:marTop w:val="0"/>
      <w:marBottom w:val="0"/>
      <w:divBdr>
        <w:top w:val="none" w:sz="0" w:space="0" w:color="auto"/>
        <w:left w:val="none" w:sz="0" w:space="0" w:color="auto"/>
        <w:bottom w:val="none" w:sz="0" w:space="0" w:color="auto"/>
        <w:right w:val="none" w:sz="0" w:space="0" w:color="auto"/>
      </w:divBdr>
    </w:div>
    <w:div w:id="1271552123">
      <w:bodyDiv w:val="1"/>
      <w:marLeft w:val="0"/>
      <w:marRight w:val="0"/>
      <w:marTop w:val="0"/>
      <w:marBottom w:val="0"/>
      <w:divBdr>
        <w:top w:val="none" w:sz="0" w:space="0" w:color="auto"/>
        <w:left w:val="none" w:sz="0" w:space="0" w:color="auto"/>
        <w:bottom w:val="none" w:sz="0" w:space="0" w:color="auto"/>
        <w:right w:val="none" w:sz="0" w:space="0" w:color="auto"/>
      </w:divBdr>
    </w:div>
    <w:div w:id="1299147678">
      <w:bodyDiv w:val="1"/>
      <w:marLeft w:val="0"/>
      <w:marRight w:val="0"/>
      <w:marTop w:val="0"/>
      <w:marBottom w:val="0"/>
      <w:divBdr>
        <w:top w:val="none" w:sz="0" w:space="0" w:color="auto"/>
        <w:left w:val="none" w:sz="0" w:space="0" w:color="auto"/>
        <w:bottom w:val="none" w:sz="0" w:space="0" w:color="auto"/>
        <w:right w:val="none" w:sz="0" w:space="0" w:color="auto"/>
      </w:divBdr>
    </w:div>
    <w:div w:id="1411153912">
      <w:bodyDiv w:val="1"/>
      <w:marLeft w:val="0"/>
      <w:marRight w:val="0"/>
      <w:marTop w:val="0"/>
      <w:marBottom w:val="0"/>
      <w:divBdr>
        <w:top w:val="none" w:sz="0" w:space="0" w:color="auto"/>
        <w:left w:val="none" w:sz="0" w:space="0" w:color="auto"/>
        <w:bottom w:val="none" w:sz="0" w:space="0" w:color="auto"/>
        <w:right w:val="none" w:sz="0" w:space="0" w:color="auto"/>
      </w:divBdr>
    </w:div>
    <w:div w:id="1484618957">
      <w:bodyDiv w:val="1"/>
      <w:marLeft w:val="0"/>
      <w:marRight w:val="0"/>
      <w:marTop w:val="0"/>
      <w:marBottom w:val="0"/>
      <w:divBdr>
        <w:top w:val="none" w:sz="0" w:space="0" w:color="auto"/>
        <w:left w:val="none" w:sz="0" w:space="0" w:color="auto"/>
        <w:bottom w:val="none" w:sz="0" w:space="0" w:color="auto"/>
        <w:right w:val="none" w:sz="0" w:space="0" w:color="auto"/>
      </w:divBdr>
    </w:div>
    <w:div w:id="1507863647">
      <w:bodyDiv w:val="1"/>
      <w:marLeft w:val="0"/>
      <w:marRight w:val="0"/>
      <w:marTop w:val="0"/>
      <w:marBottom w:val="0"/>
      <w:divBdr>
        <w:top w:val="none" w:sz="0" w:space="0" w:color="auto"/>
        <w:left w:val="none" w:sz="0" w:space="0" w:color="auto"/>
        <w:bottom w:val="none" w:sz="0" w:space="0" w:color="auto"/>
        <w:right w:val="none" w:sz="0" w:space="0" w:color="auto"/>
      </w:divBdr>
    </w:div>
    <w:div w:id="1604652497">
      <w:bodyDiv w:val="1"/>
      <w:marLeft w:val="0"/>
      <w:marRight w:val="0"/>
      <w:marTop w:val="0"/>
      <w:marBottom w:val="0"/>
      <w:divBdr>
        <w:top w:val="none" w:sz="0" w:space="0" w:color="auto"/>
        <w:left w:val="none" w:sz="0" w:space="0" w:color="auto"/>
        <w:bottom w:val="none" w:sz="0" w:space="0" w:color="auto"/>
        <w:right w:val="none" w:sz="0" w:space="0" w:color="auto"/>
      </w:divBdr>
    </w:div>
    <w:div w:id="1612274479">
      <w:bodyDiv w:val="1"/>
      <w:marLeft w:val="0"/>
      <w:marRight w:val="0"/>
      <w:marTop w:val="0"/>
      <w:marBottom w:val="0"/>
      <w:divBdr>
        <w:top w:val="none" w:sz="0" w:space="0" w:color="auto"/>
        <w:left w:val="none" w:sz="0" w:space="0" w:color="auto"/>
        <w:bottom w:val="none" w:sz="0" w:space="0" w:color="auto"/>
        <w:right w:val="none" w:sz="0" w:space="0" w:color="auto"/>
      </w:divBdr>
    </w:div>
    <w:div w:id="1858157098">
      <w:bodyDiv w:val="1"/>
      <w:marLeft w:val="0"/>
      <w:marRight w:val="0"/>
      <w:marTop w:val="0"/>
      <w:marBottom w:val="0"/>
      <w:divBdr>
        <w:top w:val="none" w:sz="0" w:space="0" w:color="auto"/>
        <w:left w:val="none" w:sz="0" w:space="0" w:color="auto"/>
        <w:bottom w:val="none" w:sz="0" w:space="0" w:color="auto"/>
        <w:right w:val="none" w:sz="0" w:space="0" w:color="auto"/>
      </w:divBdr>
    </w:div>
    <w:div w:id="1898540864">
      <w:bodyDiv w:val="1"/>
      <w:marLeft w:val="0"/>
      <w:marRight w:val="0"/>
      <w:marTop w:val="0"/>
      <w:marBottom w:val="0"/>
      <w:divBdr>
        <w:top w:val="none" w:sz="0" w:space="0" w:color="auto"/>
        <w:left w:val="none" w:sz="0" w:space="0" w:color="auto"/>
        <w:bottom w:val="none" w:sz="0" w:space="0" w:color="auto"/>
        <w:right w:val="none" w:sz="0" w:space="0" w:color="auto"/>
      </w:divBdr>
    </w:div>
    <w:div w:id="1952084803">
      <w:bodyDiv w:val="1"/>
      <w:marLeft w:val="0"/>
      <w:marRight w:val="0"/>
      <w:marTop w:val="0"/>
      <w:marBottom w:val="0"/>
      <w:divBdr>
        <w:top w:val="none" w:sz="0" w:space="0" w:color="auto"/>
        <w:left w:val="none" w:sz="0" w:space="0" w:color="auto"/>
        <w:bottom w:val="none" w:sz="0" w:space="0" w:color="auto"/>
        <w:right w:val="none" w:sz="0" w:space="0" w:color="auto"/>
      </w:divBdr>
    </w:div>
    <w:div w:id="2019428186">
      <w:bodyDiv w:val="1"/>
      <w:marLeft w:val="0"/>
      <w:marRight w:val="0"/>
      <w:marTop w:val="0"/>
      <w:marBottom w:val="0"/>
      <w:divBdr>
        <w:top w:val="none" w:sz="0" w:space="0" w:color="auto"/>
        <w:left w:val="none" w:sz="0" w:space="0" w:color="auto"/>
        <w:bottom w:val="none" w:sz="0" w:space="0" w:color="auto"/>
        <w:right w:val="none" w:sz="0" w:space="0" w:color="auto"/>
      </w:divBdr>
    </w:div>
    <w:div w:id="2026977479">
      <w:bodyDiv w:val="1"/>
      <w:marLeft w:val="0"/>
      <w:marRight w:val="0"/>
      <w:marTop w:val="0"/>
      <w:marBottom w:val="0"/>
      <w:divBdr>
        <w:top w:val="none" w:sz="0" w:space="0" w:color="auto"/>
        <w:left w:val="none" w:sz="0" w:space="0" w:color="auto"/>
        <w:bottom w:val="none" w:sz="0" w:space="0" w:color="auto"/>
        <w:right w:val="none" w:sz="0" w:space="0" w:color="auto"/>
      </w:divBdr>
    </w:div>
    <w:div w:id="2047634800">
      <w:bodyDiv w:val="1"/>
      <w:marLeft w:val="0"/>
      <w:marRight w:val="0"/>
      <w:marTop w:val="0"/>
      <w:marBottom w:val="0"/>
      <w:divBdr>
        <w:top w:val="none" w:sz="0" w:space="0" w:color="auto"/>
        <w:left w:val="none" w:sz="0" w:space="0" w:color="auto"/>
        <w:bottom w:val="none" w:sz="0" w:space="0" w:color="auto"/>
        <w:right w:val="none" w:sz="0" w:space="0" w:color="auto"/>
      </w:divBdr>
    </w:div>
    <w:div w:id="2116820791">
      <w:bodyDiv w:val="1"/>
      <w:marLeft w:val="0"/>
      <w:marRight w:val="0"/>
      <w:marTop w:val="0"/>
      <w:marBottom w:val="0"/>
      <w:divBdr>
        <w:top w:val="none" w:sz="0" w:space="0" w:color="auto"/>
        <w:left w:val="none" w:sz="0" w:space="0" w:color="auto"/>
        <w:bottom w:val="none" w:sz="0" w:space="0" w:color="auto"/>
        <w:right w:val="none" w:sz="0" w:space="0" w:color="auto"/>
      </w:divBdr>
    </w:div>
    <w:div w:id="213308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shahrestani@fullerton.edu"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FD605F6-1872-4857-B3F5-7FC997B7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21371</Words>
  <Characters>121821</Characters>
  <Application>Microsoft Office Word</Application>
  <DocSecurity>0</DocSecurity>
  <Lines>1015</Lines>
  <Paragraphs>285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2020-01-02T21:47:00Z</dcterms:created>
  <dcterms:modified xsi:type="dcterms:W3CDTF">2020-01-02T21:47:00Z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http://www.zotero.org/styles/chicago-author-date</vt:lpwstr>
  </property>
  <property fmtid="{D5CDD505-2E9C-101B-9397-08002B2CF9AE}" pid="23" name="Mendeley Document_1">
    <vt:lpwstr>True</vt:lpwstr>
  </property>
  <property fmtid="{D5CDD505-2E9C-101B-9397-08002B2CF9AE}" pid="24" name="Mendeley Unique User Id_1">
    <vt:lpwstr>aa7663b9-5ec2-3a6c-af7a-93071dd6ea1f</vt:lpwstr>
  </property>
</Properties>
</file>