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StarClaw 城市合伙人合作协议</w:t>
      </w:r>
    </w:p>
    <w:p>
      <w:r>
        <w:rPr>
          <w:rFonts w:ascii="微软雅黑" w:hAnsi="微软雅黑" w:eastAsia="微软雅黑"/>
          <w:b w:val="0"/>
          <w:sz w:val="24"/>
        </w:rPr>
      </w:r>
      <w:r>
        <w:rPr>
          <w:rFonts w:ascii="微软雅黑" w:hAnsi="微软雅黑" w:eastAsia="微软雅黑"/>
          <w:b/>
          <w:sz w:val="24"/>
        </w:rPr>
        <w:t>协议编号：SC-CP-________-________</w:t>
      </w:r>
      <w:r>
        <w:rPr>
          <w:rFonts w:ascii="微软雅黑" w:hAnsi="微软雅黑" w:eastAsia="微软雅黑"/>
          <w:b w:val="0"/>
          <w:sz w:val="24"/>
        </w:rPr>
      </w:r>
    </w:p>
    <w:p>
      <w:r>
        <w:rPr>
          <w:rFonts w:ascii="微软雅黑" w:hAnsi="微软雅黑" w:eastAsia="微软雅黑"/>
          <w:b w:val="0"/>
          <w:sz w:val="24"/>
        </w:rPr>
      </w:r>
      <w:r>
        <w:rPr>
          <w:rFonts w:ascii="微软雅黑" w:hAnsi="微软雅黑" w:eastAsia="微软雅黑"/>
          <w:b/>
          <w:sz w:val="24"/>
        </w:rPr>
        <w:t>甲方（平台方）：</w:t>
      </w:r>
      <w:r>
        <w:rPr>
          <w:rFonts w:ascii="微软雅黑" w:hAnsi="微软雅黑" w:eastAsia="微软雅黑"/>
          <w:b w:val="0"/>
          <w:sz w:val="24"/>
        </w:rPr>
      </w:r>
    </w:p>
    <w:p>
      <w:pPr>
        <w:pStyle w:val="ListBullet"/>
      </w:pPr>
      <w:r>
        <w:rPr>
          <w:rFonts w:ascii="微软雅黑" w:hAnsi="微软雅黑" w:eastAsia="微软雅黑"/>
          <w:b w:val="0"/>
          <w:sz w:val="24"/>
        </w:rPr>
        <w:t>名称：_______________</w:t>
      </w:r>
    </w:p>
    <w:p>
      <w:pPr>
        <w:pStyle w:val="ListBullet"/>
      </w:pPr>
      <w:r>
        <w:rPr>
          <w:rFonts w:ascii="微软雅黑" w:hAnsi="微软雅黑" w:eastAsia="微软雅黑"/>
          <w:b w:val="0"/>
          <w:sz w:val="24"/>
        </w:rPr>
        <w:t>统一社会信用代码：_______________</w:t>
      </w:r>
    </w:p>
    <w:p>
      <w:pPr>
        <w:pStyle w:val="ListBullet"/>
      </w:pPr>
      <w:r>
        <w:rPr>
          <w:rFonts w:ascii="微软雅黑" w:hAnsi="微软雅黑" w:eastAsia="微软雅黑"/>
          <w:b w:val="0"/>
          <w:sz w:val="24"/>
        </w:rPr>
        <w:t>法定代表人：_______________</w:t>
      </w:r>
    </w:p>
    <w:p>
      <w:pPr>
        <w:pStyle w:val="ListBullet"/>
      </w:pPr>
      <w:r>
        <w:rPr>
          <w:rFonts w:ascii="微软雅黑" w:hAnsi="微软雅黑" w:eastAsia="微软雅黑"/>
          <w:b w:val="0"/>
          <w:sz w:val="24"/>
        </w:rPr>
        <w:t>联系地址：_______________</w:t>
      </w:r>
    </w:p>
    <w:p>
      <w:r>
        <w:rPr>
          <w:rFonts w:ascii="微软雅黑" w:hAnsi="微软雅黑" w:eastAsia="微软雅黑"/>
          <w:b w:val="0"/>
          <w:sz w:val="24"/>
        </w:rPr>
      </w:r>
      <w:r>
        <w:rPr>
          <w:rFonts w:ascii="微软雅黑" w:hAnsi="微软雅黑" w:eastAsia="微软雅黑"/>
          <w:b/>
          <w:sz w:val="24"/>
        </w:rPr>
        <w:t>乙方（城市合伙人）：</w:t>
      </w:r>
      <w:r>
        <w:rPr>
          <w:rFonts w:ascii="微软雅黑" w:hAnsi="微软雅黑" w:eastAsia="微软雅黑"/>
          <w:b w:val="0"/>
          <w:sz w:val="24"/>
        </w:rPr>
      </w:r>
    </w:p>
    <w:p>
      <w:pPr>
        <w:pStyle w:val="ListBullet"/>
      </w:pPr>
      <w:r>
        <w:rPr>
          <w:rFonts w:ascii="微软雅黑" w:hAnsi="微软雅黑" w:eastAsia="微软雅黑"/>
          <w:b w:val="0"/>
          <w:sz w:val="24"/>
        </w:rPr>
        <w:t>姓名/名称：_______________</w:t>
      </w:r>
    </w:p>
    <w:p>
      <w:pPr>
        <w:pStyle w:val="ListBullet"/>
      </w:pPr>
      <w:r>
        <w:rPr>
          <w:rFonts w:ascii="微软雅黑" w:hAnsi="微软雅黑" w:eastAsia="微软雅黑"/>
          <w:b w:val="0"/>
          <w:sz w:val="24"/>
        </w:rPr>
        <w:t>身份证号/统一社会信用代码：_______________</w:t>
      </w:r>
    </w:p>
    <w:p>
      <w:pPr>
        <w:pStyle w:val="ListBullet"/>
      </w:pPr>
      <w:r>
        <w:rPr>
          <w:rFonts w:ascii="微软雅黑" w:hAnsi="微软雅黑" w:eastAsia="微软雅黑"/>
          <w:b w:val="0"/>
          <w:sz w:val="24"/>
        </w:rPr>
        <w:t>联系地址：_______________</w:t>
      </w:r>
    </w:p>
    <w:p>
      <w:pPr>
        <w:pStyle w:val="ListBullet"/>
      </w:pPr>
      <w:r>
        <w:rPr>
          <w:rFonts w:ascii="微软雅黑" w:hAnsi="微软雅黑" w:eastAsia="微软雅黑"/>
          <w:b w:val="0"/>
          <w:sz w:val="24"/>
        </w:rPr>
        <w:t>联系电话：_______________</w:t>
      </w:r>
    </w:p>
    <w:p>
      <w:pPr>
        <w:pStyle w:val="ListBullet"/>
      </w:pPr>
      <w:r>
        <w:rPr>
          <w:rFonts w:ascii="微软雅黑" w:hAnsi="微软雅黑" w:eastAsia="微软雅黑"/>
          <w:b w:val="0"/>
          <w:sz w:val="24"/>
        </w:rPr>
        <w:t>归属区域：_______________</w:t>
      </w:r>
    </w:p>
    <w:p>
      <w:pPr>
        <w:pStyle w:val="Heading2"/>
      </w:pPr>
      <w:r>
        <w:t>第一条 定义与释义</w:t>
      </w:r>
    </w:p>
    <w:p>
      <w:r>
        <w:rPr>
          <w:rFonts w:ascii="微软雅黑" w:hAnsi="微软雅黑" w:eastAsia="微软雅黑"/>
          <w:b w:val="0"/>
          <w:sz w:val="24"/>
        </w:rPr>
        <w:t xml:space="preserve">1.1 </w:t>
      </w:r>
      <w:r>
        <w:rPr>
          <w:rFonts w:ascii="微软雅黑" w:hAnsi="微软雅黑" w:eastAsia="微软雅黑"/>
          <w:b/>
          <w:sz w:val="24"/>
        </w:rPr>
        <w:t>StarClaw 平台</w:t>
      </w:r>
      <w:r>
        <w:rPr>
          <w:rFonts w:ascii="微软雅黑" w:hAnsi="微软雅黑" w:eastAsia="微软雅黑"/>
          <w:b w:val="0"/>
          <w:sz w:val="24"/>
        </w:rPr>
        <w:t>：指甲方运营的 StarClaw AI 原生工作站及其相关产品与服务的总称，包括但不限于 Claw 客户端、StarAI 算力网关、Overlord 企业管理平台等。</w:t>
      </w:r>
    </w:p>
    <w:p>
      <w:r>
        <w:rPr>
          <w:rFonts w:ascii="微软雅黑" w:hAnsi="微软雅黑" w:eastAsia="微软雅黑"/>
          <w:b w:val="0"/>
          <w:sz w:val="24"/>
        </w:rPr>
        <w:t xml:space="preserve">1.2 </w:t>
      </w:r>
      <w:r>
        <w:rPr>
          <w:rFonts w:ascii="微软雅黑" w:hAnsi="微软雅黑" w:eastAsia="微软雅黑"/>
          <w:b/>
          <w:sz w:val="24"/>
        </w:rPr>
        <w:t>城市合伙人</w:t>
      </w:r>
      <w:r>
        <w:rPr>
          <w:rFonts w:ascii="微软雅黑" w:hAnsi="微软雅黑" w:eastAsia="微软雅黑"/>
          <w:b w:val="0"/>
          <w:sz w:val="24"/>
        </w:rPr>
        <w:t>：指与甲方签署本协议，在约定区域内推广 StarClaw 平台产品与服务，并按约定获取渠道佣金的外部渠道合作方。城市合伙人席位数量有限。</w:t>
      </w:r>
    </w:p>
    <w:p>
      <w:r>
        <w:rPr>
          <w:rFonts w:ascii="微软雅黑" w:hAnsi="微软雅黑" w:eastAsia="微软雅黑"/>
          <w:b w:val="0"/>
          <w:sz w:val="24"/>
        </w:rPr>
        <w:t xml:space="preserve">1.3 </w:t>
      </w:r>
      <w:r>
        <w:rPr>
          <w:rFonts w:ascii="微软雅黑" w:hAnsi="微软雅黑" w:eastAsia="微软雅黑"/>
          <w:b/>
          <w:sz w:val="24"/>
        </w:rPr>
        <w:t>归属客户</w:t>
      </w:r>
      <w:r>
        <w:rPr>
          <w:rFonts w:ascii="微软雅黑" w:hAnsi="微软雅黑" w:eastAsia="微软雅黑"/>
          <w:b w:val="0"/>
          <w:sz w:val="24"/>
        </w:rPr>
        <w:t>：指通过乙方专属推荐码注册并使用 StarClaw 平台的终端用户或企业客户。归属关系一经建立，在本协议有效期内持续有效，不因客户更换设备、重装软件等行为而变更。</w:t>
      </w:r>
    </w:p>
    <w:p>
      <w:r>
        <w:rPr>
          <w:rFonts w:ascii="微软雅黑" w:hAnsi="微软雅黑" w:eastAsia="微软雅黑"/>
          <w:b w:val="0"/>
          <w:sz w:val="24"/>
        </w:rPr>
        <w:t xml:space="preserve">1.4 </w:t>
      </w:r>
      <w:r>
        <w:rPr>
          <w:rFonts w:ascii="微软雅黑" w:hAnsi="微软雅黑" w:eastAsia="微软雅黑"/>
          <w:b/>
          <w:sz w:val="24"/>
        </w:rPr>
        <w:t>活跃用户</w:t>
      </w:r>
      <w:r>
        <w:rPr>
          <w:rFonts w:ascii="微软雅黑" w:hAnsi="微软雅黑" w:eastAsia="微软雅黑"/>
          <w:b w:val="0"/>
          <w:sz w:val="24"/>
        </w:rPr>
        <w:t>：指过去 30 天内通过乙方推荐码注册并有过至少 1 次 AI 消费的归属客户。</w:t>
      </w:r>
    </w:p>
    <w:p>
      <w:r>
        <w:rPr>
          <w:rFonts w:ascii="微软雅黑" w:hAnsi="微软雅黑" w:eastAsia="微软雅黑"/>
          <w:b w:val="0"/>
          <w:sz w:val="24"/>
        </w:rPr>
        <w:t xml:space="preserve">1.5 </w:t>
      </w:r>
      <w:r>
        <w:rPr>
          <w:rFonts w:ascii="微软雅黑" w:hAnsi="微软雅黑" w:eastAsia="微软雅黑"/>
          <w:b/>
          <w:sz w:val="24"/>
        </w:rPr>
        <w:t>消费利润</w:t>
      </w:r>
      <w:r>
        <w:rPr>
          <w:rFonts w:ascii="微软雅黑" w:hAnsi="微软雅黑" w:eastAsia="微软雅黑"/>
          <w:b w:val="0"/>
          <w:sz w:val="24"/>
        </w:rPr>
        <w:t>：指归属客户使用 StarClaw 平台 AI 服务时，平台在上游模型成本基础上收取的服务费利润。</w:t>
      </w:r>
    </w:p>
    <w:p>
      <w:pPr>
        <w:pStyle w:val="Heading2"/>
      </w:pPr>
      <w:r>
        <w:t>第二条 合作内容与职责</w:t>
      </w:r>
    </w:p>
    <w:p>
      <w:r>
        <w:rPr>
          <w:rFonts w:ascii="微软雅黑" w:hAnsi="微软雅黑" w:eastAsia="微软雅黑"/>
          <w:b w:val="0"/>
          <w:sz w:val="24"/>
        </w:rPr>
        <w:t>2.1 甲方授权乙方在约定区域内推广 StarClaw 平台产品与服务。该区域授权为</w:t>
      </w:r>
      <w:r>
        <w:rPr>
          <w:rFonts w:ascii="微软雅黑" w:hAnsi="微软雅黑" w:eastAsia="微软雅黑"/>
          <w:b/>
          <w:sz w:val="24"/>
        </w:rPr>
        <w:t>非独家</w:t>
      </w:r>
      <w:r>
        <w:rPr>
          <w:rFonts w:ascii="微软雅黑" w:hAnsi="微软雅黑" w:eastAsia="微软雅黑"/>
          <w:b w:val="0"/>
          <w:sz w:val="24"/>
        </w:rPr>
        <w:t>性质，甲方有权在同一区域内任命其他城市合伙人。如乙方希望获得区域独家授权，须与甲方另行签署区域独家补充协议。</w:t>
      </w:r>
    </w:p>
    <w:p>
      <w:r>
        <w:rPr>
          <w:rFonts w:ascii="微软雅黑" w:hAnsi="微软雅黑" w:eastAsia="微软雅黑"/>
          <w:b w:val="0"/>
          <w:sz w:val="24"/>
        </w:rPr>
        <w:t>2.2 乙方的主要职责：</w:t>
      </w:r>
    </w:p>
    <w:p>
      <w:pPr>
        <w:pStyle w:val="ListBullet"/>
      </w:pPr>
      <w:r>
        <w:rPr>
          <w:rFonts w:ascii="微软雅黑" w:hAnsi="微软雅黑" w:eastAsia="微软雅黑"/>
          <w:b w:val="0"/>
          <w:sz w:val="24"/>
        </w:rPr>
        <w:t>（a）在约定区域内通过合法渠道推广 StarClaw 平台，发展终端用户和企业客户；</w:t>
      </w:r>
    </w:p>
    <w:p>
      <w:pPr>
        <w:pStyle w:val="ListBullet"/>
      </w:pPr>
      <w:r>
        <w:rPr>
          <w:rFonts w:ascii="微软雅黑" w:hAnsi="微软雅黑" w:eastAsia="微软雅黑"/>
          <w:b w:val="0"/>
          <w:sz w:val="24"/>
        </w:rPr>
        <w:t>（b）使用甲方提供的专属推荐码进行客户拓展；</w:t>
      </w:r>
    </w:p>
    <w:p>
      <w:pPr>
        <w:pStyle w:val="ListBullet"/>
      </w:pPr>
      <w:r>
        <w:rPr>
          <w:rFonts w:ascii="微软雅黑" w:hAnsi="微软雅黑" w:eastAsia="微软雅黑"/>
          <w:b w:val="0"/>
          <w:sz w:val="24"/>
        </w:rPr>
        <w:t>（c）协助归属客户完成注册、安装和基础使用培训；</w:t>
      </w:r>
    </w:p>
    <w:p>
      <w:pPr>
        <w:pStyle w:val="ListBullet"/>
      </w:pPr>
      <w:r>
        <w:rPr>
          <w:rFonts w:ascii="微软雅黑" w:hAnsi="微软雅黑" w:eastAsia="微软雅黑"/>
          <w:b w:val="0"/>
          <w:sz w:val="24"/>
        </w:rPr>
        <w:t>（d）遵守甲方的品牌规范和推广规范。</w:t>
      </w:r>
    </w:p>
    <w:p>
      <w:r>
        <w:rPr>
          <w:rFonts w:ascii="微软雅黑" w:hAnsi="微软雅黑" w:eastAsia="微软雅黑"/>
          <w:b w:val="0"/>
          <w:sz w:val="24"/>
        </w:rPr>
        <w:t>2.3 甲方的主要职责：</w:t>
      </w:r>
    </w:p>
    <w:p>
      <w:pPr>
        <w:pStyle w:val="ListBullet"/>
      </w:pPr>
      <w:r>
        <w:rPr>
          <w:rFonts w:ascii="微软雅黑" w:hAnsi="微软雅黑" w:eastAsia="微软雅黑"/>
          <w:b w:val="0"/>
          <w:sz w:val="24"/>
        </w:rPr>
        <w:t>（a）为乙方提供专属推荐码和推广物料；</w:t>
      </w:r>
    </w:p>
    <w:p>
      <w:pPr>
        <w:pStyle w:val="ListBullet"/>
      </w:pPr>
      <w:r>
        <w:rPr>
          <w:rFonts w:ascii="微软雅黑" w:hAnsi="微软雅黑" w:eastAsia="微软雅黑"/>
          <w:b w:val="0"/>
          <w:sz w:val="24"/>
        </w:rPr>
        <w:t>（b）保障 StarClaw 平台的正常运行和技术支持；</w:t>
      </w:r>
    </w:p>
    <w:p>
      <w:pPr>
        <w:pStyle w:val="ListBullet"/>
      </w:pPr>
      <w:r>
        <w:rPr>
          <w:rFonts w:ascii="微软雅黑" w:hAnsi="微软雅黑" w:eastAsia="微软雅黑"/>
          <w:b w:val="0"/>
          <w:sz w:val="24"/>
        </w:rPr>
        <w:t>（c）按约定及时结算和支付乙方的佣金收益；</w:t>
      </w:r>
    </w:p>
    <w:p>
      <w:pPr>
        <w:pStyle w:val="ListBullet"/>
      </w:pPr>
      <w:r>
        <w:rPr>
          <w:rFonts w:ascii="微软雅黑" w:hAnsi="微软雅黑" w:eastAsia="微软雅黑"/>
          <w:b w:val="0"/>
          <w:sz w:val="24"/>
        </w:rPr>
        <w:t>（d）为乙方提供城市合伙人管理后台（city.starclaw.net）。</w:t>
      </w:r>
    </w:p>
    <w:p>
      <w:pPr>
        <w:pStyle w:val="Heading2"/>
      </w:pPr>
      <w:r>
        <w:t>第三条 佣金阶梯</w:t>
      </w:r>
    </w:p>
    <w:p>
      <w:pPr>
        <w:pStyle w:val="Heading3"/>
      </w:pPr>
      <w:r>
        <w:t>3.1 阶梯规则</w:t>
      </w:r>
    </w:p>
    <w:p>
      <w:r>
        <w:rPr>
          <w:rFonts w:ascii="微软雅黑" w:hAnsi="微软雅黑" w:eastAsia="微软雅黑"/>
          <w:b w:val="0"/>
          <w:sz w:val="24"/>
        </w:rPr>
        <w:t>乙方的佣金率由其归属的活跃用户数量决定，按以下阶梯确定：</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center"/>
            </w:pPr>
            <w:r/>
            <w:r>
              <w:rPr>
                <w:rFonts w:ascii="微软雅黑" w:hAnsi="微软雅黑" w:eastAsia="微软雅黑"/>
                <w:b/>
                <w:sz w:val="20"/>
              </w:rPr>
              <w:t>等级</w:t>
            </w:r>
          </w:p>
        </w:tc>
        <w:tc>
          <w:tcPr>
            <w:tcW w:type="dxa" w:w="2946"/>
          </w:tcPr>
          <w:p>
            <w:pPr>
              <w:jc w:val="center"/>
            </w:pPr>
            <w:r/>
            <w:r>
              <w:rPr>
                <w:rFonts w:ascii="微软雅黑" w:hAnsi="微软雅黑" w:eastAsia="微软雅黑"/>
                <w:b/>
                <w:sz w:val="20"/>
              </w:rPr>
              <w:t>活跃用户数</w:t>
            </w:r>
          </w:p>
        </w:tc>
        <w:tc>
          <w:tcPr>
            <w:tcW w:type="dxa" w:w="2946"/>
          </w:tcPr>
          <w:p>
            <w:pPr>
              <w:jc w:val="center"/>
            </w:pPr>
            <w:r/>
            <w:r>
              <w:rPr>
                <w:rFonts w:ascii="微软雅黑" w:hAnsi="微软雅黑" w:eastAsia="微软雅黑"/>
                <w:b/>
                <w:sz w:val="20"/>
              </w:rPr>
              <w:t>佣金率</w:t>
            </w:r>
          </w:p>
        </w:tc>
      </w:tr>
      <w:tr>
        <w:tc>
          <w:tcPr>
            <w:tcW w:type="dxa" w:w="2946"/>
          </w:tcPr>
          <w:p>
            <w:pPr>
              <w:jc w:val="center"/>
            </w:pPr>
            <w:r/>
            <w:r>
              <w:rPr>
                <w:rFonts w:ascii="微软雅黑" w:hAnsi="微软雅黑" w:eastAsia="微软雅黑"/>
                <w:b w:val="0"/>
                <w:sz w:val="20"/>
              </w:rPr>
              <w:t>入门</w:t>
            </w:r>
          </w:p>
        </w:tc>
        <w:tc>
          <w:tcPr>
            <w:tcW w:type="dxa" w:w="2946"/>
          </w:tcPr>
          <w:p>
            <w:pPr>
              <w:jc w:val="center"/>
            </w:pPr>
            <w:r/>
            <w:r>
              <w:rPr>
                <w:rFonts w:ascii="微软雅黑" w:hAnsi="微软雅黑" w:eastAsia="微软雅黑"/>
                <w:b w:val="0"/>
                <w:sz w:val="20"/>
              </w:rPr>
              <w:t>0-9</w:t>
            </w:r>
          </w:p>
        </w:tc>
        <w:tc>
          <w:tcPr>
            <w:tcW w:type="dxa" w:w="2946"/>
          </w:tcPr>
          <w:p>
            <w:pPr>
              <w:jc w:val="center"/>
            </w:pPr>
            <w:r/>
            <w:r>
              <w:rPr>
                <w:rFonts w:ascii="微软雅黑" w:hAnsi="微软雅黑" w:eastAsia="微软雅黑"/>
                <w:b/>
                <w:sz w:val="20"/>
              </w:rPr>
              <w:t>20%</w:t>
            </w:r>
          </w:p>
        </w:tc>
      </w:tr>
      <w:tr>
        <w:tc>
          <w:tcPr>
            <w:tcW w:type="dxa" w:w="2946"/>
          </w:tcPr>
          <w:p>
            <w:pPr>
              <w:jc w:val="center"/>
            </w:pPr>
            <w:r/>
            <w:r>
              <w:rPr>
                <w:rFonts w:ascii="微软雅黑" w:hAnsi="微软雅黑" w:eastAsia="微软雅黑"/>
                <w:b w:val="0"/>
                <w:sz w:val="20"/>
              </w:rPr>
              <w:t>白银</w:t>
            </w:r>
          </w:p>
        </w:tc>
        <w:tc>
          <w:tcPr>
            <w:tcW w:type="dxa" w:w="2946"/>
          </w:tcPr>
          <w:p>
            <w:pPr>
              <w:jc w:val="center"/>
            </w:pPr>
            <w:r/>
            <w:r>
              <w:rPr>
                <w:rFonts w:ascii="微软雅黑" w:hAnsi="微软雅黑" w:eastAsia="微软雅黑"/>
                <w:b w:val="0"/>
                <w:sz w:val="20"/>
              </w:rPr>
              <w:t>10-49</w:t>
            </w:r>
          </w:p>
        </w:tc>
        <w:tc>
          <w:tcPr>
            <w:tcW w:type="dxa" w:w="2946"/>
          </w:tcPr>
          <w:p>
            <w:pPr>
              <w:jc w:val="center"/>
            </w:pPr>
            <w:r/>
            <w:r>
              <w:rPr>
                <w:rFonts w:ascii="微软雅黑" w:hAnsi="微软雅黑" w:eastAsia="微软雅黑"/>
                <w:b/>
                <w:sz w:val="20"/>
              </w:rPr>
              <w:t>25%</w:t>
            </w:r>
          </w:p>
        </w:tc>
      </w:tr>
      <w:tr>
        <w:tc>
          <w:tcPr>
            <w:tcW w:type="dxa" w:w="2946"/>
          </w:tcPr>
          <w:p>
            <w:pPr>
              <w:jc w:val="center"/>
            </w:pPr>
            <w:r/>
            <w:r>
              <w:rPr>
                <w:rFonts w:ascii="微软雅黑" w:hAnsi="微软雅黑" w:eastAsia="微软雅黑"/>
                <w:b w:val="0"/>
                <w:sz w:val="20"/>
              </w:rPr>
              <w:t>黄金</w:t>
            </w:r>
          </w:p>
        </w:tc>
        <w:tc>
          <w:tcPr>
            <w:tcW w:type="dxa" w:w="2946"/>
          </w:tcPr>
          <w:p>
            <w:pPr>
              <w:jc w:val="center"/>
            </w:pPr>
            <w:r/>
            <w:r>
              <w:rPr>
                <w:rFonts w:ascii="微软雅黑" w:hAnsi="微软雅黑" w:eastAsia="微软雅黑"/>
                <w:b w:val="0"/>
                <w:sz w:val="20"/>
              </w:rPr>
              <w:t>50-99</w:t>
            </w:r>
          </w:p>
        </w:tc>
        <w:tc>
          <w:tcPr>
            <w:tcW w:type="dxa" w:w="2946"/>
          </w:tcPr>
          <w:p>
            <w:pPr>
              <w:jc w:val="center"/>
            </w:pPr>
            <w:r/>
            <w:r>
              <w:rPr>
                <w:rFonts w:ascii="微软雅黑" w:hAnsi="微软雅黑" w:eastAsia="微软雅黑"/>
                <w:b/>
                <w:sz w:val="20"/>
              </w:rPr>
              <w:t>28%</w:t>
            </w:r>
          </w:p>
        </w:tc>
      </w:tr>
      <w:tr>
        <w:tc>
          <w:tcPr>
            <w:tcW w:type="dxa" w:w="2946"/>
          </w:tcPr>
          <w:p>
            <w:pPr>
              <w:jc w:val="center"/>
            </w:pPr>
            <w:r/>
            <w:r>
              <w:rPr>
                <w:rFonts w:ascii="微软雅黑" w:hAnsi="微软雅黑" w:eastAsia="微软雅黑"/>
                <w:b w:val="0"/>
                <w:sz w:val="20"/>
              </w:rPr>
              <w:t>钻石</w:t>
            </w:r>
          </w:p>
        </w:tc>
        <w:tc>
          <w:tcPr>
            <w:tcW w:type="dxa" w:w="2946"/>
          </w:tcPr>
          <w:p>
            <w:pPr>
              <w:jc w:val="center"/>
            </w:pPr>
            <w:r/>
            <w:r>
              <w:rPr>
                <w:rFonts w:ascii="微软雅黑" w:hAnsi="微软雅黑" w:eastAsia="微软雅黑"/>
                <w:b w:val="0"/>
                <w:sz w:val="20"/>
              </w:rPr>
              <w:t>100+</w:t>
            </w:r>
          </w:p>
        </w:tc>
        <w:tc>
          <w:tcPr>
            <w:tcW w:type="dxa" w:w="2946"/>
          </w:tcPr>
          <w:p>
            <w:pPr>
              <w:jc w:val="center"/>
            </w:pPr>
            <w:r/>
            <w:r>
              <w:rPr>
                <w:rFonts w:ascii="微软雅黑" w:hAnsi="微软雅黑" w:eastAsia="微软雅黑"/>
                <w:b/>
                <w:sz w:val="20"/>
              </w:rPr>
              <w:t>30%</w:t>
            </w:r>
          </w:p>
        </w:tc>
      </w:tr>
    </w:tbl>
    <w:p>
      <w:r>
        <w:rPr>
          <w:rFonts w:ascii="微软雅黑" w:hAnsi="微软雅黑" w:eastAsia="微软雅黑"/>
          <w:b w:val="0"/>
          <w:sz w:val="24"/>
        </w:rPr>
        <w:t>3.1.1 甲方于每月 1 日根据上月活跃用户数重新判定乙方的佣金等级。</w:t>
      </w:r>
    </w:p>
    <w:p>
      <w:r>
        <w:rPr>
          <w:rFonts w:ascii="微软雅黑" w:hAnsi="微软雅黑" w:eastAsia="微软雅黑"/>
          <w:b w:val="0"/>
          <w:sz w:val="24"/>
        </w:rPr>
        <w:t>3.1.2 佣金等级可升可降。乙方应持续维护归属用户的活跃度。</w:t>
      </w:r>
    </w:p>
    <w:p>
      <w:r>
        <w:rPr>
          <w:rFonts w:ascii="微软雅黑" w:hAnsi="微软雅黑" w:eastAsia="微软雅黑"/>
          <w:b w:val="0"/>
          <w:sz w:val="24"/>
        </w:rPr>
        <w:t xml:space="preserve">3.1.3 </w:t>
      </w:r>
      <w:r>
        <w:rPr>
          <w:rFonts w:ascii="微软雅黑" w:hAnsi="微软雅黑" w:eastAsia="微软雅黑"/>
          <w:b/>
          <w:sz w:val="24"/>
        </w:rPr>
        <w:t>年度忠诚锁定：</w:t>
      </w:r>
      <w:r>
        <w:rPr>
          <w:rFonts w:ascii="微软雅黑" w:hAnsi="微软雅黑" w:eastAsia="微软雅黑"/>
          <w:b w:val="0"/>
          <w:sz w:val="24"/>
        </w:rPr>
        <w:t xml:space="preserve"> 连续活跃 </w:t>
      </w:r>
      <w:r>
        <w:rPr>
          <w:rFonts w:ascii="微软雅黑" w:hAnsi="微软雅黑" w:eastAsia="微软雅黑"/>
          <w:b/>
          <w:sz w:val="24"/>
        </w:rPr>
        <w:t>12</w:t>
      </w:r>
      <w:r>
        <w:rPr>
          <w:rFonts w:ascii="微软雅黑" w:hAnsi="微软雅黑" w:eastAsia="微软雅黑"/>
          <w:b w:val="0"/>
          <w:sz w:val="24"/>
        </w:rPr>
        <w:t xml:space="preserve"> 个月的乙方，其佣金等级永久锁定（只升不降）。连续活跃指每月至少有 </w:t>
      </w:r>
      <w:r>
        <w:rPr>
          <w:rFonts w:ascii="微软雅黑" w:hAnsi="微软雅黑" w:eastAsia="微软雅黑"/>
          <w:b/>
          <w:sz w:val="24"/>
        </w:rPr>
        <w:t>1</w:t>
      </w:r>
      <w:r>
        <w:rPr>
          <w:rFonts w:ascii="微软雅黑" w:hAnsi="微软雅黑" w:eastAsia="微软雅黑"/>
          <w:b w:val="0"/>
          <w:sz w:val="24"/>
        </w:rPr>
        <w:t xml:space="preserve"> 个活跃用户。</w:t>
      </w:r>
    </w:p>
    <w:p>
      <w:r>
        <w:rPr>
          <w:rFonts w:ascii="微软雅黑" w:hAnsi="微软雅黑" w:eastAsia="微软雅黑"/>
          <w:b w:val="0"/>
          <w:sz w:val="24"/>
        </w:rPr>
        <w:t>3.1.4 乙方不需要投资即可开展推广业务。佣金率完全由业绩决定。</w:t>
      </w:r>
    </w:p>
    <w:p>
      <w:pPr>
        <w:pStyle w:val="Heading3"/>
      </w:pPr>
      <w:r>
        <w:t>3.2 佣金结算</w:t>
      </w:r>
    </w:p>
    <w:p>
      <w:r>
        <w:rPr>
          <w:rFonts w:ascii="微软雅黑" w:hAnsi="微软雅黑" w:eastAsia="微软雅黑"/>
          <w:b w:val="0"/>
          <w:sz w:val="24"/>
        </w:rPr>
        <w:t>3.2.1 佣金按自然月汇总，T+30 结算。甲方于每月 15 日前完成上月佣金计算，20 日前发放至乙方绑定的收款账户。</w:t>
      </w:r>
    </w:p>
    <w:p>
      <w:r>
        <w:rPr>
          <w:rFonts w:ascii="微软雅黑" w:hAnsi="微软雅黑" w:eastAsia="微软雅黑"/>
          <w:b w:val="0"/>
          <w:sz w:val="24"/>
        </w:rPr>
        <w:t>3.2.2 乙方可在城市合伙人后台（city.starclaw.net）实时查看归属客户消费明细和佣金累计。</w:t>
      </w:r>
    </w:p>
    <w:p>
      <w:r>
        <w:rPr>
          <w:rFonts w:ascii="微软雅黑" w:hAnsi="微软雅黑" w:eastAsia="微软雅黑"/>
          <w:b w:val="0"/>
          <w:sz w:val="24"/>
        </w:rPr>
        <w:t>3.2.3 每笔佣金精确到分，按实际消费利润 × 乙方当前佣金率实时计算。</w:t>
      </w:r>
    </w:p>
    <w:p>
      <w:r>
        <w:rPr>
          <w:rFonts w:ascii="微软雅黑" w:hAnsi="微软雅黑" w:eastAsia="微软雅黑"/>
          <w:b w:val="0"/>
          <w:sz w:val="24"/>
        </w:rPr>
        <w:t>3.2.4 提现门槛为人民币壹佰元（¥100），支持银行卡、支付宝提现。</w:t>
      </w:r>
    </w:p>
    <w:p>
      <w:pPr>
        <w:pStyle w:val="Heading2"/>
      </w:pPr>
      <w:r>
        <w:t>第四条 增长奖金</w:t>
      </w:r>
    </w:p>
    <w:p>
      <w:r>
        <w:rPr>
          <w:rFonts w:ascii="微软雅黑" w:hAnsi="微软雅黑" w:eastAsia="微软雅黑"/>
          <w:b w:val="0"/>
          <w:sz w:val="24"/>
        </w:rPr>
        <w:t>4.1 甲方设立城市合伙人增长奖金，用于激励乙方拓展用户。具体标准如下：</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center"/>
            </w:pPr>
            <w:r/>
            <w:r>
              <w:rPr>
                <w:rFonts w:ascii="微软雅黑" w:hAnsi="微软雅黑" w:eastAsia="微软雅黑"/>
                <w:b/>
                <w:sz w:val="20"/>
              </w:rPr>
              <w:t>奖金类型</w:t>
            </w:r>
          </w:p>
        </w:tc>
        <w:tc>
          <w:tcPr>
            <w:tcW w:type="dxa" w:w="2946"/>
          </w:tcPr>
          <w:p>
            <w:pPr>
              <w:jc w:val="center"/>
            </w:pPr>
            <w:r/>
            <w:r>
              <w:rPr>
                <w:rFonts w:ascii="微软雅黑" w:hAnsi="微软雅黑" w:eastAsia="微软雅黑"/>
                <w:b/>
                <w:sz w:val="20"/>
              </w:rPr>
              <w:t>触发条件</w:t>
            </w:r>
          </w:p>
        </w:tc>
        <w:tc>
          <w:tcPr>
            <w:tcW w:type="dxa" w:w="2946"/>
          </w:tcPr>
          <w:p>
            <w:pPr>
              <w:jc w:val="center"/>
            </w:pPr>
            <w:r/>
            <w:r>
              <w:rPr>
                <w:rFonts w:ascii="微软雅黑" w:hAnsi="微软雅黑" w:eastAsia="微软雅黑"/>
                <w:b/>
                <w:sz w:val="20"/>
              </w:rPr>
              <w:t>金额</w:t>
            </w:r>
          </w:p>
        </w:tc>
      </w:tr>
      <w:tr>
        <w:tc>
          <w:tcPr>
            <w:tcW w:type="dxa" w:w="2946"/>
          </w:tcPr>
          <w:p>
            <w:pPr>
              <w:jc w:val="center"/>
            </w:pPr>
            <w:r/>
            <w:r>
              <w:rPr>
                <w:rFonts w:ascii="微软雅黑" w:hAnsi="微软雅黑" w:eastAsia="微软雅黑"/>
                <w:b w:val="0"/>
                <w:sz w:val="20"/>
              </w:rPr>
              <w:t>首单奖</w:t>
            </w:r>
          </w:p>
        </w:tc>
        <w:tc>
          <w:tcPr>
            <w:tcW w:type="dxa" w:w="2946"/>
          </w:tcPr>
          <w:p>
            <w:pPr>
              <w:jc w:val="center"/>
            </w:pPr>
            <w:r/>
            <w:r>
              <w:rPr>
                <w:rFonts w:ascii="微软雅黑" w:hAnsi="微软雅黑" w:eastAsia="微软雅黑"/>
                <w:b w:val="0"/>
                <w:sz w:val="20"/>
              </w:rPr>
              <w:t>第1个活跃用户</w:t>
            </w:r>
          </w:p>
        </w:tc>
        <w:tc>
          <w:tcPr>
            <w:tcW w:type="dxa" w:w="2946"/>
          </w:tcPr>
          <w:p>
            <w:pPr>
              <w:jc w:val="center"/>
            </w:pPr>
            <w:r/>
            <w:r>
              <w:rPr>
                <w:rFonts w:ascii="微软雅黑" w:hAnsi="微软雅黑" w:eastAsia="微软雅黑"/>
                <w:b w:val="0"/>
                <w:sz w:val="20"/>
              </w:rPr>
              <w:t>¥100</w:t>
            </w:r>
          </w:p>
        </w:tc>
      </w:tr>
      <w:tr>
        <w:tc>
          <w:tcPr>
            <w:tcW w:type="dxa" w:w="2946"/>
          </w:tcPr>
          <w:p>
            <w:pPr>
              <w:jc w:val="center"/>
            </w:pPr>
            <w:r/>
            <w:r>
              <w:rPr>
                <w:rFonts w:ascii="微软雅黑" w:hAnsi="微软雅黑" w:eastAsia="微软雅黑"/>
                <w:b w:val="0"/>
                <w:sz w:val="20"/>
              </w:rPr>
              <w:t>十人奖</w:t>
            </w:r>
          </w:p>
        </w:tc>
        <w:tc>
          <w:tcPr>
            <w:tcW w:type="dxa" w:w="2946"/>
          </w:tcPr>
          <w:p>
            <w:pPr>
              <w:jc w:val="center"/>
            </w:pPr>
            <w:r/>
            <w:r>
              <w:rPr>
                <w:rFonts w:ascii="微软雅黑" w:hAnsi="微软雅黑" w:eastAsia="微软雅黑"/>
                <w:b w:val="0"/>
                <w:sz w:val="20"/>
              </w:rPr>
              <w:t>累计10个活跃用户</w:t>
            </w:r>
          </w:p>
        </w:tc>
        <w:tc>
          <w:tcPr>
            <w:tcW w:type="dxa" w:w="2946"/>
          </w:tcPr>
          <w:p>
            <w:pPr>
              <w:jc w:val="center"/>
            </w:pPr>
            <w:r/>
            <w:r>
              <w:rPr>
                <w:rFonts w:ascii="微软雅黑" w:hAnsi="微软雅黑" w:eastAsia="微软雅黑"/>
                <w:b w:val="0"/>
                <w:sz w:val="20"/>
              </w:rPr>
              <w:t>¥500</w:t>
            </w:r>
          </w:p>
        </w:tc>
      </w:tr>
      <w:tr>
        <w:tc>
          <w:tcPr>
            <w:tcW w:type="dxa" w:w="2946"/>
          </w:tcPr>
          <w:p>
            <w:pPr>
              <w:jc w:val="center"/>
            </w:pPr>
            <w:r/>
            <w:r>
              <w:rPr>
                <w:rFonts w:ascii="微软雅黑" w:hAnsi="微软雅黑" w:eastAsia="微软雅黑"/>
                <w:b w:val="0"/>
                <w:sz w:val="20"/>
              </w:rPr>
              <w:t>五十人奖</w:t>
            </w:r>
          </w:p>
        </w:tc>
        <w:tc>
          <w:tcPr>
            <w:tcW w:type="dxa" w:w="2946"/>
          </w:tcPr>
          <w:p>
            <w:pPr>
              <w:jc w:val="center"/>
            </w:pPr>
            <w:r/>
            <w:r>
              <w:rPr>
                <w:rFonts w:ascii="微软雅黑" w:hAnsi="微软雅黑" w:eastAsia="微软雅黑"/>
                <w:b w:val="0"/>
                <w:sz w:val="20"/>
              </w:rPr>
              <w:t>累计50个活跃用户</w:t>
            </w:r>
          </w:p>
        </w:tc>
        <w:tc>
          <w:tcPr>
            <w:tcW w:type="dxa" w:w="2946"/>
          </w:tcPr>
          <w:p>
            <w:pPr>
              <w:jc w:val="center"/>
            </w:pPr>
            <w:r/>
            <w:r>
              <w:rPr>
                <w:rFonts w:ascii="微软雅黑" w:hAnsi="微软雅黑" w:eastAsia="微软雅黑"/>
                <w:b w:val="0"/>
                <w:sz w:val="20"/>
              </w:rPr>
              <w:t>¥3,000</w:t>
            </w:r>
          </w:p>
        </w:tc>
      </w:tr>
      <w:tr>
        <w:tc>
          <w:tcPr>
            <w:tcW w:type="dxa" w:w="2946"/>
          </w:tcPr>
          <w:p>
            <w:pPr>
              <w:jc w:val="center"/>
            </w:pPr>
            <w:r/>
            <w:r>
              <w:rPr>
                <w:rFonts w:ascii="微软雅黑" w:hAnsi="微软雅黑" w:eastAsia="微软雅黑"/>
                <w:b w:val="0"/>
                <w:sz w:val="20"/>
              </w:rPr>
              <w:t>百人奖</w:t>
            </w:r>
          </w:p>
        </w:tc>
        <w:tc>
          <w:tcPr>
            <w:tcW w:type="dxa" w:w="2946"/>
          </w:tcPr>
          <w:p>
            <w:pPr>
              <w:jc w:val="center"/>
            </w:pPr>
            <w:r/>
            <w:r>
              <w:rPr>
                <w:rFonts w:ascii="微软雅黑" w:hAnsi="微软雅黑" w:eastAsia="微软雅黑"/>
                <w:b w:val="0"/>
                <w:sz w:val="20"/>
              </w:rPr>
              <w:t>累计100个活跃用户</w:t>
            </w:r>
          </w:p>
        </w:tc>
        <w:tc>
          <w:tcPr>
            <w:tcW w:type="dxa" w:w="2946"/>
          </w:tcPr>
          <w:p>
            <w:pPr>
              <w:jc w:val="center"/>
            </w:pPr>
            <w:r/>
            <w:r>
              <w:rPr>
                <w:rFonts w:ascii="微软雅黑" w:hAnsi="微软雅黑" w:eastAsia="微软雅黑"/>
                <w:b w:val="0"/>
                <w:sz w:val="20"/>
              </w:rPr>
              <w:t>¥10,000</w:t>
            </w:r>
          </w:p>
        </w:tc>
      </w:tr>
    </w:tbl>
    <w:p>
      <w:r>
        <w:rPr>
          <w:rFonts w:ascii="微软雅黑" w:hAnsi="微软雅黑" w:eastAsia="微软雅黑"/>
          <w:b w:val="0"/>
          <w:sz w:val="24"/>
        </w:rPr>
        <w:t>4.2 甲方可设立月度竞赛奖励，具体规则在合伙人后台公示。</w:t>
      </w:r>
    </w:p>
    <w:p>
      <w:r>
        <w:rPr>
          <w:rFonts w:ascii="微软雅黑" w:hAnsi="微软雅黑" w:eastAsia="微软雅黑"/>
          <w:b w:val="0"/>
          <w:sz w:val="24"/>
        </w:rPr>
        <w:t>4.3 增长奖金的具体标准、发放条件和调整，由甲方根据平台发展情况确定。甲方有权根据实际情况调整奖金标准。</w:t>
      </w:r>
    </w:p>
    <w:p>
      <w:r>
        <w:rPr>
          <w:rFonts w:ascii="微软雅黑" w:hAnsi="微软雅黑" w:eastAsia="微软雅黑"/>
          <w:b w:val="0"/>
          <w:sz w:val="24"/>
        </w:rPr>
        <w:t>4.4 乙方可在合伙人后台查看增长奖金记录和月度排行榜。</w:t>
      </w:r>
    </w:p>
    <w:p>
      <w:pPr>
        <w:pStyle w:val="Heading2"/>
      </w:pPr>
      <w:r>
        <w:t>第五条 推荐码与客户管理</w:t>
      </w:r>
    </w:p>
    <w:p>
      <w:r>
        <w:rPr>
          <w:rFonts w:ascii="微软雅黑" w:hAnsi="微软雅黑" w:eastAsia="微软雅黑"/>
          <w:b w:val="0"/>
          <w:sz w:val="24"/>
        </w:rPr>
        <w:t>5.1 甲方为乙方提供专属推荐码（可自定义别名）和推广链接。</w:t>
      </w:r>
    </w:p>
    <w:p>
      <w:r>
        <w:rPr>
          <w:rFonts w:ascii="微软雅黑" w:hAnsi="微软雅黑" w:eastAsia="微软雅黑"/>
          <w:b w:val="0"/>
          <w:sz w:val="24"/>
        </w:rPr>
        <w:t>5.2 通过乙方推荐码注册的客户，在本协议有效期内持续归属于乙方名下。</w:t>
      </w:r>
    </w:p>
    <w:p>
      <w:r>
        <w:rPr>
          <w:rFonts w:ascii="微软雅黑" w:hAnsi="微软雅黑" w:eastAsia="微软雅黑"/>
          <w:b w:val="0"/>
          <w:sz w:val="24"/>
        </w:rPr>
        <w:t>5.3 推荐码仅在客户首次注册时有效，注册后不可补填或更改归属关系。</w:t>
      </w:r>
    </w:p>
    <w:p>
      <w:r>
        <w:rPr>
          <w:rFonts w:ascii="微软雅黑" w:hAnsi="微软雅黑" w:eastAsia="微软雅黑"/>
          <w:b w:val="0"/>
          <w:sz w:val="24"/>
        </w:rPr>
        <w:t>5.4 乙方可在合伙人后台创建、管理和撤销推荐码，查看客户列表、消费明细和佣金统计。</w:t>
      </w:r>
    </w:p>
    <w:p>
      <w:r>
        <w:rPr>
          <w:rFonts w:ascii="微软雅黑" w:hAnsi="微软雅黑" w:eastAsia="微软雅黑"/>
          <w:b w:val="0"/>
          <w:sz w:val="24"/>
        </w:rPr>
        <w:t>5.5 乙方不得将推荐码转让、出借给第三方使用，或通过虚假注册等方式骗取佣金。</w:t>
      </w:r>
    </w:p>
    <w:p>
      <w:r>
        <w:rPr>
          <w:rFonts w:ascii="微软雅黑" w:hAnsi="微软雅黑" w:eastAsia="微软雅黑"/>
          <w:b w:val="0"/>
          <w:sz w:val="24"/>
        </w:rPr>
        <w:t>5.6 本协议终止后，乙方的专属推荐码即时失效，不再用于新客户注册。已归属客户的后续消费不再产生佣金。</w:t>
      </w:r>
    </w:p>
    <w:p>
      <w:pPr>
        <w:pStyle w:val="Heading2"/>
      </w:pPr>
      <w:r>
        <w:t>第六条 协议期限与退出</w:t>
      </w:r>
    </w:p>
    <w:p>
      <w:r>
        <w:rPr>
          <w:rFonts w:ascii="微软雅黑" w:hAnsi="微软雅黑" w:eastAsia="微软雅黑"/>
          <w:b w:val="0"/>
          <w:sz w:val="24"/>
        </w:rPr>
        <w:t xml:space="preserve">6.1 本协议自双方签署之日起生效，初始有效期为 </w:t>
      </w:r>
      <w:r>
        <w:rPr>
          <w:rFonts w:ascii="微软雅黑" w:hAnsi="微软雅黑" w:eastAsia="微软雅黑"/>
          <w:b/>
          <w:sz w:val="24"/>
        </w:rPr>
        <w:t>3 年</w:t>
      </w:r>
      <w:r>
        <w:rPr>
          <w:rFonts w:ascii="微软雅黑" w:hAnsi="微软雅黑" w:eastAsia="微软雅黑"/>
          <w:b w:val="0"/>
          <w:sz w:val="24"/>
        </w:rPr>
        <w:t>（即至 _______________ 届满）。</w:t>
      </w:r>
    </w:p>
    <w:p>
      <w:r>
        <w:rPr>
          <w:rFonts w:ascii="微软雅黑" w:hAnsi="微软雅黑" w:eastAsia="微软雅黑"/>
          <w:b w:val="0"/>
          <w:sz w:val="24"/>
        </w:rPr>
        <w:t xml:space="preserve">6.2 协议期满前 </w:t>
      </w:r>
      <w:r>
        <w:rPr>
          <w:rFonts w:ascii="微软雅黑" w:hAnsi="微软雅黑" w:eastAsia="微软雅黑"/>
          <w:b/>
          <w:sz w:val="24"/>
        </w:rPr>
        <w:t>30</w:t>
      </w:r>
      <w:r>
        <w:rPr>
          <w:rFonts w:ascii="微软雅黑" w:hAnsi="微软雅黑" w:eastAsia="微软雅黑"/>
          <w:b w:val="0"/>
          <w:sz w:val="24"/>
        </w:rPr>
        <w:t xml:space="preserve"> 日，如任一方未以书面形式（包括但不限于电子邮件、平台内通知）向对方提出不再续期的通知，则本协议自动续期 </w:t>
      </w:r>
      <w:r>
        <w:rPr>
          <w:rFonts w:ascii="微软雅黑" w:hAnsi="微软雅黑" w:eastAsia="微软雅黑"/>
          <w:b/>
          <w:sz w:val="24"/>
        </w:rPr>
        <w:t>1</w:t>
      </w:r>
      <w:r>
        <w:rPr>
          <w:rFonts w:ascii="微软雅黑" w:hAnsi="微软雅黑" w:eastAsia="微软雅黑"/>
          <w:b w:val="0"/>
          <w:sz w:val="24"/>
        </w:rPr>
        <w:t xml:space="preserve"> 年，以此类推。</w:t>
      </w:r>
    </w:p>
    <w:p>
      <w:r>
        <w:rPr>
          <w:rFonts w:ascii="微软雅黑" w:hAnsi="微软雅黑" w:eastAsia="微软雅黑"/>
          <w:b w:val="0"/>
          <w:sz w:val="24"/>
        </w:rPr>
        <w:t xml:space="preserve">6.3 </w:t>
      </w:r>
      <w:r>
        <w:rPr>
          <w:rFonts w:ascii="微软雅黑" w:hAnsi="微软雅黑" w:eastAsia="微软雅黑"/>
          <w:b/>
          <w:sz w:val="24"/>
        </w:rPr>
        <w:t>佣金终止：</w:t>
      </w:r>
      <w:r>
        <w:rPr>
          <w:rFonts w:ascii="微软雅黑" w:hAnsi="微软雅黑" w:eastAsia="微软雅黑"/>
          <w:b w:val="0"/>
          <w:sz w:val="24"/>
        </w:rPr>
        <w:t xml:space="preserve"> 协议终止后，乙方不再享有归属客户的后续消费佣金。已产生但未结算的佣金，甲方应在协议终止后 </w:t>
      </w:r>
      <w:r>
        <w:rPr>
          <w:rFonts w:ascii="微软雅黑" w:hAnsi="微软雅黑" w:eastAsia="微软雅黑"/>
          <w:b/>
          <w:sz w:val="24"/>
        </w:rPr>
        <w:t>30</w:t>
      </w:r>
      <w:r>
        <w:rPr>
          <w:rFonts w:ascii="微软雅黑" w:hAnsi="微软雅黑" w:eastAsia="微软雅黑"/>
          <w:b w:val="0"/>
          <w:sz w:val="24"/>
        </w:rPr>
        <w:t xml:space="preserve"> 日内完成结算并支付。</w:t>
      </w:r>
    </w:p>
    <w:p>
      <w:pPr>
        <w:pStyle w:val="Heading2"/>
      </w:pPr>
      <w:r>
        <w:t>第七条 风险提示</w:t>
      </w:r>
    </w:p>
    <w:p>
      <w:r>
        <w:rPr>
          <w:rFonts w:ascii="微软雅黑" w:hAnsi="微软雅黑" w:eastAsia="微软雅黑"/>
          <w:b w:val="0"/>
          <w:sz w:val="24"/>
        </w:rPr>
        <w:t>7.1 乙方充分了解并确认：</w:t>
      </w:r>
    </w:p>
    <w:p>
      <w:pPr>
        <w:pStyle w:val="ListBullet"/>
      </w:pPr>
      <w:r>
        <w:rPr>
          <w:rFonts w:ascii="微软雅黑" w:hAnsi="微软雅黑" w:eastAsia="微软雅黑"/>
          <w:b w:val="0"/>
          <w:sz w:val="24"/>
        </w:rPr>
        <w:t>（a）佣金收益完全取决于归属客户的实际消费量，甲方不保证最低收入；</w:t>
      </w:r>
    </w:p>
    <w:p>
      <w:pPr>
        <w:pStyle w:val="ListBullet"/>
      </w:pPr>
      <w:r>
        <w:rPr>
          <w:rFonts w:ascii="微软雅黑" w:hAnsi="微软雅黑" w:eastAsia="微软雅黑"/>
          <w:b w:val="0"/>
          <w:sz w:val="24"/>
        </w:rPr>
        <w:t>（b）佣金等级可能因活跃用户数变化而升降（12个月忠诚锁定前）；</w:t>
      </w:r>
    </w:p>
    <w:p>
      <w:pPr>
        <w:pStyle w:val="ListBullet"/>
      </w:pPr>
      <w:r>
        <w:rPr>
          <w:rFonts w:ascii="微软雅黑" w:hAnsi="微软雅黑" w:eastAsia="微软雅黑"/>
          <w:b w:val="0"/>
          <w:sz w:val="24"/>
        </w:rPr>
        <w:t>（c）如平台经营不善、亏损或停止运营，乙方可能无法获得预期收益。</w:t>
      </w:r>
    </w:p>
    <w:p>
      <w:r>
        <w:rPr>
          <w:rFonts w:ascii="微软雅黑" w:hAnsi="微软雅黑" w:eastAsia="微软雅黑"/>
          <w:b w:val="0"/>
          <w:sz w:val="24"/>
        </w:rPr>
        <w:t>7.2 乙方确认已仔细阅读并充分理解上述风险提示。</w:t>
      </w:r>
    </w:p>
    <w:p>
      <w:pPr>
        <w:pStyle w:val="Heading2"/>
      </w:pPr>
      <w:r>
        <w:t>第八条 保密条款</w:t>
      </w:r>
    </w:p>
    <w:p>
      <w:r>
        <w:rPr>
          <w:rFonts w:ascii="微软雅黑" w:hAnsi="微软雅黑" w:eastAsia="微软雅黑"/>
          <w:b w:val="0"/>
          <w:sz w:val="24"/>
        </w:rPr>
        <w:t>8.1 双方应对本协议的内容及因履行本协议而获知的对方商业秘密严格保密，包括但不限于佣金率、客户信息等。</w:t>
      </w:r>
    </w:p>
    <w:p>
      <w:r>
        <w:rPr>
          <w:rFonts w:ascii="微软雅黑" w:hAnsi="微软雅黑" w:eastAsia="微软雅黑"/>
          <w:b w:val="0"/>
          <w:sz w:val="24"/>
        </w:rPr>
        <w:t>8.2 未经对方书面同意，任何一方不得向第三方（法律法规要求的监管机构除外）披露本协议的具体条款和交易信息。</w:t>
      </w:r>
    </w:p>
    <w:p>
      <w:r>
        <w:rPr>
          <w:rFonts w:ascii="微软雅黑" w:hAnsi="微软雅黑" w:eastAsia="微软雅黑"/>
          <w:b w:val="0"/>
          <w:sz w:val="24"/>
        </w:rPr>
        <w:t xml:space="preserve">8.3 保密义务在本协议终止后继续有效 </w:t>
      </w:r>
      <w:r>
        <w:rPr>
          <w:rFonts w:ascii="微软雅黑" w:hAnsi="微软雅黑" w:eastAsia="微软雅黑"/>
          <w:b/>
          <w:sz w:val="24"/>
        </w:rPr>
        <w:t>2</w:t>
      </w:r>
      <w:r>
        <w:rPr>
          <w:rFonts w:ascii="微软雅黑" w:hAnsi="微软雅黑" w:eastAsia="微软雅黑"/>
          <w:b w:val="0"/>
          <w:sz w:val="24"/>
        </w:rPr>
        <w:t xml:space="preserve"> 年。</w:t>
      </w:r>
    </w:p>
    <w:p>
      <w:pPr>
        <w:pStyle w:val="Heading2"/>
      </w:pPr>
      <w:r>
        <w:t>第九条 合规与行为规范</w:t>
      </w:r>
    </w:p>
    <w:p>
      <w:r>
        <w:rPr>
          <w:rFonts w:ascii="微软雅黑" w:hAnsi="微软雅黑" w:eastAsia="微软雅黑"/>
          <w:b w:val="0"/>
          <w:sz w:val="24"/>
        </w:rPr>
        <w:t>9.1 乙方在推广过程中不得：</w:t>
      </w:r>
    </w:p>
    <w:p>
      <w:pPr>
        <w:pStyle w:val="ListBullet"/>
      </w:pPr>
      <w:r>
        <w:rPr>
          <w:rFonts w:ascii="微软雅黑" w:hAnsi="微软雅黑" w:eastAsia="微软雅黑"/>
          <w:b w:val="0"/>
          <w:sz w:val="24"/>
        </w:rPr>
        <w:t>（a）对 StarClaw 平台的功能、收益等作出虚假或夸大宣传；</w:t>
      </w:r>
    </w:p>
    <w:p>
      <w:pPr>
        <w:pStyle w:val="ListBullet"/>
      </w:pPr>
      <w:r>
        <w:rPr>
          <w:rFonts w:ascii="微软雅黑" w:hAnsi="微软雅黑" w:eastAsia="微软雅黑"/>
          <w:b w:val="0"/>
          <w:sz w:val="24"/>
        </w:rPr>
        <w:t>（b）承诺或暗示固定收益、保本保息；</w:t>
      </w:r>
    </w:p>
    <w:p>
      <w:pPr>
        <w:pStyle w:val="ListBullet"/>
      </w:pPr>
      <w:r>
        <w:rPr>
          <w:rFonts w:ascii="微软雅黑" w:hAnsi="微软雅黑" w:eastAsia="微软雅黑"/>
          <w:b w:val="0"/>
          <w:sz w:val="24"/>
        </w:rPr>
        <w:t>（c）使用非法手段获取客户信息或强制注册；</w:t>
      </w:r>
    </w:p>
    <w:p>
      <w:pPr>
        <w:pStyle w:val="ListBullet"/>
      </w:pPr>
      <w:r>
        <w:rPr>
          <w:rFonts w:ascii="微软雅黑" w:hAnsi="微软雅黑" w:eastAsia="微软雅黑"/>
          <w:b w:val="0"/>
          <w:sz w:val="24"/>
        </w:rPr>
        <w:t>（d）低于甲方官网标价 80% 向客户报价；</w:t>
      </w:r>
    </w:p>
    <w:p>
      <w:pPr>
        <w:pStyle w:val="ListBullet"/>
      </w:pPr>
      <w:r>
        <w:rPr>
          <w:rFonts w:ascii="微软雅黑" w:hAnsi="微软雅黑" w:eastAsia="微软雅黑"/>
          <w:b w:val="0"/>
          <w:sz w:val="24"/>
        </w:rPr>
        <w:t>（e）跨越约定区域抢夺其他合伙人客户。</w:t>
      </w:r>
    </w:p>
    <w:p>
      <w:r>
        <w:rPr>
          <w:rFonts w:ascii="微软雅黑" w:hAnsi="微软雅黑" w:eastAsia="微软雅黑"/>
          <w:b w:val="0"/>
          <w:sz w:val="24"/>
        </w:rPr>
        <w:t>9.2 乙方应确保推广活动符合中华人民共和国法律法规的要求。</w:t>
      </w:r>
    </w:p>
    <w:p>
      <w:pPr>
        <w:pStyle w:val="Heading2"/>
      </w:pPr>
      <w:r>
        <w:t>第十条 违约责任</w:t>
      </w:r>
    </w:p>
    <w:p>
      <w:r>
        <w:rPr>
          <w:rFonts w:ascii="微软雅黑" w:hAnsi="微软雅黑" w:eastAsia="微软雅黑"/>
          <w:b w:val="0"/>
          <w:sz w:val="24"/>
        </w:rPr>
        <w:t>10.1 任何一方违反本协议约定，应向守约方赔偿因此造成的直接损失。</w:t>
      </w:r>
    </w:p>
    <w:p>
      <w:r>
        <w:rPr>
          <w:rFonts w:ascii="微软雅黑" w:hAnsi="微软雅黑" w:eastAsia="微软雅黑"/>
          <w:b w:val="0"/>
          <w:sz w:val="24"/>
        </w:rPr>
        <w:t>10.2 甲方未按约定时间结算佣金的，乙方有权要求甲方支付逾期金额每日万分之五的违约金。</w:t>
      </w:r>
    </w:p>
    <w:p>
      <w:r>
        <w:rPr>
          <w:rFonts w:ascii="微软雅黑" w:hAnsi="微软雅黑" w:eastAsia="微软雅黑"/>
          <w:b w:val="0"/>
          <w:sz w:val="24"/>
        </w:rPr>
        <w:t>10.3 乙方违反第九条合规要求的，甲方有权：</w:t>
      </w:r>
    </w:p>
    <w:p>
      <w:pPr>
        <w:pStyle w:val="ListBullet"/>
      </w:pPr>
      <w:r>
        <w:rPr>
          <w:rFonts w:ascii="微软雅黑" w:hAnsi="微软雅黑" w:eastAsia="微软雅黑"/>
          <w:b w:val="0"/>
          <w:sz w:val="24"/>
        </w:rPr>
        <w:t>（a）书面警告并要求限期整改；</w:t>
      </w:r>
    </w:p>
    <w:p>
      <w:pPr>
        <w:pStyle w:val="ListBullet"/>
      </w:pPr>
      <w:r>
        <w:rPr>
          <w:rFonts w:ascii="微软雅黑" w:hAnsi="微软雅黑" w:eastAsia="微软雅黑"/>
          <w:b w:val="0"/>
          <w:sz w:val="24"/>
        </w:rPr>
        <w:t>（b）情节严重的，暂停乙方推广资格和佣金发放；</w:t>
      </w:r>
    </w:p>
    <w:p>
      <w:pPr>
        <w:pStyle w:val="ListBullet"/>
      </w:pPr>
      <w:r>
        <w:rPr>
          <w:rFonts w:ascii="微软雅黑" w:hAnsi="微软雅黑" w:eastAsia="微软雅黑"/>
          <w:b w:val="0"/>
          <w:sz w:val="24"/>
        </w:rPr>
        <w:t>（c）情节特别严重的，单方解除本协议。已产生但尚未结算的佣金，甲方有权在扣除乙方应承担的违约赔偿后发放余额。</w:t>
      </w:r>
    </w:p>
    <w:p>
      <w:pPr>
        <w:pStyle w:val="Heading2"/>
      </w:pPr>
      <w:r>
        <w:t>第十一条 协议终止</w:t>
      </w:r>
    </w:p>
    <w:p>
      <w:r>
        <w:rPr>
          <w:rFonts w:ascii="微软雅黑" w:hAnsi="微软雅黑" w:eastAsia="微软雅黑"/>
          <w:b w:val="0"/>
          <w:sz w:val="24"/>
        </w:rPr>
        <w:t>11.1 本协议在下列情况下终止：</w:t>
      </w:r>
    </w:p>
    <w:p>
      <w:pPr>
        <w:pStyle w:val="ListBullet"/>
      </w:pPr>
      <w:r>
        <w:rPr>
          <w:rFonts w:ascii="微软雅黑" w:hAnsi="微软雅黑" w:eastAsia="微软雅黑"/>
          <w:b w:val="0"/>
          <w:sz w:val="24"/>
        </w:rPr>
        <w:t>（a）协议期满且任何一方提出不再续期；</w:t>
      </w:r>
    </w:p>
    <w:p>
      <w:pPr>
        <w:pStyle w:val="ListBullet"/>
      </w:pPr>
      <w:r>
        <w:rPr>
          <w:rFonts w:ascii="微软雅黑" w:hAnsi="微软雅黑" w:eastAsia="微软雅黑"/>
          <w:b w:val="0"/>
          <w:sz w:val="24"/>
        </w:rPr>
        <w:t>（b）双方协商一致解除；</w:t>
      </w:r>
    </w:p>
    <w:p>
      <w:pPr>
        <w:pStyle w:val="ListBullet"/>
      </w:pPr>
      <w:r>
        <w:rPr>
          <w:rFonts w:ascii="微软雅黑" w:hAnsi="微软雅黑" w:eastAsia="微软雅黑"/>
          <w:b w:val="0"/>
          <w:sz w:val="24"/>
        </w:rPr>
        <w:t>（c）乙方严重违反本协议约定，甲方单方解除；</w:t>
      </w:r>
    </w:p>
    <w:p>
      <w:pPr>
        <w:pStyle w:val="ListBullet"/>
      </w:pPr>
      <w:r>
        <w:rPr>
          <w:rFonts w:ascii="微软雅黑" w:hAnsi="微软雅黑" w:eastAsia="微软雅黑"/>
          <w:b w:val="0"/>
          <w:sz w:val="24"/>
        </w:rPr>
        <w:t>（d）甲方依法被注销、破产清算的，按清算时的实际资产状况处理。</w:t>
      </w:r>
    </w:p>
    <w:p>
      <w:r>
        <w:rPr>
          <w:rFonts w:ascii="微软雅黑" w:hAnsi="微软雅黑" w:eastAsia="微软雅黑"/>
          <w:b w:val="0"/>
          <w:sz w:val="24"/>
        </w:rPr>
        <w:t>11.2 协议终止后，第八条（保密条款）、第十条（违约责任）的相关义务继续有效。</w:t>
      </w:r>
    </w:p>
    <w:p>
      <w:pPr>
        <w:pStyle w:val="Heading2"/>
      </w:pPr>
      <w:r>
        <w:t>第十二条 争议解决</w:t>
      </w:r>
    </w:p>
    <w:p>
      <w:r>
        <w:rPr>
          <w:rFonts w:ascii="微软雅黑" w:hAnsi="微软雅黑" w:eastAsia="微软雅黑"/>
          <w:b w:val="0"/>
          <w:sz w:val="24"/>
        </w:rPr>
        <w:t>12.1 本协议的签订、履行、变更、解除和终止引发的争议，双方应友好协商解决。</w:t>
      </w:r>
    </w:p>
    <w:p>
      <w:r>
        <w:rPr>
          <w:rFonts w:ascii="微软雅黑" w:hAnsi="微软雅黑" w:eastAsia="微软雅黑"/>
          <w:b w:val="0"/>
          <w:sz w:val="24"/>
        </w:rPr>
        <w:t>12.2 协商不成的，任何一方均有权向甲方所在地有管辖权的人民法院提起诉讼。</w:t>
      </w:r>
    </w:p>
    <w:p>
      <w:pPr>
        <w:pStyle w:val="Heading2"/>
      </w:pPr>
      <w:r>
        <w:t>第十三条 其他</w:t>
      </w:r>
    </w:p>
    <w:p>
      <w:r>
        <w:rPr>
          <w:rFonts w:ascii="微软雅黑" w:hAnsi="微软雅黑" w:eastAsia="微软雅黑"/>
          <w:b w:val="0"/>
          <w:sz w:val="24"/>
        </w:rPr>
        <w:t>13.1 本协议一式两份，甲乙双方各执一份，具有同等法律效力。</w:t>
      </w:r>
    </w:p>
    <w:p>
      <w:r>
        <w:rPr>
          <w:rFonts w:ascii="微软雅黑" w:hAnsi="微软雅黑" w:eastAsia="微软雅黑"/>
          <w:b w:val="0"/>
          <w:sz w:val="24"/>
        </w:rPr>
        <w:t>13.2 本协议的任何修改或补充，须经双方书面同意并签署补充协议。</w:t>
      </w:r>
    </w:p>
    <w:p>
      <w:r>
        <w:rPr>
          <w:rFonts w:ascii="微软雅黑" w:hAnsi="微软雅黑" w:eastAsia="微软雅黑"/>
          <w:b w:val="0"/>
          <w:sz w:val="24"/>
        </w:rPr>
        <w:t>13.3 本协议未尽事宜，按照中华人民共和国相关法律法规执行。本协议适用中华人民共和国法律。</w:t>
      </w:r>
    </w:p>
    <w:p>
      <w:r>
        <w:rPr>
          <w:rFonts w:ascii="微软雅黑" w:hAnsi="微软雅黑" w:eastAsia="微软雅黑"/>
          <w:b w:val="0"/>
          <w:sz w:val="24"/>
        </w:rPr>
        <w:t>13.4 依据《中华人民共和国电子签名法》，本协议的电子签署版本与纸质版本具有同等法律效力。乙方通过 StarClaw 平台系统在线签署本协议，视为乙方已阅读、理解并同意本协议全部条款。</w:t>
      </w:r>
    </w:p>
    <w:p>
      <w:r>
        <w:rPr>
          <w:rFonts w:ascii="微软雅黑" w:hAnsi="微软雅黑" w:eastAsia="微软雅黑"/>
          <w:b w:val="0"/>
          <w:sz w:val="24"/>
        </w:rPr>
        <w:t xml:space="preserve">13.5 </w:t>
      </w:r>
      <w:r>
        <w:rPr>
          <w:rFonts w:ascii="微软雅黑" w:hAnsi="微软雅黑" w:eastAsia="微软雅黑"/>
          <w:b/>
          <w:sz w:val="24"/>
        </w:rPr>
        <w:t>不可抗力：</w:t>
      </w:r>
      <w:r>
        <w:rPr>
          <w:rFonts w:ascii="微软雅黑" w:hAnsi="微软雅黑" w:eastAsia="微软雅黑"/>
          <w:b w:val="0"/>
          <w:sz w:val="24"/>
        </w:rPr>
        <w:t xml:space="preserve"> 因不可抗力（包括但不限于自然灾害、战争、法律法规变更、政府行为、网络攻击等）导致任一方无法履行本协议的，该方不承担违约责任，但应及时通知对方并采取合理措施减少损失。</w:t>
      </w:r>
    </w:p>
    <w:p>
      <w:r>
        <w:rPr>
          <w:rFonts w:ascii="微软雅黑" w:hAnsi="微软雅黑" w:eastAsia="微软雅黑"/>
          <w:b w:val="0"/>
          <w:sz w:val="24"/>
        </w:rPr>
        <w:t xml:space="preserve">13.6 </w:t>
      </w:r>
      <w:r>
        <w:rPr>
          <w:rFonts w:ascii="微软雅黑" w:hAnsi="微软雅黑" w:eastAsia="微软雅黑"/>
          <w:b/>
          <w:sz w:val="24"/>
        </w:rPr>
        <w:t>税务：</w:t>
      </w:r>
      <w:r>
        <w:rPr>
          <w:rFonts w:ascii="微软雅黑" w:hAnsi="微软雅黑" w:eastAsia="微软雅黑"/>
          <w:b w:val="0"/>
          <w:sz w:val="24"/>
        </w:rPr>
        <w:t xml:space="preserve"> 甲乙双方各自依法承担因本协议产生的税费义务。甲方有权按法律要求代扣代缴相关税费。</w:t>
      </w:r>
    </w:p>
    <w:p>
      <w:r>
        <w:rPr>
          <w:rFonts w:ascii="微软雅黑" w:hAnsi="微软雅黑" w:eastAsia="微软雅黑"/>
          <w:b w:val="0"/>
          <w:sz w:val="24"/>
        </w:rPr>
        <w:t xml:space="preserve">13.7 </w:t>
      </w:r>
      <w:r>
        <w:rPr>
          <w:rFonts w:ascii="微软雅黑" w:hAnsi="微软雅黑" w:eastAsia="微软雅黑"/>
          <w:b/>
          <w:sz w:val="24"/>
        </w:rPr>
        <w:t>个人信息保护：</w:t>
      </w:r>
      <w:r>
        <w:rPr>
          <w:rFonts w:ascii="微软雅黑" w:hAnsi="微软雅黑" w:eastAsia="微软雅黑"/>
          <w:b w:val="0"/>
          <w:sz w:val="24"/>
        </w:rPr>
        <w:t xml:space="preserve"> 双方应依照《中华人民共和国个人信息保护法》等法律法规的要求，对因履行本协议而获取的个人信息予以保护，不得超越协议目的使用或向无关第三方披露。</w:t>
      </w:r>
    </w:p>
    <w:p>
      <w:r>
        <w:rPr>
          <w:rFonts w:ascii="微软雅黑" w:hAnsi="微软雅黑" w:eastAsia="微软雅黑"/>
          <w:b w:val="0"/>
          <w:sz w:val="24"/>
        </w:rPr>
        <w:t xml:space="preserve">13.8 </w:t>
      </w:r>
      <w:r>
        <w:rPr>
          <w:rFonts w:ascii="微软雅黑" w:hAnsi="微软雅黑" w:eastAsia="微软雅黑"/>
          <w:b/>
          <w:sz w:val="24"/>
        </w:rPr>
        <w:t>协议解释：</w:t>
      </w:r>
      <w:r>
        <w:rPr>
          <w:rFonts w:ascii="微软雅黑" w:hAnsi="微软雅黑" w:eastAsia="微软雅黑"/>
          <w:b w:val="0"/>
          <w:sz w:val="24"/>
        </w:rPr>
        <w:t xml:space="preserve"> 本协议条款存在不同理解时，双方应依据协议目的和诚实信用原则协商确定。协商不成的，依照第十二条争议解决条款处理。</w:t>
      </w:r>
    </w:p>
    <w:p>
      <w:pPr>
        <w:pStyle w:val="Heading2"/>
      </w:pPr>
      <w:r>
        <w:t>附件一：城市合伙人权益明细</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项目</w:t>
            </w:r>
          </w:p>
        </w:tc>
        <w:tc>
          <w:tcPr>
            <w:tcW w:type="dxa" w:w="4419"/>
          </w:tcPr>
          <w:p>
            <w:pPr>
              <w:jc w:val="center"/>
            </w:pPr>
            <w:r/>
            <w:r>
              <w:rPr>
                <w:rFonts w:ascii="微软雅黑" w:hAnsi="微软雅黑" w:eastAsia="微软雅黑"/>
                <w:b/>
                <w:sz w:val="20"/>
              </w:rPr>
              <w:t>内容</w:t>
            </w:r>
          </w:p>
        </w:tc>
      </w:tr>
      <w:tr>
        <w:tc>
          <w:tcPr>
            <w:tcW w:type="dxa" w:w="4419"/>
          </w:tcPr>
          <w:p>
            <w:pPr>
              <w:jc w:val="center"/>
            </w:pPr>
            <w:r/>
            <w:r>
              <w:rPr>
                <w:rFonts w:ascii="微软雅黑" w:hAnsi="微软雅黑" w:eastAsia="微软雅黑"/>
                <w:b w:val="0"/>
                <w:sz w:val="20"/>
              </w:rPr>
              <w:t>协议编号</w:t>
            </w:r>
          </w:p>
        </w:tc>
        <w:tc>
          <w:tcPr>
            <w:tcW w:type="dxa" w:w="4419"/>
          </w:tcPr>
          <w:p>
            <w:pPr>
              <w:jc w:val="center"/>
            </w:pPr>
            <w:r/>
            <w:r>
              <w:rPr>
                <w:rFonts w:ascii="微软雅黑" w:hAnsi="微软雅黑" w:eastAsia="微软雅黑"/>
                <w:b w:val="0"/>
                <w:sz w:val="20"/>
              </w:rPr>
              <w:t>SC-CP-________-________</w:t>
            </w:r>
          </w:p>
        </w:tc>
      </w:tr>
      <w:tr>
        <w:tc>
          <w:tcPr>
            <w:tcW w:type="dxa" w:w="4419"/>
          </w:tcPr>
          <w:p>
            <w:pPr>
              <w:jc w:val="center"/>
            </w:pPr>
            <w:r/>
            <w:r>
              <w:rPr>
                <w:rFonts w:ascii="微软雅黑" w:hAnsi="微软雅黑" w:eastAsia="微软雅黑"/>
                <w:b w:val="0"/>
                <w:sz w:val="20"/>
              </w:rPr>
              <w:t>合伙人类型</w:t>
            </w:r>
          </w:p>
        </w:tc>
        <w:tc>
          <w:tcPr>
            <w:tcW w:type="dxa" w:w="4419"/>
          </w:tcPr>
          <w:p>
            <w:pPr>
              <w:jc w:val="center"/>
            </w:pPr>
            <w:r/>
            <w:r>
              <w:rPr>
                <w:rFonts w:ascii="微软雅黑" w:hAnsi="微软雅黑" w:eastAsia="微软雅黑"/>
                <w:b w:val="0"/>
                <w:sz w:val="20"/>
              </w:rPr>
              <w:t>城市合伙人</w:t>
            </w:r>
          </w:p>
        </w:tc>
      </w:tr>
      <w:tr>
        <w:tc>
          <w:tcPr>
            <w:tcW w:type="dxa" w:w="4419"/>
          </w:tcPr>
          <w:p>
            <w:pPr>
              <w:jc w:val="center"/>
            </w:pPr>
            <w:r/>
            <w:r>
              <w:rPr>
                <w:rFonts w:ascii="微软雅黑" w:hAnsi="微软雅黑" w:eastAsia="微软雅黑"/>
                <w:b w:val="0"/>
                <w:sz w:val="20"/>
              </w:rPr>
              <w:t>归属区域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协议期限</w:t>
            </w:r>
          </w:p>
        </w:tc>
        <w:tc>
          <w:tcPr>
            <w:tcW w:type="dxa" w:w="4419"/>
          </w:tcPr>
          <w:p>
            <w:pPr>
              <w:jc w:val="center"/>
            </w:pPr>
            <w:r/>
            <w:r>
              <w:rPr>
                <w:rFonts w:ascii="微软雅黑" w:hAnsi="微软雅黑" w:eastAsia="微软雅黑"/>
                <w:b w:val="0"/>
                <w:sz w:val="20"/>
              </w:rPr>
              <w:t>3 年</w:t>
            </w:r>
          </w:p>
        </w:tc>
      </w:tr>
      <w:tr>
        <w:tc>
          <w:tcPr>
            <w:tcW w:type="dxa" w:w="4419"/>
          </w:tcPr>
          <w:p>
            <w:pPr>
              <w:jc w:val="center"/>
            </w:pPr>
            <w:r/>
            <w:r>
              <w:rPr>
                <w:rFonts w:ascii="微软雅黑" w:hAnsi="微软雅黑" w:eastAsia="微软雅黑"/>
                <w:b w:val="0"/>
                <w:sz w:val="20"/>
              </w:rPr>
              <w:t>生效日期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届满日期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sz w:val="20"/>
              </w:rPr>
              <w:t>佣金阶梯</w:t>
            </w:r>
          </w:p>
        </w:tc>
        <w:tc>
          <w:tcPr>
            <w:tcW w:type="dxa" w:w="4419"/>
          </w:tcPr>
          <w:p>
            <w:pPr>
              <w:jc w:val="center"/>
            </w:pPr>
            <w:r/>
            <w:r>
              <w:rPr>
                <w:rFonts w:ascii="微软雅黑" w:hAnsi="微软雅黑" w:eastAsia="微软雅黑"/>
                <w:b w:val="0"/>
                <w:sz w:val="20"/>
              </w:rPr>
              <w:t>入门20% / 白银25% / 黄金28% / 钻石30%</w:t>
            </w:r>
          </w:p>
        </w:tc>
      </w:tr>
      <w:tr>
        <w:tc>
          <w:tcPr>
            <w:tcW w:type="dxa" w:w="4419"/>
          </w:tcPr>
          <w:p>
            <w:pPr>
              <w:jc w:val="center"/>
            </w:pPr>
            <w:r/>
            <w:r>
              <w:rPr>
                <w:rFonts w:ascii="微软雅黑" w:hAnsi="微软雅黑" w:eastAsia="微软雅黑"/>
                <w:b w:val="0"/>
                <w:sz w:val="20"/>
              </w:rPr>
              <w:t>佣金结算周期</w:t>
            </w:r>
          </w:p>
        </w:tc>
        <w:tc>
          <w:tcPr>
            <w:tcW w:type="dxa" w:w="4419"/>
          </w:tcPr>
          <w:p>
            <w:pPr>
              <w:jc w:val="center"/>
            </w:pPr>
            <w:r/>
            <w:r>
              <w:rPr>
                <w:rFonts w:ascii="微软雅黑" w:hAnsi="微软雅黑" w:eastAsia="微软雅黑"/>
                <w:b w:val="0"/>
                <w:sz w:val="20"/>
              </w:rPr>
              <w:t>月度，T+30</w:t>
            </w:r>
          </w:p>
        </w:tc>
      </w:tr>
    </w:tbl>
    <w:p>
      <w:r>
        <w:rPr>
          <w:rFonts w:ascii="微软雅黑" w:hAnsi="微软雅黑" w:eastAsia="微软雅黑"/>
          <w:b w:val="0"/>
          <w:sz w:val="24"/>
        </w:rPr>
      </w:r>
      <w:r>
        <w:rPr>
          <w:rFonts w:ascii="微软雅黑" w:hAnsi="微软雅黑" w:eastAsia="微软雅黑"/>
          <w:b/>
          <w:sz w:val="24"/>
        </w:rPr>
        <w:t>甲方（盖章）：</w:t>
      </w:r>
      <w:r>
        <w:rPr>
          <w:rFonts w:ascii="微软雅黑" w:hAnsi="微软雅黑" w:eastAsia="微软雅黑"/>
          <w:b w:val="0"/>
          <w:sz w:val="24"/>
        </w:rPr>
      </w:r>
    </w:p>
    <w:p>
      <w:r>
        <w:rPr>
          <w:rFonts w:ascii="微软雅黑" w:hAnsi="微软雅黑" w:eastAsia="微软雅黑"/>
          <w:b w:val="0"/>
          <w:sz w:val="24"/>
        </w:rPr>
        <w:t>法定代表人/授权代表签字：_______________</w:t>
      </w:r>
    </w:p>
    <w:p>
      <w:r>
        <w:rPr>
          <w:rFonts w:ascii="微软雅黑" w:hAnsi="微软雅黑" w:eastAsia="微软雅黑"/>
          <w:b w:val="0"/>
          <w:sz w:val="24"/>
        </w:rPr>
        <w:t>日期：_______________</w:t>
      </w:r>
    </w:p>
    <w:p>
      <w:r>
        <w:rPr>
          <w:rFonts w:ascii="微软雅黑" w:hAnsi="微软雅黑" w:eastAsia="微软雅黑"/>
          <w:b w:val="0"/>
          <w:sz w:val="24"/>
        </w:rPr>
      </w:r>
      <w:r>
        <w:rPr>
          <w:rFonts w:ascii="微软雅黑" w:hAnsi="微软雅黑" w:eastAsia="微软雅黑"/>
          <w:b/>
          <w:sz w:val="24"/>
        </w:rPr>
        <w:t>乙方（签字/盖章）：</w:t>
      </w:r>
      <w:r>
        <w:rPr>
          <w:rFonts w:ascii="微软雅黑" w:hAnsi="微软雅黑" w:eastAsia="微软雅黑"/>
          <w:b w:val="0"/>
          <w:sz w:val="24"/>
        </w:rPr>
      </w:r>
    </w:p>
    <w:p>
      <w:r>
        <w:rPr>
          <w:rFonts w:ascii="微软雅黑" w:hAnsi="微软雅黑" w:eastAsia="微软雅黑"/>
          <w:b w:val="0"/>
          <w:sz w:val="24"/>
        </w:rPr>
        <w:t>签字：_______________</w:t>
      </w:r>
    </w:p>
    <w:p>
      <w:r>
        <w:rPr>
          <w:rFonts w:ascii="微软雅黑" w:hAnsi="微软雅黑" w:eastAsia="微软雅黑"/>
          <w:b w:val="0"/>
          <w:sz w:val="24"/>
        </w:rPr>
        <w:t>日期：_______________</w:t>
      </w:r>
    </w:p>
    <w:p>
      <w:pPr>
        <w:ind w:left="567"/>
      </w:pPr>
      <w:r>
        <w:rPr>
          <w:rFonts w:ascii="微软雅黑" w:hAnsi="微软雅黑" w:eastAsia="微软雅黑"/>
          <w:b w:val="0"/>
          <w:i/>
          <w:sz w:val="22"/>
        </w:rPr>
        <w:t>*本协议模板仅供参考，建议正式使用前经专业律师审核。*</w:t>
      </w:r>
    </w:p>
    <w:p>
      <w:pPr>
        <w:ind w:left="567"/>
      </w:pPr>
      <w:r>
        <w:rPr>
          <w:rFonts w:ascii="微软雅黑" w:hAnsi="微软雅黑" w:eastAsia="微软雅黑"/>
          <w:b w:val="0"/>
          <w:i/>
          <w:sz w:val="22"/>
        </w:rPr>
        <w:t>*模板版本：v8.0 | 2026-04-01*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