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spacing w:after="320"/>
        <w:jc w:val="center"/>
      </w:pPr>
      <w:r>
        <w:rPr>
          <w:rFonts w:ascii="Arial Unicode MS" w:hAnsi="Arial Unicode MS" w:eastAsia="Arial Unicode MS"/>
          <w:b/>
          <w:color w:val="2E74B5"/>
          <w:sz w:val="22"/>
        </w:rPr>
        <w:t>RAG 文档处理测试资料</w:t>
      </w:r>
    </w:p>
    <w:p>
      <w:pPr>
        <w:pStyle w:val="Title"/>
        <w:jc w:val="center"/>
      </w:pPr>
      <w:r>
        <w:t>售后服务操作手册</w:t>
      </w:r>
    </w:p>
    <w:p>
      <w:pPr>
        <w:pStyle w:val="Subtitle"/>
        <w:jc w:val="center"/>
      </w:pPr>
      <w:r>
        <w:t>用于 Word 文档加载、清洗与切片的长文本示例</w:t>
      </w:r>
    </w:p>
    <w:p>
      <w:pPr>
        <w:spacing w:before="600" w:after="160"/>
        <w:jc w:val="center"/>
      </w:pPr>
      <w:r>
        <w:rPr>
          <w:rFonts w:ascii="Arial Unicode MS" w:hAnsi="Arial Unicode MS" w:eastAsia="Arial Unicode MS"/>
          <w:color w:val="5A5A5A"/>
          <w:sz w:val="20"/>
        </w:rPr>
        <w:t>示例版本：2026.07 | 文档类型：DOCX | 内容性质：虚构规则</w:t>
      </w:r>
    </w:p>
    <w:p>
      <w:pPr>
        <w:jc w:val="center"/>
      </w:pPr>
      <w:r>
        <w:rPr>
          <w:rFonts w:ascii="Arial Unicode MS" w:hAnsi="Arial Unicode MS" w:eastAsia="Arial Unicode MS"/>
          <w:i/>
          <w:color w:val="5A5A5A"/>
          <w:sz w:val="20"/>
        </w:rPr>
        <w:t>本文档不代表真实商业承诺，仅供代码与检索效果测试。</w:t>
      </w:r>
    </w:p>
    <w:p>
      <w:r>
        <w:br w:type="page"/>
      </w:r>
    </w:p>
    <w:p>
      <w:pPr>
        <w:pStyle w:val="Heading1"/>
      </w:pPr>
      <w:r>
        <w:t>1. 文档用途与受理原则</w:t>
      </w:r>
    </w:p>
    <w:p>
      <w:pPr>
        <w:widowControl/>
      </w:pPr>
      <w:r>
        <w:t>本手册用于模拟一个内容较长、层级清晰的 Word 知识库。客服受理售后申请时，应先核对订单号、商品名称、签收时间、序列号和用户的核心诉求，再判断问题属于退货、换货、维修、退款还是物流异常。系统已经存在售后记录时，应优先在原记录中追加信息，避免重复创建工单后导致仓库、客服和财务分别处理同一问题。</w:t>
      </w:r>
    </w:p>
    <w:p>
      <w:pPr>
        <w:widowControl/>
      </w:pPr>
      <w:r>
        <w:t>答复用户之前，需要区分已经确认的事实、仍待核实的信息以及根据规则作出的判断。已经确认的事实包括支付金额、物流轨迹和仓库扫描记录；用户口述但尚未提供证据的情况应标记为待核实；是否满足退换货条件则属于规则判断。清晰区分三类信息，可以减少客服把推测当成结论，也便于后续人员快速理解处理进度。</w:t>
      </w:r>
    </w:p>
    <w:p>
      <w:pPr>
        <w:pStyle w:val="Heading2"/>
      </w:pPr>
      <w:r>
        <w:t>受理时必须记录的信息</w:t>
      </w:r>
    </w:p>
    <w:p>
      <w:pPr>
        <w:pStyle w:val="ListBullet"/>
      </w:pPr>
      <w:r>
        <w:t>订单号、商品名称、规格、数量和用户可接受的联系方式。</w:t>
      </w:r>
    </w:p>
    <w:p>
      <w:pPr>
        <w:pStyle w:val="ListBullet"/>
      </w:pPr>
      <w:r>
        <w:t>问题首次出现的时间、发生频率、是否能够稳定复现，以及用户已经尝试过的排查步骤。</w:t>
      </w:r>
    </w:p>
    <w:p>
      <w:pPr>
        <w:pStyle w:val="ListBullet"/>
      </w:pPr>
      <w:r>
        <w:t>照片、视频、检测单、物流凭证等附件的保存位置，以及附件是否能够清楚展示问题。</w:t>
      </w:r>
    </w:p>
    <w:p>
      <w:pPr>
        <w:pStyle w:val="ListBullet"/>
      </w:pPr>
      <w:r>
        <w:t>本次沟通中承诺的下一步动作、责任人和预计反馈时间。</w:t>
      </w:r>
    </w:p>
    <w:p>
      <w:pPr>
        <w:pStyle w:val="Heading1"/>
      </w:pPr>
      <w:r>
        <w:t>2. 退货申请处理</w:t>
      </w:r>
    </w:p>
    <w:p>
      <w:pPr>
        <w:widowControl/>
      </w:pPr>
      <w:r>
        <w:t>普通商品在物流显示签收次日起七个自然日内，商品未被使用、包装和配件完整、序列号与订单一致且不影响二次销售时，可以申请无理由退货。用户应一并退回赠品、说明书、保修卡和套装配件。若赠品已经使用或无法返还，客服需要根据活动规则说明是否会从退款中扣除相应价值，不能在仓库验收后才首次告知。</w:t>
      </w:r>
    </w:p>
    <w:p>
      <w:pPr>
        <w:widowControl/>
      </w:pPr>
      <w:r>
        <w:t>定制商品、已激活的软件授权、下载后即可使用的数字内容、容易腐败变质的食品和已经拆封的贴身用品，通常不适用无理由退货。上述商品出现质量问题时仍可提交售后申请，但需要进入质量争议流程。审核人员应基于检测报告和商品类别选择退款、换货或维修方案，不能因为商品不适用无理由退货就直接拒绝所有质量问题申请。</w:t>
      </w:r>
    </w:p>
    <w:p>
      <w:pPr>
        <w:pStyle w:val="Heading2"/>
      </w:pPr>
      <w:r>
        <w:t>标准退货流程</w:t>
      </w:r>
    </w:p>
    <w:p>
      <w:pPr>
        <w:pStyle w:val="ListNumber"/>
      </w:pPr>
      <w:r>
        <w:t>用户提交订单号、退货原因、商品照片和希望采用的寄回方式。</w:t>
      </w:r>
    </w:p>
    <w:p>
      <w:pPr>
        <w:pStyle w:val="ListNumber"/>
      </w:pPr>
      <w:r>
        <w:t>客服完成初审，确认商品类别、签收时间和附件是否完整。</w:t>
      </w:r>
    </w:p>
    <w:p>
      <w:pPr>
        <w:pStyle w:val="ListNumber"/>
      </w:pPr>
      <w:r>
        <w:t>平台提供上门取件入口或可登记的退货地址，并生成售后编号。</w:t>
      </w:r>
    </w:p>
    <w:p>
      <w:pPr>
        <w:pStyle w:val="ListNumber"/>
      </w:pPr>
      <w:r>
        <w:t>仓库核对商品外观、配件、序列号、账户解绑状态和包裹重量。</w:t>
      </w:r>
    </w:p>
    <w:p>
      <w:pPr>
        <w:pStyle w:val="ListNumber"/>
      </w:pPr>
      <w:r>
        <w:t>验收通过后发起原路退款；验收异常时上传证据并等待用户确认。</w:t>
      </w:r>
    </w:p>
    <w:p>
      <w:pPr>
        <w:pStyle w:val="Heading1"/>
      </w:pPr>
      <w:r>
        <w:t>3. 换货与缺货处理</w:t>
      </w:r>
    </w:p>
    <w:p>
      <w:pPr>
        <w:widowControl/>
      </w:pPr>
      <w:r>
        <w:t>商品在正常使用条件下出现无法开机、核心功能失效、严重显示异常或与订单规格明显不符时，用户可以申请质量问题换货。客服应先排除账户设置、网络环境、外接配件和错误操作等因素。能够通过远程指导恢复的问题，需要记录完整的排查步骤；无法恢复的问题，再安排寄回检测或门店检测。检测确认属于商品本身质量问题后，平台承担合理的往返物流费用。</w:t>
      </w:r>
    </w:p>
    <w:p>
      <w:pPr>
        <w:widowControl/>
      </w:pPr>
      <w:r>
        <w:t>原型号缺货时，应向用户说明预计补货时间，并提供等待补货、改换等值型号或转为退款的选择。更换颜色、容量、版本或配件组合前必须获得用户明确同意。换货完成后，新的商品序列号、物流单号和保修起算信息应写入同一售后记录，以便后续查询完整的商品流转链路。</w:t>
      </w:r>
    </w:p>
    <w:p>
      <w:pPr>
        <w:pStyle w:val="Heading1"/>
      </w:pPr>
      <w:r>
        <w:t>4. 维修、检测与数据保护</w:t>
      </w:r>
    </w:p>
    <w:p>
      <w:pPr>
        <w:widowControl/>
      </w:pPr>
      <w:r>
        <w:t>保修期内因材料、制造或装配问题导致的故障，可以申请免费检测与维修。维修中心收到商品后，应在约定时间内完成初步检测并更新状态。需要等待供应商配件或更换关键部件时，应说明新的预计完成日期。进水、摔落、挤压、私自拆机、非官方改装或电压异常造成的损坏不属于免费保修范围，但仍可在用户确认报价后提供付费维修。</w:t>
      </w:r>
    </w:p>
    <w:p>
      <w:pPr>
        <w:widowControl/>
      </w:pPr>
      <w:r>
        <w:t>送修手机、电脑或存储设备前，用户应自行备份重要资料、退出个人账户并移除支付工具。维修过程可能恢复出厂设置或更换存储部件，因此无法保证本地数据完整保留。客服不得索要支付密码、短信验证码或与故障无关的隐私信息。确需测试账户时，应使用专用测试账号，并在维修完成后清除测试数据。</w:t>
      </w:r>
    </w:p>
    <w:p>
      <w:pPr>
        <w:pStyle w:val="Heading1"/>
      </w:pPr>
      <w:r>
        <w:t>5. 服务时限摘要</w:t>
      </w:r>
    </w:p>
    <w:p>
      <w:pPr>
        <w:widowControl/>
      </w:pPr>
      <w:r>
        <w:t>下表用于演示 Word 表格在原始文本提取中的表现。实际项目使用 Mammoth 的 extractRawText() 时，表格的行列关系可能无法完整保留，因此需要根据业务决定是否先转换为 HTML 再做结构化处理。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0"/>
        <w:gridCol w:w="1440"/>
        <w:gridCol w:w="2880"/>
        <w:gridCol w:w="3600"/>
      </w:tblGrid>
      <w:tr>
        <w:trPr/>
        <w:tc>
          <w:tcPr>
            <w:tcW w:type="dxa" w:w="14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场景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首次响应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用户材料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sz w:val="19"/>
              </w:rPr>
              <w:t>后续动作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无理由退货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1 个工作日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订单号、商品照片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仓库验收后退款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质量换货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1 个工作日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故障描述、视频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检测后换货或退款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保修维修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1 个工作日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序列号、故障描述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检测、报价或维修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物流异常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4 小时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运单号、包裹信息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联系承运方核查</w:t>
            </w:r>
          </w:p>
        </w:tc>
      </w:tr>
    </w:tbl>
    <w:p>
      <w:pPr>
        <w:pStyle w:val="Heading1"/>
      </w:pPr>
      <w:r>
        <w:t>6. 升级、交接与质量检查</w:t>
      </w:r>
    </w:p>
    <w:p>
      <w:pPr>
        <w:widowControl/>
      </w:pPr>
      <w:r>
        <w:t>高价值商品争议、同一订单多次维修、用户对检测结论提供新证据、疑似批量质量问题或可能涉及人身安全的故障，应立即升级。升级记录至少包含订单号、售后编号、用户诉求、已核实事实、仍待确认的问题、相关附件位置以及承诺的下次反馈时间。没有这些信息的工单不应只写“用户不满意”或“请二线处理”。</w:t>
      </w:r>
    </w:p>
    <w:p>
      <w:pPr>
        <w:widowControl/>
      </w:pPr>
      <w:r>
        <w:t>交接班时，接手人员需要先阅读完整记录，再决定是否联系用户补充材料。已经提供过的信息不应被反复索要。最终处理结果与初次答复不一致时，应说明变化原因并保留审批记录。知识库没有覆盖的新场景，应咨询负责人并补充案例，不要为了缩短会话时间而编造规则。</w:t>
      </w:r>
    </w:p>
    <w:p>
      <w:pPr>
        <w:widowControl/>
      </w:pPr>
      <w:r>
        <w:t>这份示例文档适合测试以下检索问题：哪些商品不支持无理由退货、质量问题换货的运费由谁承担、送修设备为什么要备份数据、Word 表格为何可能需要先转换为 HTML，以及客服升级工单必须记录哪些信息。每个主题都包含超过一个短句的上下文，chunkSize 设置为 500 时会生成多个切片，便于观察重叠和边界。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color w:val="5A5A5A"/>
        <w:sz w:val="18"/>
      </w:rPr>
      <w:t xml:space="preserve">第 </w:t>
    </w:r>
    <w:r>
      <w:rPr>
        <w:rFonts w:ascii="Arial Unicode MS" w:hAnsi="Arial Unicode MS" w:eastAsia="Arial Unicode MS"/>
        <w:color w:val="5A5A5A"/>
        <w:sz w:val="18"/>
      </w:rPr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color w:val="5A5A5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color w:val="5A5A5A"/>
        <w:sz w:val="18"/>
      </w:rPr>
      <w:t>售后服务操作手册 | Word 解析示例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20374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1F4D7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售后服务操作手册（Word 解析示例）</dc:title>
  <dc:subject>LangChain RAG 文档处理测试资料</dc:subject>
  <dc:creator>示例资料生成器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