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Sitters4Me Requirements Review Report</w:t>
      </w:r>
    </w:p>
    <w:p>
      <w:pPr>
        <w:jc w:val="left"/>
      </w:pPr>
      <w:r>
        <w:rPr>
          <w:b/>
          <w:color w:val="2F75B5"/>
          <w:sz w:val="22"/>
        </w:rPr>
        <w:t>Independent Verification &amp; Validation (IV&amp;V) - Requirements Baseline v1.0</w:t>
      </w:r>
    </w:p>
    <w:p>
      <w:r>
        <w:rPr>
          <w:i/>
        </w:rPr>
        <w:t>Version 1.0 | Prepared 2026-07-27 | Independent Verification &amp; Validation</w:t>
      </w:r>
    </w:p>
    <w:p/>
    <w:p>
      <w:pPr>
        <w:pStyle w:val="Heading1"/>
      </w:pPr>
      <w:r>
        <w:t>Executive summary</w:t>
      </w:r>
    </w:p>
    <w:p>
      <w:r>
        <w:t>The requirements specification provides a usable functional baseline for a two-sided babysitting marketplace. It identifies 180 uniquely numbered requirements across parent, sitter, dispatch, payments, notifications, administration, and security. The specification is strong on workflow detail but is not yet sufficient for a production readiness decision without measurable non-functional acceptance criteria, explicit failure handling, and a controlled execution environment.</w:t>
      </w:r>
    </w:p>
    <w:p>
      <w:pPr>
        <w:pStyle w:val="Heading1"/>
      </w:pPr>
      <w:r>
        <w:t>Assessment at a glance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Pr>
                <w:rFonts w:ascii="Aptos" w:hAnsi="Aptos"/>
                <w:b/>
                <w:color w:val="FFFFFF"/>
                <w:sz w:val="17"/>
              </w:rPr>
              <w:t>Area</w:t>
            </w:r>
          </w:p>
        </w:tc>
        <w:tc>
          <w:tcPr>
            <w:tcW w:type="dxa" w:w="3312"/>
            <w:vAlign w:val="center"/>
            <w:shd w:fill="17365D"/>
          </w:tcPr>
          <w:p>
            <w:pPr>
              <w:spacing w:after="40"/>
            </w:pPr>
            <w:r>
              <w:rPr>
                <w:rFonts w:ascii="Aptos" w:hAnsi="Aptos"/>
                <w:b/>
                <w:color w:val="FFFFFF"/>
                <w:sz w:val="17"/>
              </w:rPr>
              <w:t>Assessment</w:t>
            </w:r>
          </w:p>
        </w:tc>
        <w:tc>
          <w:tcPr>
            <w:tcW w:type="dxa" w:w="3312"/>
            <w:vAlign w:val="center"/>
            <w:shd w:fill="17365D"/>
          </w:tcPr>
          <w:p>
            <w:pPr>
              <w:spacing w:after="40"/>
            </w:pPr>
            <w:r>
              <w:rPr>
                <w:rFonts w:ascii="Aptos" w:hAnsi="Aptos"/>
                <w:b/>
                <w:color w:val="FFFFFF"/>
                <w:sz w:val="17"/>
              </w:rPr>
              <w:t>IV&amp;V observation</w:t>
            </w:r>
          </w:p>
        </w:tc>
      </w:tr>
      <w:tr>
        <w:tc>
          <w:tcPr>
            <w:tcW w:type="dxa" w:w="3312"/>
            <w:vAlign w:val="center"/>
          </w:tcPr>
          <w:p>
            <w:pPr>
              <w:spacing w:after="40"/>
            </w:pPr>
            <w:r>
              <w:rPr>
                <w:rFonts w:ascii="Aptos" w:hAnsi="Aptos"/>
                <w:sz w:val="17"/>
              </w:rPr>
              <w:t>Functional coverage</w:t>
            </w:r>
          </w:p>
        </w:tc>
        <w:tc>
          <w:tcPr>
            <w:tcW w:type="dxa" w:w="3312"/>
            <w:vAlign w:val="center"/>
          </w:tcPr>
          <w:p>
            <w:pPr>
              <w:spacing w:after="40"/>
            </w:pPr>
            <w:r>
              <w:rPr>
                <w:rFonts w:ascii="Aptos" w:hAnsi="Aptos"/>
                <w:sz w:val="17"/>
              </w:rPr>
              <w:t>Good</w:t>
            </w:r>
          </w:p>
        </w:tc>
        <w:tc>
          <w:tcPr>
            <w:tcW w:type="dxa" w:w="3312"/>
            <w:vAlign w:val="center"/>
          </w:tcPr>
          <w:p>
            <w:pPr>
              <w:spacing w:after="40"/>
            </w:pPr>
            <w:r>
              <w:rPr>
                <w:rFonts w:ascii="Aptos" w:hAnsi="Aptos"/>
                <w:sz w:val="17"/>
              </w:rPr>
              <w:t>Core marketplace paths and roles are described with requirement IDs.</w:t>
            </w:r>
          </w:p>
        </w:tc>
      </w:tr>
      <w:tr>
        <w:tc>
          <w:tcPr>
            <w:tcW w:type="dxa" w:w="3312"/>
            <w:vAlign w:val="center"/>
          </w:tcPr>
          <w:p>
            <w:pPr>
              <w:spacing w:after="40"/>
            </w:pPr>
            <w:r>
              <w:rPr>
                <w:rFonts w:ascii="Aptos" w:hAnsi="Aptos"/>
                <w:sz w:val="17"/>
              </w:rPr>
              <w:t>Testability</w:t>
            </w:r>
          </w:p>
        </w:tc>
        <w:tc>
          <w:tcPr>
            <w:tcW w:type="dxa" w:w="3312"/>
            <w:vAlign w:val="center"/>
          </w:tcPr>
          <w:p>
            <w:pPr>
              <w:spacing w:after="40"/>
            </w:pPr>
            <w:r>
              <w:rPr>
                <w:rFonts w:ascii="Aptos" w:hAnsi="Aptos"/>
                <w:sz w:val="17"/>
              </w:rPr>
              <w:t>Moderate</w:t>
            </w:r>
          </w:p>
        </w:tc>
        <w:tc>
          <w:tcPr>
            <w:tcW w:type="dxa" w:w="3312"/>
            <w:vAlign w:val="center"/>
          </w:tcPr>
          <w:p>
            <w:pPr>
              <w:spacing w:after="40"/>
            </w:pPr>
            <w:r>
              <w:rPr>
                <w:rFonts w:ascii="Aptos" w:hAnsi="Aptos"/>
                <w:sz w:val="17"/>
              </w:rPr>
              <w:t>Many outcomes are testable; timing, availability, and error criteria are often qualitative.</w:t>
            </w:r>
          </w:p>
        </w:tc>
      </w:tr>
      <w:tr>
        <w:tc>
          <w:tcPr>
            <w:tcW w:type="dxa" w:w="3312"/>
            <w:vAlign w:val="center"/>
          </w:tcPr>
          <w:p>
            <w:pPr>
              <w:spacing w:after="40"/>
            </w:pPr>
            <w:r>
              <w:rPr>
                <w:rFonts w:ascii="Aptos" w:hAnsi="Aptos"/>
                <w:sz w:val="17"/>
              </w:rPr>
              <w:t>Security specification</w:t>
            </w:r>
          </w:p>
        </w:tc>
        <w:tc>
          <w:tcPr>
            <w:tcW w:type="dxa" w:w="3312"/>
            <w:vAlign w:val="center"/>
          </w:tcPr>
          <w:p>
            <w:pPr>
              <w:spacing w:after="40"/>
            </w:pPr>
            <w:r>
              <w:rPr>
                <w:rFonts w:ascii="Aptos" w:hAnsi="Aptos"/>
                <w:sz w:val="17"/>
              </w:rPr>
              <w:t>Moderate</w:t>
            </w:r>
          </w:p>
        </w:tc>
        <w:tc>
          <w:tcPr>
            <w:tcW w:type="dxa" w:w="3312"/>
            <w:vAlign w:val="center"/>
          </w:tcPr>
          <w:p>
            <w:pPr>
              <w:spacing w:after="40"/>
            </w:pPr>
            <w:r>
              <w:rPr>
                <w:rFonts w:ascii="Aptos" w:hAnsi="Aptos"/>
                <w:sz w:val="17"/>
              </w:rPr>
              <w:t>Role isolation and PCI intent are stated; abuse prevention and session controls need detail.</w:t>
            </w:r>
          </w:p>
        </w:tc>
      </w:tr>
      <w:tr>
        <w:tc>
          <w:tcPr>
            <w:tcW w:type="dxa" w:w="3312"/>
            <w:vAlign w:val="center"/>
          </w:tcPr>
          <w:p>
            <w:pPr>
              <w:spacing w:after="40"/>
            </w:pPr>
            <w:r>
              <w:rPr>
                <w:rFonts w:ascii="Aptos" w:hAnsi="Aptos"/>
                <w:sz w:val="17"/>
              </w:rPr>
              <w:t>Reliability / recovery</w:t>
            </w:r>
          </w:p>
        </w:tc>
        <w:tc>
          <w:tcPr>
            <w:tcW w:type="dxa" w:w="3312"/>
            <w:vAlign w:val="center"/>
          </w:tcPr>
          <w:p>
            <w:pPr>
              <w:spacing w:after="40"/>
            </w:pPr>
            <w:r>
              <w:rPr>
                <w:rFonts w:ascii="Aptos" w:hAnsi="Aptos"/>
                <w:sz w:val="17"/>
              </w:rPr>
              <w:t>Limited</w:t>
            </w:r>
          </w:p>
        </w:tc>
        <w:tc>
          <w:tcPr>
            <w:tcW w:type="dxa" w:w="3312"/>
            <w:vAlign w:val="center"/>
          </w:tcPr>
          <w:p>
            <w:pPr>
              <w:spacing w:after="40"/>
            </w:pPr>
            <w:r>
              <w:rPr>
                <w:rFonts w:ascii="Aptos" w:hAnsi="Aptos"/>
                <w:sz w:val="17"/>
              </w:rPr>
              <w:t>Offline, dependency outage, retry, and reconciliation behavior is largely unspecified.</w:t>
            </w:r>
          </w:p>
        </w:tc>
      </w:tr>
      <w:tr>
        <w:tc>
          <w:tcPr>
            <w:tcW w:type="dxa" w:w="3312"/>
            <w:vAlign w:val="center"/>
          </w:tcPr>
          <w:p>
            <w:pPr>
              <w:spacing w:after="40"/>
            </w:pPr>
            <w:r>
              <w:rPr>
                <w:rFonts w:ascii="Aptos" w:hAnsi="Aptos"/>
                <w:sz w:val="17"/>
              </w:rPr>
              <w:t>Accessibility / privacy</w:t>
            </w:r>
          </w:p>
        </w:tc>
        <w:tc>
          <w:tcPr>
            <w:tcW w:type="dxa" w:w="3312"/>
            <w:vAlign w:val="center"/>
          </w:tcPr>
          <w:p>
            <w:pPr>
              <w:spacing w:after="40"/>
            </w:pPr>
            <w:r>
              <w:rPr>
                <w:rFonts w:ascii="Aptos" w:hAnsi="Aptos"/>
                <w:sz w:val="17"/>
              </w:rPr>
              <w:t>Missing</w:t>
            </w:r>
          </w:p>
        </w:tc>
        <w:tc>
          <w:tcPr>
            <w:tcW w:type="dxa" w:w="3312"/>
            <w:vAlign w:val="center"/>
          </w:tcPr>
          <w:p>
            <w:pPr>
              <w:spacing w:after="40"/>
            </w:pPr>
            <w:r>
              <w:rPr>
                <w:rFonts w:ascii="Aptos" w:hAnsi="Aptos"/>
                <w:sz w:val="17"/>
              </w:rPr>
              <w:t>No WCAG, retention, deletion, consent, or incident-response acceptance criteria.</w:t>
            </w:r>
          </w:p>
        </w:tc>
      </w:tr>
    </w:tbl>
    <w:p>
      <w:pPr>
        <w:pStyle w:val="Heading1"/>
      </w:pPr>
      <w:r>
        <w:t>Key gaps and recommendations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Pr>
                <w:rFonts w:ascii="Aptos" w:hAnsi="Aptos"/>
                <w:b/>
                <w:color w:val="FFFFFF"/>
                <w:sz w:val="17"/>
              </w:rPr>
              <w:t>Gap</w:t>
            </w:r>
          </w:p>
        </w:tc>
        <w:tc>
          <w:tcPr>
            <w:tcW w:type="dxa" w:w="4968"/>
            <w:vAlign w:val="center"/>
            <w:shd w:fill="17365D"/>
          </w:tcPr>
          <w:p>
            <w:pPr>
              <w:spacing w:after="40"/>
            </w:pPr>
            <w:r>
              <w:rPr>
                <w:rFonts w:ascii="Aptos" w:hAnsi="Aptos"/>
                <w:b/>
                <w:color w:val="FFFFFF"/>
                <w:sz w:val="17"/>
              </w:rPr>
              <w:t>Recommendation</w:t>
            </w:r>
          </w:p>
        </w:tc>
      </w:tr>
      <w:tr>
        <w:tc>
          <w:tcPr>
            <w:tcW w:type="dxa" w:w="4968"/>
            <w:vAlign w:val="center"/>
          </w:tcPr>
          <w:p>
            <w:pPr>
              <w:spacing w:after="40"/>
            </w:pPr>
            <w:r>
              <w:rPr>
                <w:rFonts w:ascii="Aptos" w:hAnsi="Aptos"/>
                <w:sz w:val="17"/>
              </w:rPr>
              <w:t>Non-functional acceptance criteria</w:t>
            </w:r>
          </w:p>
        </w:tc>
        <w:tc>
          <w:tcPr>
            <w:tcW w:type="dxa" w:w="4968"/>
            <w:vAlign w:val="center"/>
          </w:tcPr>
          <w:p>
            <w:pPr>
              <w:spacing w:after="40"/>
            </w:pPr>
            <w:r>
              <w:rPr>
                <w:rFonts w:ascii="Aptos" w:hAnsi="Aptos"/>
                <w:sz w:val="17"/>
              </w:rPr>
              <w:t>Define response-time targets for map load, dispatch, notifications, chat, and admin refresh; define supported concurrency, availability, and recovery objectives.</w:t>
            </w:r>
          </w:p>
        </w:tc>
      </w:tr>
      <w:tr>
        <w:tc>
          <w:tcPr>
            <w:tcW w:type="dxa" w:w="4968"/>
            <w:vAlign w:val="center"/>
          </w:tcPr>
          <w:p>
            <w:pPr>
              <w:spacing w:after="40"/>
            </w:pPr>
            <w:r>
              <w:rPr>
                <w:rFonts w:ascii="Aptos" w:hAnsi="Aptos"/>
                <w:sz w:val="17"/>
              </w:rPr>
              <w:t>Authentication and session policy</w:t>
            </w:r>
          </w:p>
        </w:tc>
        <w:tc>
          <w:tcPr>
            <w:tcW w:type="dxa" w:w="4968"/>
            <w:vAlign w:val="center"/>
          </w:tcPr>
          <w:p>
            <w:pPr>
              <w:spacing w:after="40"/>
            </w:pPr>
            <w:r>
              <w:rPr>
                <w:rFonts w:ascii="Aptos" w:hAnsi="Aptos"/>
                <w:sz w:val="17"/>
              </w:rPr>
              <w:t>Specify password complexity, reset-token lifetime, rate limiting, lockout, session expiry, revocation, concurrent-session policy, and login audit events.</w:t>
            </w:r>
          </w:p>
        </w:tc>
      </w:tr>
      <w:tr>
        <w:tc>
          <w:tcPr>
            <w:tcW w:type="dxa" w:w="4968"/>
            <w:vAlign w:val="center"/>
          </w:tcPr>
          <w:p>
            <w:pPr>
              <w:spacing w:after="40"/>
            </w:pPr>
            <w:r>
              <w:rPr>
                <w:rFonts w:ascii="Aptos" w:hAnsi="Aptos"/>
                <w:sz w:val="17"/>
              </w:rPr>
              <w:t>Dispatch concurrency</w:t>
            </w:r>
          </w:p>
        </w:tc>
        <w:tc>
          <w:tcPr>
            <w:tcW w:type="dxa" w:w="4968"/>
            <w:vAlign w:val="center"/>
          </w:tcPr>
          <w:p>
            <w:pPr>
              <w:spacing w:after="40"/>
            </w:pPr>
            <w:r>
              <w:rPr>
                <w:rFonts w:ascii="Aptos" w:hAnsi="Aptos"/>
                <w:sz w:val="17"/>
              </w:rPr>
              <w:t>Define atomic reservation behavior, duplicate-request prevention, cancellation-versus-accept race resolution, and idempotency keys for all lifecycle actions.</w:t>
            </w:r>
          </w:p>
        </w:tc>
      </w:tr>
      <w:tr>
        <w:tc>
          <w:tcPr>
            <w:tcW w:type="dxa" w:w="4968"/>
            <w:vAlign w:val="center"/>
          </w:tcPr>
          <w:p>
            <w:pPr>
              <w:spacing w:after="40"/>
            </w:pPr>
            <w:r>
              <w:rPr>
                <w:rFonts w:ascii="Aptos" w:hAnsi="Aptos"/>
                <w:sz w:val="17"/>
              </w:rPr>
              <w:t>Payment exception paths</w:t>
            </w:r>
          </w:p>
        </w:tc>
        <w:tc>
          <w:tcPr>
            <w:tcW w:type="dxa" w:w="4968"/>
            <w:vAlign w:val="center"/>
          </w:tcPr>
          <w:p>
            <w:pPr>
              <w:spacing w:after="40"/>
            </w:pPr>
            <w:r>
              <w:rPr>
                <w:rFonts w:ascii="Aptos" w:hAnsi="Aptos"/>
                <w:sz w:val="17"/>
              </w:rPr>
              <w:t>Define authorization/capture timing, declined-card flow, retry ownership, duplicate-charge prevention, refunds, disputes, payout reconciliation, and webhook failure recovery.</w:t>
            </w:r>
          </w:p>
        </w:tc>
      </w:tr>
      <w:tr>
        <w:tc>
          <w:tcPr>
            <w:tcW w:type="dxa" w:w="4968"/>
            <w:vAlign w:val="center"/>
          </w:tcPr>
          <w:p>
            <w:pPr>
              <w:spacing w:after="40"/>
            </w:pPr>
            <w:r>
              <w:rPr>
                <w:rFonts w:ascii="Aptos" w:hAnsi="Aptos"/>
                <w:sz w:val="17"/>
              </w:rPr>
              <w:t>Location and safety</w:t>
            </w:r>
          </w:p>
        </w:tc>
        <w:tc>
          <w:tcPr>
            <w:tcW w:type="dxa" w:w="4968"/>
            <w:vAlign w:val="center"/>
          </w:tcPr>
          <w:p>
            <w:pPr>
              <w:spacing w:after="40"/>
            </w:pPr>
            <w:r>
              <w:rPr>
                <w:rFonts w:ascii="Aptos" w:hAnsi="Aptos"/>
                <w:sz w:val="17"/>
              </w:rPr>
              <w:t>Define permission-denied behavior, accuracy threshold, stale-location handling, spoofing response, background location policy, and emergency escalation expectations.</w:t>
            </w:r>
          </w:p>
        </w:tc>
      </w:tr>
      <w:tr>
        <w:tc>
          <w:tcPr>
            <w:tcW w:type="dxa" w:w="4968"/>
            <w:vAlign w:val="center"/>
          </w:tcPr>
          <w:p>
            <w:pPr>
              <w:spacing w:after="40"/>
            </w:pPr>
            <w:r>
              <w:rPr>
                <w:rFonts w:ascii="Aptos" w:hAnsi="Aptos"/>
                <w:sz w:val="17"/>
              </w:rPr>
              <w:t>Data protection</w:t>
            </w:r>
          </w:p>
        </w:tc>
        <w:tc>
          <w:tcPr>
            <w:tcW w:type="dxa" w:w="4968"/>
            <w:vAlign w:val="center"/>
          </w:tcPr>
          <w:p>
            <w:pPr>
              <w:spacing w:after="40"/>
            </w:pPr>
            <w:r>
              <w:rPr>
                <w:rFonts w:ascii="Aptos" w:hAnsi="Aptos"/>
                <w:sz w:val="17"/>
              </w:rPr>
              <w:t>Specify retention/deletion rules for account, child, payment, location, chat, and audit data; state encryption and access-log expectations.</w:t>
            </w:r>
          </w:p>
        </w:tc>
      </w:tr>
      <w:tr>
        <w:tc>
          <w:tcPr>
            <w:tcW w:type="dxa" w:w="4968"/>
            <w:vAlign w:val="center"/>
          </w:tcPr>
          <w:p>
            <w:pPr>
              <w:spacing w:after="40"/>
            </w:pPr>
            <w:r>
              <w:rPr>
                <w:rFonts w:ascii="Aptos" w:hAnsi="Aptos"/>
                <w:sz w:val="17"/>
              </w:rPr>
              <w:t>Accessibility</w:t>
            </w:r>
          </w:p>
        </w:tc>
        <w:tc>
          <w:tcPr>
            <w:tcW w:type="dxa" w:w="4968"/>
            <w:vAlign w:val="center"/>
          </w:tcPr>
          <w:p>
            <w:pPr>
              <w:spacing w:after="40"/>
            </w:pPr>
            <w:r>
              <w:rPr>
                <w:rFonts w:ascii="Aptos" w:hAnsi="Aptos"/>
                <w:sz w:val="17"/>
              </w:rPr>
              <w:t>Adopt WCAG 2.2 AA targets, dynamic text/scaling acceptance criteria, screen-reader labels, focus order, contrast, and reduced-motion behavior.</w:t>
            </w:r>
          </w:p>
        </w:tc>
      </w:tr>
      <w:tr>
        <w:tc>
          <w:tcPr>
            <w:tcW w:type="dxa" w:w="4968"/>
            <w:vAlign w:val="center"/>
          </w:tcPr>
          <w:p>
            <w:pPr>
              <w:spacing w:after="40"/>
            </w:pPr>
            <w:r>
              <w:rPr>
                <w:rFonts w:ascii="Aptos" w:hAnsi="Aptos"/>
                <w:sz w:val="17"/>
              </w:rPr>
              <w:t>Operations</w:t>
            </w:r>
          </w:p>
        </w:tc>
        <w:tc>
          <w:tcPr>
            <w:tcW w:type="dxa" w:w="4968"/>
            <w:vAlign w:val="center"/>
          </w:tcPr>
          <w:p>
            <w:pPr>
              <w:spacing w:after="40"/>
            </w:pPr>
            <w:r>
              <w:rPr>
                <w:rFonts w:ascii="Aptos" w:hAnsi="Aptos"/>
                <w:sz w:val="17"/>
              </w:rPr>
              <w:t>Document monitoring, alerting, maintenance mode, backups, restore objective, third-party outage communication, and incident ownership.</w:t>
            </w:r>
          </w:p>
        </w:tc>
      </w:tr>
    </w:tbl>
    <w:p>
      <w:pPr>
        <w:pStyle w:val="Heading1"/>
      </w:pPr>
      <w:r>
        <w:t>Implementation review observations</w:t>
      </w:r>
    </w:p>
    <w:p>
      <w:r>
        <w:t>Static inspection was performed on the supplied project snapshot. It is not a substitute for dynamic security testing or production execution.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Pr>
                <w:rFonts w:ascii="Aptos" w:hAnsi="Aptos"/>
                <w:b/>
                <w:color w:val="FFFFFF"/>
                <w:sz w:val="17"/>
              </w:rPr>
              <w:t>Reference</w:t>
            </w:r>
          </w:p>
        </w:tc>
        <w:tc>
          <w:tcPr>
            <w:tcW w:type="dxa" w:w="3312"/>
            <w:vAlign w:val="center"/>
            <w:shd w:fill="17365D"/>
          </w:tcPr>
          <w:p>
            <w:pPr>
              <w:spacing w:after="40"/>
            </w:pPr>
            <w:r>
              <w:rPr>
                <w:rFonts w:ascii="Aptos" w:hAnsi="Aptos"/>
                <w:b/>
                <w:color w:val="FFFFFF"/>
                <w:sz w:val="17"/>
              </w:rPr>
              <w:t>Observation</w:t>
            </w:r>
          </w:p>
        </w:tc>
        <w:tc>
          <w:tcPr>
            <w:tcW w:type="dxa" w:w="3312"/>
            <w:vAlign w:val="center"/>
            <w:shd w:fill="17365D"/>
          </w:tcPr>
          <w:p>
            <w:pPr>
              <w:spacing w:after="40"/>
            </w:pPr>
            <w:r>
              <w:rPr>
                <w:rFonts w:ascii="Aptos" w:hAnsi="Aptos"/>
                <w:b/>
                <w:color w:val="FFFFFF"/>
                <w:sz w:val="17"/>
              </w:rPr>
              <w:t>Risk / recommendation</w:t>
            </w:r>
          </w:p>
        </w:tc>
      </w:tr>
      <w:tr>
        <w:tc>
          <w:tcPr>
            <w:tcW w:type="dxa" w:w="3312"/>
            <w:vAlign w:val="center"/>
          </w:tcPr>
          <w:p>
            <w:pPr>
              <w:spacing w:after="40"/>
            </w:pPr>
            <w:r>
              <w:rPr>
                <w:rFonts w:ascii="Aptos" w:hAnsi="Aptos"/>
                <w:sz w:val="17"/>
              </w:rPr>
              <w:t>Lint run</w:t>
            </w:r>
          </w:p>
        </w:tc>
        <w:tc>
          <w:tcPr>
            <w:tcW w:type="dxa" w:w="3312"/>
            <w:vAlign w:val="center"/>
          </w:tcPr>
          <w:p>
            <w:pPr>
              <w:spacing w:after="40"/>
            </w:pPr>
            <w:r>
              <w:rPr>
                <w:rFonts w:ascii="Aptos" w:hAnsi="Aptos"/>
                <w:sz w:val="17"/>
              </w:rPr>
              <w:t>The project lint command reports 21 errors and 69 warnings.</w:t>
            </w:r>
          </w:p>
        </w:tc>
        <w:tc>
          <w:tcPr>
            <w:tcW w:type="dxa" w:w="3312"/>
            <w:vAlign w:val="center"/>
          </w:tcPr>
          <w:p>
            <w:pPr>
              <w:spacing w:after="40"/>
            </w:pPr>
            <w:r>
              <w:rPr>
                <w:rFonts w:ascii="Aptos" w:hAnsi="Aptos"/>
                <w:sz w:val="17"/>
              </w:rPr>
              <w:t>Resolve blocking lint errors before a release candidate; track hook dependency warnings as reliability risks.</w:t>
            </w:r>
          </w:p>
        </w:tc>
      </w:tr>
      <w:tr>
        <w:tc>
          <w:tcPr>
            <w:tcW w:type="dxa" w:w="3312"/>
            <w:vAlign w:val="center"/>
          </w:tcPr>
          <w:p>
            <w:pPr>
              <w:spacing w:after="40"/>
            </w:pPr>
            <w:r>
              <w:rPr>
                <w:rFonts w:ascii="Aptos" w:hAnsi="Aptos"/>
                <w:sz w:val="17"/>
              </w:rPr>
              <w:t>app/index.tsx</w:t>
            </w:r>
          </w:p>
        </w:tc>
        <w:tc>
          <w:tcPr>
            <w:tcW w:type="dxa" w:w="3312"/>
            <w:vAlign w:val="center"/>
          </w:tcPr>
          <w:p>
            <w:pPr>
              <w:spacing w:after="40"/>
            </w:pPr>
            <w:r>
              <w:rPr>
                <w:rFonts w:ascii="Aptos" w:hAnsi="Aptos"/>
                <w:sz w:val="17"/>
              </w:rPr>
              <w:t>The lint rule reports FileSystem.documentDirectory as unavailable from the imported namespace.</w:t>
            </w:r>
          </w:p>
        </w:tc>
        <w:tc>
          <w:tcPr>
            <w:tcW w:type="dxa" w:w="3312"/>
            <w:vAlign w:val="center"/>
          </w:tcPr>
          <w:p>
            <w:pPr>
              <w:spacing w:after="40"/>
            </w:pPr>
            <w:r>
              <w:rPr>
                <w:rFonts w:ascii="Aptos" w:hAnsi="Aptos"/>
                <w:sz w:val="17"/>
              </w:rPr>
              <w:t>Validate against Expo SDK 54 file-system APIs; session restore is a critical requirement.</w:t>
            </w:r>
          </w:p>
        </w:tc>
      </w:tr>
      <w:tr>
        <w:tc>
          <w:tcPr>
            <w:tcW w:type="dxa" w:w="3312"/>
            <w:vAlign w:val="center"/>
          </w:tcPr>
          <w:p>
            <w:pPr>
              <w:spacing w:after="40"/>
            </w:pPr>
            <w:r>
              <w:rPr>
                <w:rFonts w:ascii="Aptos" w:hAnsi="Aptos"/>
                <w:sz w:val="17"/>
              </w:rPr>
              <w:t>Backend scope</w:t>
            </w:r>
          </w:p>
        </w:tc>
        <w:tc>
          <w:tcPr>
            <w:tcW w:type="dxa" w:w="3312"/>
            <w:vAlign w:val="center"/>
          </w:tcPr>
          <w:p>
            <w:pPr>
              <w:spacing w:after="40"/>
            </w:pPr>
            <w:r>
              <w:rPr>
                <w:rFonts w:ascii="Aptos" w:hAnsi="Aptos"/>
                <w:sz w:val="17"/>
              </w:rPr>
              <w:t>Requirements reference auth.php, but it is not in the supplied source snapshot.</w:t>
            </w:r>
          </w:p>
        </w:tc>
        <w:tc>
          <w:tcPr>
            <w:tcW w:type="dxa" w:w="3312"/>
            <w:vAlign w:val="center"/>
          </w:tcPr>
          <w:p>
            <w:pPr>
              <w:spacing w:after="40"/>
            </w:pPr>
            <w:r>
              <w:rPr>
                <w:rFonts w:ascii="Aptos" w:hAnsi="Aptos"/>
                <w:sz w:val="17"/>
              </w:rPr>
              <w:t>Obtain the deployed authentication service and configuration-free test environment for full API/security coverage.</w:t>
            </w:r>
          </w:p>
        </w:tc>
      </w:tr>
      <w:tr>
        <w:tc>
          <w:tcPr>
            <w:tcW w:type="dxa" w:w="3312"/>
            <w:vAlign w:val="center"/>
          </w:tcPr>
          <w:p>
            <w:pPr>
              <w:spacing w:after="40"/>
            </w:pPr>
            <w:r>
              <w:rPr>
                <w:rFonts w:ascii="Aptos" w:hAnsi="Aptos"/>
                <w:sz w:val="17"/>
              </w:rPr>
              <w:t>Source snapshot</w:t>
            </w:r>
          </w:p>
        </w:tc>
        <w:tc>
          <w:tcPr>
            <w:tcW w:type="dxa" w:w="3312"/>
            <w:vAlign w:val="center"/>
          </w:tcPr>
          <w:p>
            <w:pPr>
              <w:spacing w:after="40"/>
            </w:pPr>
            <w:r>
              <w:rPr>
                <w:rFonts w:ascii="Aptos" w:hAnsi="Aptos"/>
                <w:sz w:val="17"/>
              </w:rPr>
              <w:t>Existing uncommitted modifications were present before IV&amp;V work began.</w:t>
            </w:r>
          </w:p>
        </w:tc>
        <w:tc>
          <w:tcPr>
            <w:tcW w:type="dxa" w:w="3312"/>
            <w:vAlign w:val="center"/>
          </w:tcPr>
          <w:p>
            <w:pPr>
              <w:spacing w:after="40"/>
            </w:pPr>
            <w:r>
              <w:rPr>
                <w:rFonts w:ascii="Aptos" w:hAnsi="Aptos"/>
                <w:sz w:val="17"/>
              </w:rPr>
              <w:t>Baseline the candidate build and record a commit/build identifier before execution.</w:t>
            </w:r>
          </w:p>
        </w:tc>
      </w:tr>
    </w:tbl>
    <w:p>
      <w:pPr>
        <w:pStyle w:val="Heading1"/>
      </w:pPr>
      <w:r>
        <w:t>Readiness conclusion</w:t>
      </w:r>
    </w:p>
    <w:p>
      <w:r>
        <w:t>Status: CONDITIONAL. The product can advance to controlled system testing after the lint blockers are resolved or risk-accepted, the backend/API baseline is supplied, and test accounts plus Stripe/Expo test configurations are available. A production go/no-go decision should wait for execution of the high-priority dispatch, payment, authorization, notification, and recovery suite.</w:t>
      </w:r>
    </w:p>
    <w:p>
      <w:pPr>
        <w:pStyle w:val="Heading1"/>
      </w:pPr>
      <w:r>
        <w:t>Assumptions and limitations</w:t>
      </w:r>
    </w:p>
    <w:p>
      <w:pPr>
        <w:pStyle w:val="ListBullet"/>
      </w:pPr>
      <w:r>
        <w:t>This review is based on sitters4me_requirements.docx and the local source snapshot inspected on 2026-07-27.</w:t>
      </w:r>
    </w:p>
    <w:p>
      <w:pPr>
        <w:pStyle w:val="ListBullet"/>
      </w:pPr>
      <w:r>
        <w:t>No authenticated test environment, production logs, live device access, Stripe test credentials, database access, or push-notification evidence was supplied.</w:t>
      </w:r>
    </w:p>
    <w:p>
      <w:pPr>
        <w:pStyle w:val="ListBullet"/>
      </w:pPr>
      <w:r>
        <w:t>Execution status therefore remains Not Executed / Blocked where runtime access is required.</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Sitters4Me IV&amp;V - Confidential working deliverable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