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sz w:val="36"/>
        </w:rPr>
        <w:t>巴菲特skill-3</w:t>
      </w:r>
    </w:p>
    <w:p>
      <w:pPr>
        <w:spacing w:lineRule="exact"/>
        <w:jc w:val="left"/>
      </w:pPr>
      <w:r>
        <w:t>《证券分析》核心内容总结</w:t>
      </w:r>
    </w:p>
    <w:p>
      <w:pPr>
        <w:spacing w:lineRule="exact"/>
        <w:jc w:val="left"/>
      </w:pPr>
      <w:r>
        <w:t>作者：本杰明·格雷厄姆（Benjamin Graham）&amp; 戴维·多德（David Dodd），1934年初版</w:t>
      </w:r>
    </w:p>
    <w:p>
      <w:pPr>
        <w:spacing w:lineRule="exact"/>
        <w:jc w:val="left"/>
      </w:pPr>
      <w:r>
        <w:t>一、全书核心哲学：投资与投机的本质区分</w:t>
      </w:r>
    </w:p>
    <w:p>
      <w:pPr>
        <w:spacing w:lineRule="exact"/>
        <w:jc w:val="left"/>
      </w:pPr>
      <w:r>
        <w:t>格雷厄姆在全书开篇便确立了一个基础性命题：投资操作是指经过深入分析，能够保证本金安全并获得满意回报的操作；不满足这些条件的操作就是投机。</w:t>
      </w:r>
    </w:p>
    <w:p>
      <w:pPr>
        <w:spacing w:lineRule="exact"/>
        <w:jc w:val="left"/>
      </w:pPr>
      <w:r>
        <w:t>这一定义贯穿全书，是一切分析框架的出发点。格雷厄姆认为，当时华尔街的绝大多数参与者混淆了投资与投机，以投机的方式购买证券，却自欺欺人地称之为投资，这是1929年大崩溃的根本原因之一。</w:t>
      </w:r>
    </w:p>
    <w:p>
      <w:pPr>
        <w:spacing w:lineRule="exact"/>
        <w:jc w:val="left"/>
      </w:pPr>
      <w:r>
        <w:t>二、安全边际（Margin of Safety）</w:t>
      </w:r>
    </w:p>
    <w:p>
      <w:pPr>
        <w:spacing w:lineRule="exact"/>
        <w:jc w:val="left"/>
      </w:pPr>
      <w:r>
        <w:t>这是全书最重要的概念，也是价值投资学派的理论基石。</w:t>
      </w:r>
    </w:p>
    <w:p>
      <w:pPr>
        <w:spacing w:lineRule="exact"/>
        <w:jc w:val="left"/>
      </w:pPr>
      <w:r>
        <w:t>安全边际的含义： 以远低于证券内在价值的价格买入，两者之间的差额即为安全边际。这个差额能够吸收分析误差、不利的市场变化以及各种不可预见的风险。</w:t>
      </w:r>
    </w:p>
    <w:p>
      <w:pPr>
        <w:spacing w:lineRule="exact"/>
        <w:jc w:val="left"/>
      </w:pPr>
      <w:r>
        <w:t>安全边际不是一个精确数字，而是一种定性缓冲。格雷厄姆指出，分析师永远无法对未来做出精确预测，因此必须用足够大的折扣来保护自己。安全边际越大，投资失败的概率越低。</w:t>
      </w:r>
    </w:p>
    <w:p>
      <w:pPr>
        <w:spacing w:lineRule="exact"/>
        <w:jc w:val="left"/>
      </w:pPr>
      <w:r>
        <w:t>三、市场先生（Mr. Market）的隐喻</w:t>
      </w:r>
    </w:p>
    <w:p>
      <w:pPr>
        <w:spacing w:lineRule="exact"/>
        <w:jc w:val="left"/>
      </w:pPr>
      <w:r>
        <w:t>格雷厄姆用"市场先生"这一拟人化比喻来描述市场的非理性行为：市场先生每天都会给你报一个价格，有时情绪乐观，报价极高；有时情绪悲观，报价极低。</w:t>
      </w:r>
    </w:p>
    <w:p>
      <w:pPr>
        <w:spacing w:lineRule="exact"/>
        <w:jc w:val="left"/>
      </w:pPr>
      <w:r>
        <w:t>关键洞见： 市场价格短期由情绪决定，长期由价值决定。理性投资者应利用市场先生的情绪波动，在悲观时买入，在乐观时卖出，而不是被市场情绪所左右。市场是服务于投资者的工具，而不是投资决策的向导。</w:t>
      </w:r>
    </w:p>
    <w:p>
      <w:pPr>
        <w:spacing w:lineRule="exact"/>
        <w:jc w:val="left"/>
      </w:pPr>
      <w:r>
        <w:t>四、证券分析的三大功能</w:t>
      </w:r>
    </w:p>
    <w:p>
      <w:pPr>
        <w:spacing w:lineRule="exact"/>
        <w:jc w:val="left"/>
      </w:pPr>
      <w:r>
        <w:t>格雷厄姆将证券分析的功能归纳为三类：</w:t>
      </w:r>
    </w:p>
    <w:p>
      <w:pPr>
        <w:spacing w:lineRule="exact"/>
        <w:jc w:val="left"/>
      </w:pPr>
      <w:r>
        <w:t>描述功能：呈现证券相关的重要事实，整理历史数据和财务报告。</w:t>
      </w:r>
    </w:p>
    <w:p>
      <w:pPr>
        <w:spacing w:lineRule="exact"/>
        <w:jc w:val="left"/>
      </w:pPr>
      <w:r>
        <w:t>选择功能：判断某一证券是否值得购买、持有或出售。</w:t>
      </w:r>
    </w:p>
    <w:p>
      <w:pPr>
        <w:spacing w:lineRule="exact"/>
        <w:jc w:val="left"/>
      </w:pPr>
      <w:r>
        <w:t>批判功能：识别企业财务报告中的缺陷、误导性陈述及会计操纵。</w:t>
      </w:r>
    </w:p>
    <w:p>
      <w:pPr>
        <w:spacing w:lineRule="exact"/>
        <w:jc w:val="left"/>
      </w:pPr>
      <w:r>
        <w:t>其中批判功能是当时被最严重忽视的领域，格雷厄姆花费大量篇幅揭示企业如何通过会计手段粉饰财务报表。</w:t>
      </w:r>
    </w:p>
    <w:p>
      <w:pPr>
        <w:spacing w:lineRule="exact"/>
        <w:jc w:val="left"/>
      </w:pPr>
      <w:r>
        <w:t>五、债券分析框架</w:t>
      </w:r>
    </w:p>
    <w:p>
      <w:pPr>
        <w:spacing w:lineRule="exact"/>
        <w:jc w:val="left"/>
      </w:pPr>
      <w:r>
        <w:t>全书前半部分以固定收益证券（债券）分析为重心，因为格雷厄姆认为债券分析比股票分析更具客观性。</w:t>
      </w:r>
    </w:p>
    <w:p>
      <w:pPr>
        <w:spacing w:lineRule="exact"/>
        <w:jc w:val="left"/>
      </w:pPr>
      <w:r>
        <w:t>5.1 债券安全性的五大检验标准</w:t>
      </w:r>
    </w:p>
    <w:p>
      <w:pPr>
        <w:spacing w:lineRule="exact"/>
        <w:jc w:val="left"/>
      </w:pPr>
      <w:r>
        <w:t>收益覆盖倍数：企业税前利润应足够多倍覆盖利息支出（工业企业建议不低于5倍，公用事业不低于3倍）。</w:t>
      </w:r>
    </w:p>
    <w:p>
      <w:pPr>
        <w:spacing w:lineRule="exact"/>
        <w:jc w:val="left"/>
      </w:pPr>
      <w:r>
        <w:t>股权与债务比率：股东权益应对债务形成足够的缓冲。</w:t>
      </w:r>
    </w:p>
    <w:p>
      <w:pPr>
        <w:spacing w:lineRule="exact"/>
        <w:jc w:val="left"/>
      </w:pPr>
      <w:r>
        <w:t>财产价值：抵押担保物的价值应超过债务总额。</w:t>
      </w:r>
    </w:p>
    <w:p>
      <w:pPr>
        <w:spacing w:lineRule="exact"/>
        <w:jc w:val="left"/>
      </w:pPr>
      <w:r>
        <w:t>收益的稳定性：历史盈利记录应具有一贯性，而非依赖某几年的异常高峰。</w:t>
      </w:r>
    </w:p>
    <w:p>
      <w:pPr>
        <w:spacing w:lineRule="exact"/>
        <w:jc w:val="left"/>
      </w:pPr>
      <w:r>
        <w:t>收益的趋势：长期趋势是上升还是下降。</w:t>
      </w:r>
    </w:p>
    <w:p>
      <w:pPr>
        <w:spacing w:lineRule="exact"/>
        <w:jc w:val="left"/>
      </w:pPr>
      <w:r>
        <w:t>5.2 "最差年份"原则</w:t>
      </w:r>
    </w:p>
    <w:p>
      <w:pPr>
        <w:spacing w:lineRule="exact"/>
        <w:jc w:val="left"/>
      </w:pPr>
      <w:r>
        <w:t>在评估债券安全性时，格雷厄姆强调应以企业历史上最差年份的盈利作为检验基准，而非平均盈利或最好年份。这种保守主义是债券分析的核心精神。</w:t>
      </w:r>
    </w:p>
    <w:p>
      <w:pPr>
        <w:spacing w:lineRule="exact"/>
        <w:jc w:val="left"/>
      </w:pPr>
      <w:r>
        <w:t>5.3 铁路债券与公用事业债券的区别</w:t>
      </w:r>
    </w:p>
    <w:p>
      <w:pPr>
        <w:spacing w:lineRule="exact"/>
        <w:jc w:val="left"/>
      </w:pPr>
      <w:r>
        <w:t>铁路债券：受竞争和替代性交通工具冲击，安全性评估需格外谨慎，要考察货运与客运结构。</w:t>
      </w:r>
    </w:p>
    <w:p>
      <w:pPr>
        <w:spacing w:lineRule="exact"/>
        <w:jc w:val="left"/>
      </w:pPr>
      <w:r>
        <w:t>公用事业债券：具有区域垄断性，盈利更稳定，但受监管约束利润上限。</w:t>
      </w:r>
    </w:p>
    <w:p>
      <w:pPr>
        <w:spacing w:lineRule="exact"/>
        <w:jc w:val="left"/>
      </w:pPr>
      <w:r>
        <w:t>工业债券：风险最高，因为行业竞争激烈，盈利波动大，格雷厄姆建议对工业债券采用最严格的覆盖倍数要求。</w:t>
      </w:r>
    </w:p>
    <w:p>
      <w:pPr>
        <w:spacing w:lineRule="exact"/>
        <w:jc w:val="left"/>
      </w:pPr>
      <w:r>
        <w:t>5.4 优先股的特殊性</w:t>
      </w:r>
    </w:p>
    <w:p>
      <w:pPr>
        <w:spacing w:lineRule="exact"/>
        <w:jc w:val="left"/>
      </w:pPr>
      <w:r>
        <w:t>优先股既不像债券有强制付息的法律约束，又不像普通股有盈利增长的潜力，格雷厄姆认为优先股是两头落空的证券，从投资者角度看天然处于不利地位。除非有极大的安全边际，否则优先股不如同级债券，也不如优质普通股。</w:t>
      </w:r>
    </w:p>
    <w:p>
      <w:pPr>
        <w:spacing w:lineRule="exact"/>
        <w:jc w:val="left"/>
      </w:pPr>
      <w:r>
        <w:t>六、普通股分析框架</w:t>
      </w:r>
    </w:p>
    <w:p>
      <w:pPr>
        <w:spacing w:lineRule="exact"/>
        <w:jc w:val="left"/>
      </w:pPr>
      <w:r>
        <w:t>6.1 内在价值的计算</w:t>
      </w:r>
    </w:p>
    <w:p>
      <w:pPr>
        <w:spacing w:lineRule="exact"/>
        <w:jc w:val="left"/>
      </w:pPr>
      <w:r>
        <w:t>格雷厄姆反对当时流行的"股票市值=未来股利的现值"这一精确公式，认为未来预测本身充满不确定性。他提出了更务实的估值方法：</w:t>
      </w:r>
    </w:p>
    <w:p>
      <w:pPr>
        <w:spacing w:lineRule="exact"/>
        <w:jc w:val="left"/>
      </w:pPr>
      <w:r>
        <w:t>基础公式（后期版本）：</w:t>
      </w:r>
    </w:p>
    <w:p>
      <w:pPr>
        <w:spacing w:lineRule="exact"/>
        <w:jc w:val="left"/>
      </w:pPr>
      <w:r>
        <w:t>内在价值 = EPS × (8.5 + 2g)</w:t>
      </w:r>
    </w:p>
    <w:p>
      <w:pPr>
        <w:spacing w:lineRule="exact"/>
        <w:jc w:val="left"/>
      </w:pPr>
      <w:r>
        <w:t>其中EPS为每股盈利，g为预期年增长率（%），8.5为零增长时的合理市盈率。</w:t>
      </w:r>
    </w:p>
    <w:p>
      <w:pPr>
        <w:spacing w:lineRule="exact"/>
        <w:jc w:val="left"/>
      </w:pPr>
      <w:r>
        <w:t>但格雷厄姆本人更重视的是定量底线：以低于净流动资产价值（NCAV）的价格买入，即：</w:t>
      </w:r>
    </w:p>
    <w:p>
      <w:pPr>
        <w:spacing w:lineRule="exact"/>
        <w:jc w:val="left"/>
      </w:pPr>
      <w:r>
        <w:t>NCAV = 流动资产 − 总负债</w:t>
      </w:r>
    </w:p>
    <w:p>
      <w:pPr>
        <w:spacing w:lineRule="exact"/>
        <w:jc w:val="left"/>
      </w:pPr>
      <w:r>
        <w:t>如果股价低于NCAV的2/3，则存在巨大安全边际，属于"烟蒂股"（Cigar Butt）投资机会。</w:t>
      </w:r>
    </w:p>
    <w:p>
      <w:pPr>
        <w:spacing w:lineRule="exact"/>
        <w:jc w:val="left"/>
      </w:pPr>
      <w:r>
        <w:t>6.2 盈利能力分析</w:t>
      </w:r>
    </w:p>
    <w:p>
      <w:pPr>
        <w:spacing w:lineRule="exact"/>
        <w:jc w:val="left"/>
      </w:pPr>
      <w:r>
        <w:t>格雷厄姆强调应使用正常化盈利（Normalized Earnings），而非当年盈利：</w:t>
      </w:r>
    </w:p>
    <w:p>
      <w:pPr>
        <w:spacing w:lineRule="exact"/>
        <w:jc w:val="left"/>
      </w:pPr>
      <w:r>
        <w:t>取过去7至10年的平均盈利，消除经济周期波动影响。</w:t>
      </w:r>
    </w:p>
    <w:p>
      <w:pPr>
        <w:spacing w:lineRule="exact"/>
        <w:jc w:val="left"/>
      </w:pPr>
      <w:r>
        <w:t>剔除一次性损益项目。</w:t>
      </w:r>
    </w:p>
    <w:p>
      <w:pPr>
        <w:spacing w:lineRule="exact"/>
        <w:jc w:val="left"/>
      </w:pPr>
      <w:r>
        <w:t>警惕过度资本化的利息费用被计入运营成本的会计操纵。</w:t>
      </w:r>
    </w:p>
    <w:p>
      <w:pPr>
        <w:spacing w:lineRule="exact"/>
        <w:jc w:val="left"/>
      </w:pPr>
      <w:r>
        <w:t>6.3 资产负债表的重要性</w:t>
      </w:r>
    </w:p>
    <w:p>
      <w:pPr>
        <w:spacing w:lineRule="exact"/>
        <w:jc w:val="left"/>
      </w:pPr>
      <w:r>
        <w:t>在格雷厄姆时代，市场几乎完全忽视资产负债表，只关注利润表。他力排众议，强调资产负债表是安全边际的物质基础：</w:t>
      </w:r>
    </w:p>
    <w:p>
      <w:pPr>
        <w:spacing w:lineRule="exact"/>
        <w:jc w:val="left"/>
      </w:pPr>
      <w:r>
        <w:t>净流动资产（营运资本）是最具流动性的安全垫。</w:t>
      </w:r>
    </w:p>
    <w:p>
      <w:pPr>
        <w:spacing w:lineRule="exact"/>
        <w:jc w:val="left"/>
      </w:pPr>
      <w:r>
        <w:t>固定资产账面价值在清算时往往大打折扣，应保守估计。</w:t>
      </w:r>
    </w:p>
    <w:p>
      <w:pPr>
        <w:spacing w:lineRule="exact"/>
        <w:jc w:val="left"/>
      </w:pPr>
      <w:r>
        <w:t>商誉、专利等无形资产在分析时应完全扣除。</w:t>
      </w:r>
    </w:p>
    <w:p>
      <w:pPr>
        <w:spacing w:lineRule="exact"/>
        <w:jc w:val="left"/>
      </w:pPr>
      <w:r>
        <w:t>隐性负债（养老金缺口、或有负债）必须纳入分析。</w:t>
      </w:r>
    </w:p>
    <w:p>
      <w:pPr>
        <w:spacing w:lineRule="exact"/>
        <w:jc w:val="left"/>
      </w:pPr>
      <w:r>
        <w:t>七、财务报表分析与会计批判</w:t>
      </w:r>
    </w:p>
    <w:p>
      <w:pPr>
        <w:spacing w:lineRule="exact"/>
        <w:jc w:val="left"/>
      </w:pPr>
      <w:r>
        <w:t>这是本书最具实战价值的部分之一，格雷厄姆系统性地揭示了企业管理层操纵财务数据的常见手法：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CellMar>
          <w:top w:type="dxa" w:w="100"/>
          <w:left w:type="dxa" w:w="100"/>
          <w:bottom w:type="dxa" w:w="100"/>
          <w:right w:type="dxa" w:w="100"/>
        </w:tblCellMar>
      </w:tblPr>
      <w:tr>
        <w:tc>
          <w:tcPr>
            <w:tcW w:type="pct" w:w="2500"/>
          </w:tcPr>
          <w:p>
            <w:r>
              <w:t>折旧不足</w:t>
            </w:r>
          </w:p>
        </w:tc>
        <w:tc>
          <w:tcPr>
            <w:tcW w:type="pct" w:w="2500"/>
          </w:tcPr>
          <w:p>
            <w:r>
              <w:t>固定资产折旧年限过长，虚增利润</w:t>
            </w:r>
          </w:p>
        </w:tc>
      </w:tr>
      <w:tr>
        <w:tc>
          <w:tcPr>
            <w:tcW w:type="pct" w:w="2500"/>
          </w:tcPr>
          <w:p>
            <w:r>
              <w:t>存货估值</w:t>
            </w:r>
          </w:p>
        </w:tc>
        <w:tc>
          <w:tcPr>
            <w:tcW w:type="pct" w:w="2500"/>
          </w:tcPr>
          <w:p>
            <w:r>
              <w:t>在通胀时期采用FIFO法虚增利润，在通缩时采用LIFO法</w:t>
            </w:r>
          </w:p>
        </w:tc>
      </w:tr>
      <w:tr>
        <w:tc>
          <w:tcPr>
            <w:tcW w:type="pct" w:w="2500"/>
          </w:tcPr>
          <w:p>
            <w:r>
              <w:t>子公司并表</w:t>
            </w:r>
          </w:p>
        </w:tc>
        <w:tc>
          <w:tcPr>
            <w:tcW w:type="pct" w:w="2500"/>
          </w:tcPr>
          <w:p>
            <w:r>
              <w:t>选择性合并盈利子公司，将亏损子公司表外处理</w:t>
            </w:r>
          </w:p>
        </w:tc>
      </w:tr>
      <w:tr>
        <w:tc>
          <w:tcPr>
            <w:tcW w:type="pct" w:w="2500"/>
          </w:tcPr>
          <w:p>
            <w:r>
              <w:t>一次性冲销</w:t>
            </w:r>
          </w:p>
        </w:tc>
        <w:tc>
          <w:tcPr>
            <w:tcW w:type="pct" w:w="2500"/>
          </w:tcPr>
          <w:p>
            <w:r>
              <w:t>将经营损失伪装成"特殊项目"，剔除出"经常性盈利"</w:t>
            </w:r>
          </w:p>
        </w:tc>
      </w:tr>
      <w:tr>
        <w:tc>
          <w:tcPr>
            <w:tcW w:type="pct" w:w="2500"/>
          </w:tcPr>
          <w:p>
            <w:r>
              <w:t>资本化费用</w:t>
            </w:r>
          </w:p>
        </w:tc>
        <w:tc>
          <w:tcPr>
            <w:tcW w:type="pct" w:w="2500"/>
          </w:tcPr>
          <w:p>
            <w:r>
              <w:t>将本应费用化的支出资本化，分期摊销以平滑利润</w:t>
            </w:r>
          </w:p>
        </w:tc>
      </w:tr>
      <w:tr>
        <w:tc>
          <w:tcPr>
            <w:tcW w:type="pct" w:w="2500"/>
          </w:tcPr>
          <w:p>
            <w:r>
              <w:t>准备金操纵</w:t>
            </w:r>
          </w:p>
        </w:tc>
        <w:tc>
          <w:tcPr>
            <w:tcW w:type="pct" w:w="2500"/>
          </w:tcPr>
          <w:p>
            <w:r>
              <w:t>在好年景多提准备金，在坏年景少提或转回，制造利润稳定假象</w:t>
            </w:r>
          </w:p>
        </w:tc>
      </w:tr>
      <w:tr>
        <w:tc>
          <w:tcPr>
            <w:tcW w:type="pct" w:w="2500"/>
          </w:tcPr>
          <w:p>
            <w:r>
              <w:t/>
            </w:r>
          </w:p>
        </w:tc>
        <w:tc>
          <w:tcPr>
            <w:tcW w:type="pct" w:w="2500"/>
          </w:tcPr>
          <w:p>
            <w:r>
              <w:t/>
            </w:r>
          </w:p>
        </w:tc>
      </w:tr>
    </w:tbl>
    <w:p>
      <w:pPr>
        <w:spacing w:lineRule="exact"/>
        <w:jc w:val="left"/>
      </w:pPr>
      <w:r>
        <w:t/>
      </w:r>
    </w:p>
    <w:p>
      <w:pPr>
        <w:spacing w:lineRule="exact"/>
        <w:jc w:val="left"/>
      </w:pPr>
      <w:r>
        <w:t>格雷厄姆建议分析师必须穿透会计表象，还原经济实质，这一原则至今仍是财务分析的核心方法论。</w:t>
      </w:r>
    </w:p>
    <w:p>
      <w:pPr>
        <w:spacing w:lineRule="exact"/>
        <w:jc w:val="left"/>
      </w:pPr>
      <w:r>
        <w:t>八、股利政策与股东权益保护</w:t>
      </w:r>
    </w:p>
    <w:p>
      <w:pPr>
        <w:spacing w:lineRule="exact"/>
        <w:jc w:val="left"/>
      </w:pPr>
      <w:r>
        <w:t>格雷厄姆对当时企业不分红或少分红的做法提出了尖锐批评：</w:t>
      </w:r>
    </w:p>
    <w:p>
      <w:pPr>
        <w:spacing w:lineRule="exact"/>
        <w:jc w:val="left"/>
      </w:pPr>
      <w:r>
        <w:t>核心观点： 留存收益只有在能够以高于股东自己投资的回报率进行再投资时，才对股东有利。如果企业留存盈利只是低效使用，甚至用于维持管理层的帝国扩张，则应将盈利以股利形式返还股东。</w:t>
      </w:r>
    </w:p>
    <w:p>
      <w:pPr>
        <w:spacing w:lineRule="exact"/>
        <w:jc w:val="left"/>
      </w:pPr>
      <w:r>
        <w:t>格雷厄姆主张稳定股利政策：股利支付比例应维持在盈利的2/3左右，为股东提供稳定的现金回报，同时保留必要的再投资资金。</w:t>
      </w:r>
    </w:p>
    <w:p>
      <w:pPr>
        <w:spacing w:lineRule="exact"/>
        <w:jc w:val="left"/>
      </w:pPr>
      <w:r>
        <w:t>九、特殊情况与套利机会</w:t>
      </w:r>
    </w:p>
    <w:p>
      <w:pPr>
        <w:spacing w:lineRule="exact"/>
        <w:jc w:val="left"/>
      </w:pPr>
      <w:r>
        <w:t>格雷厄姆专门讨论了几类特殊投资情况：</w:t>
      </w:r>
    </w:p>
    <w:p>
      <w:pPr>
        <w:spacing w:lineRule="exact"/>
        <w:jc w:val="left"/>
      </w:pPr>
      <w:r>
        <w:t>公司重组（Reorganization）：破产重组中的证券往往被市场情绪严重低估，有时存在巨大套利空间。</w:t>
      </w:r>
    </w:p>
    <w:p>
      <w:pPr>
        <w:spacing w:lineRule="exact"/>
        <w:jc w:val="left"/>
      </w:pPr>
      <w:r>
        <w:t>合并套利（Merger Arbitrage）：并购宣布后，目标公司股价与并购价格之间的差价可以计算出隐含的年化收益率。</w:t>
      </w:r>
    </w:p>
    <w:p>
      <w:pPr>
        <w:spacing w:lineRule="exact"/>
        <w:jc w:val="left"/>
      </w:pPr>
      <w:r>
        <w:t>分拆与清算：公司清算时，有时可以以低于清算价值买入股票。</w:t>
      </w:r>
    </w:p>
    <w:p>
      <w:pPr>
        <w:spacing w:lineRule="exact"/>
        <w:jc w:val="left"/>
      </w:pPr>
      <w:r>
        <w:t>认股权证（Warrants）：格雷厄姆认为认股权证对普通股股东是一种稀释，发行认股权证的公司需要格外警惕。</w:t>
      </w:r>
    </w:p>
    <w:p>
      <w:pPr>
        <w:spacing w:lineRule="exact"/>
        <w:jc w:val="left"/>
      </w:pPr>
      <w:r>
        <w:t>十、分析师的局限性与投资哲学</w:t>
      </w:r>
    </w:p>
    <w:p>
      <w:pPr>
        <w:spacing w:lineRule="exact"/>
        <w:jc w:val="left"/>
      </w:pPr>
      <w:r>
        <w:t>格雷厄姆在全书末尾表现出深刻的认识论谦逊：</w:t>
      </w:r>
    </w:p>
    <w:p>
      <w:pPr>
        <w:spacing w:lineRule="exact"/>
        <w:jc w:val="left"/>
      </w:pPr>
      <w:r>
        <w:t>分析是艺术，不是科学：没有任何公式能够机械地产生正确答案，分析师的判断力和经验不可替代。</w:t>
      </w:r>
    </w:p>
    <w:p>
      <w:pPr>
        <w:spacing w:lineRule="exact"/>
        <w:jc w:val="left"/>
      </w:pPr>
      <w:r>
        <w:t>未来不可预测：对增长率的预测越精确，往往越不可靠。基于"未来必然增长"的买入理由在逻辑上最脆弱。</w:t>
      </w:r>
    </w:p>
    <w:p>
      <w:pPr>
        <w:spacing w:lineRule="exact"/>
        <w:jc w:val="left"/>
      </w:pPr>
      <w:r>
        <w:t>多元化的必要性：由于单只证券的分析不可避免存在误差，持有多只具有安全边际的证券是降低风险的必要手段。</w:t>
      </w:r>
    </w:p>
    <w:p>
      <w:pPr>
        <w:spacing w:lineRule="exact"/>
        <w:jc w:val="left"/>
      </w:pPr>
      <w:r>
        <w:t>耐心是核心竞争力：市场纠正错误定价需要时间，有时长达数年。没有足够耐心的投资者无法在价值投资框架内成功。</w:t>
      </w:r>
    </w:p>
    <w:p>
      <w:pPr>
        <w:spacing w:lineRule="exact"/>
        <w:jc w:val="left"/>
      </w:pPr>
      <w:r>
        <w:t>十一、历史背景下的特殊意义</w:t>
      </w:r>
    </w:p>
    <w:p>
      <w:pPr>
        <w:spacing w:lineRule="exact"/>
        <w:jc w:val="left"/>
      </w:pPr>
      <w:r>
        <w:t>本书写于1929年大崩溃后的大萧条时期，格雷厄姆亲历了市场的疯狂与崩溃。书中对1920年代泡沫的解剖和对当时华尔街分析师群体性失智的批判，使这本书不仅是投资教科书，更是一部关于人类金融非理性的历史文献。</w:t>
      </w:r>
    </w:p>
    <w:p>
      <w:pPr>
        <w:spacing w:lineRule="exact"/>
        <w:jc w:val="left"/>
      </w:pPr>
      <w:r>
        <w:t>格雷厄姆反复强调：1929年的崩溃不是偶发的黑天鹅，而是系统性错误的必然结果——这个错误就是将"价格上涨的趋势"等同于"内在价值的增长"。</w:t>
      </w:r>
    </w:p>
    <w:p>
      <w:pPr>
        <w:spacing w:lineRule="exact"/>
        <w:jc w:val="left"/>
      </w:pPr>
      <w:r>
        <w:t>总结</w:t>
      </w:r>
    </w:p>
    <w:p>
      <w:pPr>
        <w:spacing w:lineRule="exact"/>
        <w:jc w:val="left"/>
      </w:pPr>
      <w:r>
        <w:t>《证券分析》的核心贡献可以提炼为以下几点：</w:t>
      </w:r>
    </w:p>
    <w:p>
      <w:pPr>
        <w:spacing w:lineRule="exact"/>
        <w:jc w:val="left"/>
      </w:pPr>
      <w:r>
        <w:t>将投资与投机明确区分，建立了投资的理性标准</w:t>
      </w:r>
    </w:p>
    <w:p>
      <w:pPr>
        <w:spacing w:lineRule="exact"/>
        <w:jc w:val="left"/>
      </w:pPr>
      <w:r>
        <w:t>提出安全边际原则，为投资行为提供了可操作的风险控制框架</w:t>
      </w:r>
    </w:p>
    <w:p>
      <w:pPr>
        <w:spacing w:lineRule="exact"/>
        <w:jc w:val="left"/>
      </w:pPr>
      <w:r>
        <w:t>建立了系统的债券与股票分析定量方法论</w:t>
      </w:r>
    </w:p>
    <w:p>
      <w:pPr>
        <w:spacing w:lineRule="exact"/>
        <w:jc w:val="left"/>
      </w:pPr>
      <w:r>
        <w:t>开创了财务报表批判性分析的先河，揭示会计操纵手法</w:t>
      </w:r>
    </w:p>
    <w:p>
      <w:pPr>
        <w:spacing w:lineRule="exact"/>
        <w:jc w:val="left"/>
      </w:pPr>
      <w:r>
        <w:t>确立了内在价值这一独立于市场价格的估值概念</w:t>
      </w:r>
    </w:p>
    <w:p>
      <w:pPr>
        <w:spacing w:lineRule="exact"/>
        <w:jc w:val="left"/>
      </w:pPr>
      <w:r>
        <w:t>奠定了后来巴菲特等价值投资者的思想基础</w:t>
      </w:r>
    </w:p>
    <w:p>
      <w:pPr>
        <w:spacing w:lineRule="exact"/>
        <w:jc w:val="left"/>
      </w:pPr>
      <w:r>
        <w:t>这本书的价值不在于提供买哪只股票的答案，而在于建立一套如何思考证券价值的哲学体系，这套体系历经近百年市场变迁，核心原则至今依然有效。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2026-04-11T04:36:13Z</dcterms:created>
  <dc:creator>Apache POI</dc:creator>
</cp:coreProperties>
</file>