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查理skill-4</w:t>
      </w:r>
    </w:p>
    <w:p>
      <w:pPr>
        <w:spacing w:lineRule="exact"/>
        <w:jc w:val="left"/>
      </w:pPr>
      <w:r>
        <w:t>西科金融公司（Wesco Financial Corporation）年报全面总结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作者：查理·芒格（Charles T. Munger），董事长兼总裁</w:t>
      </w:r>
    </w:p>
    <w:p>
      <w:pPr>
        <w:spacing w:lineRule="exact"/>
        <w:jc w:val="left"/>
      </w:pPr>
      <w:r>
        <w:t>年报涵盖范围：1997—2009年（伯克希尔哈撒韦官网公开版本）</w:t>
      </w:r>
    </w:p>
    <w:p>
      <w:pPr>
        <w:spacing w:lineRule="exact"/>
        <w:jc w:val="left"/>
      </w:pPr>
      <w:r>
        <w:t>整理目的：系统提炼芒格在西科金融年报中的商业洞见与投资哲理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一、公司概况与历史沿革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1.1 基本信息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西科金融公司（Wesco Financial Corporation）总部位于加利福尼亚州帕萨迪纳市（Pasadena, California），成立于1959年，最初是储蓄贷款协会控股公司。1974年，沃伦·巴菲特和查理·芒格通过蓝筹印花公司（Blue Chip Stamps）逐步收购西科约80%的股权。1984年芒格出任董事长兼总裁，直至2011年6月伯克希尔哈撒韦以全股票方式收购剩余约20%股权，将西科并入旗下全资子公司为止。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1.2 业务演变历程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时期 核心业务 关键事件</w:t>
      </w:r>
    </w:p>
    <w:p>
      <w:pPr>
        <w:spacing w:lineRule="exact"/>
        <w:jc w:val="left"/>
      </w:pPr>
      <w:r>
        <w:t>1959—1993年 储蓄贷款业务（Mutual Savings） 1993年将储蓄贷款业务出售给CenFed银行</w:t>
      </w:r>
    </w:p>
    <w:p>
      <w:pPr>
        <w:spacing w:lineRule="exact"/>
        <w:jc w:val="left"/>
      </w:pPr>
      <w:r>
        <w:t>1984—2009年 保险、精密钢铁、房地产（过渡遗留资产） 芒格主导多元化战略</w:t>
      </w:r>
    </w:p>
    <w:p>
      <w:pPr>
        <w:spacing w:lineRule="exact"/>
        <w:jc w:val="left"/>
      </w:pPr>
      <w:r>
        <w:t>1994—2007年 超级灾难再保险（Wes-FIC） 承接伯克希尔再保险转包业务，积累浮存金</w:t>
      </w:r>
    </w:p>
    <w:p>
      <w:pPr>
        <w:spacing w:lineRule="exact"/>
        <w:jc w:val="left"/>
      </w:pPr>
      <w:r>
        <w:t>1996年— 堪萨斯银行保证公司（KBS）——中西部银行专项保险 以约8000万美元现金收购，至今账面净资产超过收购价格</w:t>
      </w:r>
    </w:p>
    <w:p>
      <w:pPr>
        <w:spacing w:lineRule="exact"/>
        <w:jc w:val="left"/>
      </w:pPr>
      <w:r>
        <w:t>2000年— CORT家具租赁（全美最大"租到租"家具服务商） 以3.86亿美元现金收购，商誉约占购价60%</w:t>
      </w:r>
    </w:p>
    <w:p>
      <w:pPr>
        <w:spacing w:lineRule="exact"/>
        <w:jc w:val="left"/>
      </w:pPr>
      <w:r>
        <w:t>2001年起 参与伯克希尔航空保险风险池 通过Gen Re旗下保险子公司作为中介承揽</w:t>
      </w:r>
    </w:p>
    <w:p>
      <w:pPr>
        <w:spacing w:lineRule="exact"/>
        <w:jc w:val="left"/>
      </w:pPr>
      <w:r>
        <w:t>2008年起 瑞士再保险公司（Swiss Re）2%的财险承保 通过NICO转包，五年内年均承保保费约3亿美元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二、各年度年报核心要点（1997—2009）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2.1 1997年报——稳健成长，弗雷迪·麦克持仓高达12亿美元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正常净运营收入：3826万美元（每股5.38美元）</w:t>
      </w:r>
    </w:p>
    <w:p>
      <w:pPr>
        <w:spacing w:lineRule="exact"/>
        <w:jc w:val="left"/>
      </w:pPr>
      <w:r>
        <w:t>· 合并净收入：1.02亿美元（含6270万美元证券实现收益，每股14.30美元）</w:t>
      </w:r>
    </w:p>
    <w:p>
      <w:pPr>
        <w:spacing w:lineRule="exact"/>
        <w:jc w:val="left"/>
      </w:pPr>
      <w:r>
        <w:t>· 超级灾难再保险至今零损失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通过所罗门公司（Salomon Inc）合并换股，持有花旗集团前身Travelers集团股票</w:t>
      </w:r>
    </w:p>
    <w:p>
      <w:pPr>
        <w:spacing w:lineRule="exact"/>
        <w:jc w:val="left"/>
      </w:pPr>
      <w:r>
        <w:t>· Wes-FIC持有2880万股弗雷迪·麦克（Freddie Mac）股票，市值达12亿美元，该股票当初由Mutual Savings以7200万美元购入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芒格核心判断：</w:t>
      </w:r>
    </w:p>
    <w:p>
      <w:pPr>
        <w:spacing w:lineRule="exact"/>
        <w:jc w:val="left"/>
      </w:pPr>
      <w:r>
        <w:t>"超级灾难再保险业务并非稳操胜券，某些年份会产生巨额亏损。但正是这种内在的高风险，才使得顽强有纪律的坚守者能在长期内获得合理回报。"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内在价值估算（芒格方法）：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清算价值：248美元/股</w:t>
      </w:r>
    </w:p>
    <w:p>
      <w:pPr>
        <w:spacing w:lineRule="exact"/>
        <w:jc w:val="left"/>
      </w:pPr>
      <w:r>
        <w:t>· 利用税收递延"无息贷款"所创造的额外价值：约25美元/股</w:t>
      </w:r>
    </w:p>
    <w:p>
      <w:pPr>
        <w:spacing w:lineRule="exact"/>
        <w:jc w:val="left"/>
      </w:pPr>
      <w:r>
        <w:t>· 内在价值合计：约273美元/股（当时市价约300美元，溢价约10%）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2.2 1998年报——泡沫市场中保持耐心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正常净运营收入：3762万美元（每股5.28美元）</w:t>
      </w:r>
    </w:p>
    <w:p>
      <w:pPr>
        <w:spacing w:lineRule="exact"/>
        <w:jc w:val="left"/>
      </w:pPr>
      <w:r>
        <w:t>· 合并净收入：7180万美元（含3361万美元证券实现收益）</w:t>
      </w:r>
    </w:p>
    <w:p>
      <w:pPr>
        <w:spacing w:lineRule="exact"/>
        <w:jc w:val="left"/>
      </w:pPr>
      <w:r>
        <w:t>· 弗雷迪·麦克市值升至19亿美元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芒格核心判断：</w:t>
      </w:r>
    </w:p>
    <w:p>
      <w:pPr>
        <w:spacing w:lineRule="exact"/>
        <w:jc w:val="left"/>
      </w:pPr>
      <w:r>
        <w:t>"尽管市场情绪极度亢奋，投资机会难觅，但我们并不悲观。我们相信有吸引力的投资机会终将出现。"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内在价值估算：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清算价值：312美元/股</w:t>
      </w:r>
    </w:p>
    <w:p>
      <w:pPr>
        <w:spacing w:lineRule="exact"/>
        <w:jc w:val="left"/>
      </w:pPr>
      <w:r>
        <w:t>· 税收递延"无息贷款"价值：约30美元/股</w:t>
      </w:r>
    </w:p>
    <w:p>
      <w:pPr>
        <w:spacing w:lineRule="exact"/>
        <w:jc w:val="left"/>
      </w:pPr>
      <w:r>
        <w:t>· 内在价值合计：约342美元/股（当时市价约354美元，溢价约4%）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2.3 1999年报——弗雷迪·麦克持仓14亿市值，宣布收购CORT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正常净运营收入：4590万美元（每股6.44美元）</w:t>
      </w:r>
    </w:p>
    <w:p>
      <w:pPr>
        <w:spacing w:lineRule="exact"/>
        <w:jc w:val="left"/>
      </w:pPr>
      <w:r>
        <w:t>· 合并净收入：5414万美元</w:t>
      </w:r>
    </w:p>
    <w:p>
      <w:pPr>
        <w:spacing w:lineRule="exact"/>
        <w:jc w:val="left"/>
      </w:pPr>
      <w:r>
        <w:t>· 弗雷迪·麦克14亿美元市值，占西科净资产核心地位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2000年2月以3.84亿美元现金完成收购CORT业务（于1999年年报中宣布）</w:t>
      </w:r>
    </w:p>
    <w:p>
      <w:pPr>
        <w:spacing w:lineRule="exact"/>
        <w:jc w:val="left"/>
      </w:pPr>
      <w:r>
        <w:t>· 精密钢铁（Precision Steel）收益因原材料价格下跌承压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芒格核心判断：</w:t>
      </w:r>
    </w:p>
    <w:p>
      <w:pPr>
        <w:spacing w:lineRule="exact"/>
        <w:jc w:val="left"/>
      </w:pPr>
      <w:r>
        <w:t>"我们以3.84亿美元购入了税前利润4600万美元的CORT业务，约60%的价格对应商誉。然而商誉摊销并不反映企业经济现实，我们不认为它代表真实的价值流失。"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内在价值估算：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清算价值：266美元/股</w:t>
      </w:r>
    </w:p>
    <w:p>
      <w:pPr>
        <w:spacing w:lineRule="exact"/>
        <w:jc w:val="left"/>
      </w:pPr>
      <w:r>
        <w:t>· 内在价值合计：约286美元/股（当时市价约245美元，折价约14%）——市场短暂给出了低于内在价值的机会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2.4 2000年报——出售弗雷迪·麦克实现8.52亿美元税后收益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运营净收入：7009万美元（每股9.84美元）</w:t>
      </w:r>
    </w:p>
    <w:p>
      <w:pPr>
        <w:spacing w:lineRule="exact"/>
        <w:jc w:val="left"/>
      </w:pPr>
      <w:r>
        <w:t>· 合并净收入高达9.22亿美元（其中85238万美元为出售弗雷迪·麦克实现的税后收益）</w:t>
      </w:r>
    </w:p>
    <w:p>
      <w:pPr>
        <w:spacing w:lineRule="exact"/>
        <w:jc w:val="left"/>
      </w:pPr>
      <w:r>
        <w:t>· CORT在十个月所有权内贡献2900万美元（年化约3500万美元）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彻底清仓弗雷迪·麦克（29年间以7200万美元买入，最终实现超过10亿美元的资本回报）</w:t>
      </w:r>
    </w:p>
    <w:p>
      <w:pPr>
        <w:spacing w:lineRule="exact"/>
        <w:jc w:val="left"/>
      </w:pPr>
      <w:r>
        <w:t>· 员工人数从275人激增至约3000人（主要因CORT并入）</w:t>
      </w:r>
    </w:p>
    <w:p>
      <w:pPr>
        <w:spacing w:lineRule="exact"/>
        <w:jc w:val="left"/>
      </w:pPr>
      <w:r>
        <w:t>· 互联网泡沫破灭已开始影响CORT新业务流入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芒格对商业周期的判断：</w:t>
      </w:r>
    </w:p>
    <w:p>
      <w:pPr>
        <w:spacing w:lineRule="exact"/>
        <w:jc w:val="left"/>
      </w:pPr>
      <w:r>
        <w:t>"当我们以高价收购CORT时，互联网繁荣正如日中天。不久之后，新业务来源急剧萎缩。我们在短期行业前景的判断上犯了错误。"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2.5 2001年报——9·11事件冲击，保险出现重大亏损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合并净收入：5254万美元（每股7.38美元）</w:t>
      </w:r>
    </w:p>
    <w:p>
      <w:pPr>
        <w:spacing w:lineRule="exact"/>
        <w:jc w:val="left"/>
      </w:pPr>
      <w:r>
        <w:t>· 保险承保亏损：约831万美元（税后），主因是9·11事件造成约1000万美元税前损失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西科经历了1985年进入保险业以来最差的承保结果</w:t>
      </w:r>
    </w:p>
    <w:p>
      <w:pPr>
        <w:spacing w:lineRule="exact"/>
        <w:jc w:val="left"/>
      </w:pPr>
      <w:r>
        <w:t>· CORT因科技泡沫破灭叠加9·11冲击，从年化3300万美元利润跌至1308万美元</w:t>
      </w:r>
    </w:p>
    <w:p>
      <w:pPr>
        <w:spacing w:lineRule="exact"/>
        <w:jc w:val="left"/>
      </w:pPr>
      <w:r>
        <w:t>· 芒格在报告中引用巴菲特的话，揭示自2001年起连续数年"找不到值得买入的股票"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芒格警告：</w:t>
      </w:r>
    </w:p>
    <w:p>
      <w:pPr>
        <w:spacing w:lineRule="exact"/>
        <w:jc w:val="left"/>
      </w:pPr>
      <w:r>
        <w:t>"即使是最优秀的财产险业务，也必须对未来成本进行估算。这使得保险公司的财务报表充其量是'诚实的最优猜测'，而非精确计量。再保险业务因多一层报告链，不确定性尤为突出。"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2.6 2002年报——保险业绩恢复，坚守大量现金等待机会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合并净收入：5272万美元（每股7.40美元）</w:t>
      </w:r>
    </w:p>
    <w:p>
      <w:pPr>
        <w:spacing w:lineRule="exact"/>
        <w:jc w:val="left"/>
      </w:pPr>
      <w:r>
        <w:t>· 保险承保恢复为微亏转为基本持平</w:t>
      </w:r>
    </w:p>
    <w:p>
      <w:pPr>
        <w:spacing w:lineRule="exact"/>
        <w:jc w:val="left"/>
      </w:pPr>
      <w:r>
        <w:t>· CORT租赁业务利润降至只有244万美元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依新会计准则停止摊销商誉（每年节省约700万美元非税前费用）</w:t>
      </w:r>
    </w:p>
    <w:p>
      <w:pPr>
        <w:spacing w:lineRule="exact"/>
        <w:jc w:val="left"/>
      </w:pPr>
      <w:r>
        <w:t>· 两位长期董事Jim Gamble和Dave Robinson卸任，彼时西科股价已从入市时上涨约5000%</w:t>
      </w:r>
    </w:p>
    <w:p>
      <w:pPr>
        <w:spacing w:lineRule="exact"/>
        <w:jc w:val="left"/>
      </w:pPr>
      <w:r>
        <w:t>· 连续第二年未能发现值得买入的股票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芒格核心判断：</w:t>
      </w:r>
    </w:p>
    <w:p>
      <w:pPr>
        <w:spacing w:lineRule="exact"/>
        <w:jc w:val="left"/>
      </w:pPr>
      <w:r>
        <w:t>"间歇性地无所作为，有时正是成功投资所必需的。即便利率接近零，坐等也好过轻率出手。"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2.7 2003年报——出售Gillette仓位，获巨额收益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运营净收入：3996万美元（每股5.61美元）</w:t>
      </w:r>
    </w:p>
    <w:p>
      <w:pPr>
        <w:spacing w:lineRule="exact"/>
        <w:jc w:val="left"/>
      </w:pPr>
      <w:r>
        <w:t>· 合并净收入：7471万美元（含3475万美元证券已实现收益，主要来自减持Gillette）</w:t>
      </w:r>
    </w:p>
    <w:p>
      <w:pPr>
        <w:spacing w:lineRule="exact"/>
        <w:jc w:val="left"/>
      </w:pPr>
      <w:r>
        <w:t>· CORT继续亏损627万美元，Precision Steel亏损86万美元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开始以大于10亿美元持有现金等价物和固定收益投资（保持至2007年）</w:t>
      </w:r>
    </w:p>
    <w:p>
      <w:pPr>
        <w:spacing w:lineRule="exact"/>
        <w:jc w:val="left"/>
      </w:pPr>
      <w:r>
        <w:t>· 宝洁公司将收购Gillette（预计2005年产生约1.9亿美元税后利得）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2.8 2004年报——保险业绩异常出色（"怪异地盈利"）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运营净收入：4743万美元（每股6.66美元）</w:t>
      </w:r>
    </w:p>
    <w:p>
      <w:pPr>
        <w:spacing w:lineRule="exact"/>
        <w:jc w:val="left"/>
      </w:pPr>
      <w:r>
        <w:t>· 保险承保盈利1462万美元（税后），芒格形容此为"怪异地利好"，长期不可持续</w:t>
      </w:r>
    </w:p>
    <w:p>
      <w:pPr>
        <w:spacing w:lineRule="exact"/>
        <w:jc w:val="left"/>
      </w:pPr>
      <w:r>
        <w:t>· CORT税后利润500万美元，扭亏为盈</w:t>
      </w:r>
    </w:p>
    <w:p>
      <w:pPr>
        <w:spacing w:lineRule="exact"/>
        <w:jc w:val="left"/>
      </w:pPr>
      <w:r>
        <w:t>· Precision Steel税后盈利109万美元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芒格核心判断：</w:t>
      </w:r>
    </w:p>
    <w:p>
      <w:pPr>
        <w:spacing w:lineRule="exact"/>
        <w:jc w:val="left"/>
      </w:pPr>
      <w:r>
        <w:t>"如此出色的保险承保结果不能指望长期持续。我们应该记住，Wes-FIC早在2001年还报告了810万美元承保亏损。"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对闲置现金的态度：</w:t>
      </w:r>
    </w:p>
    <w:p>
      <w:pPr>
        <w:spacing w:lineRule="exact"/>
        <w:jc w:val="left"/>
      </w:pPr>
      <w:r>
        <w:t>"超过10亿美元的现金等价物和固定收益投资持续未部署，这令人沮丧，但轻率投资更糟糕。除非能看到至少10%的税前回报概率，否则我们宁愿按兵不动。"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2.9 2005年报——宝洁合并Gillette，西科账面净收入达2.95亿美元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运营净收入：7797万美元（每股10.95美元）</w:t>
      </w:r>
    </w:p>
    <w:p>
      <w:pPr>
        <w:spacing w:lineRule="exact"/>
        <w:jc w:val="left"/>
      </w:pPr>
      <w:r>
        <w:t>· 合并净收入：2.95亿美元（含2.17亿美元的Gillette→P&amp;G非现金税免交换收益）</w:t>
      </w:r>
    </w:p>
    <w:p>
      <w:pPr>
        <w:spacing w:lineRule="exact"/>
        <w:jc w:val="left"/>
      </w:pPr>
      <w:r>
        <w:t>· CORT税后利润2068万美元，显著复苏</w:t>
      </w:r>
    </w:p>
    <w:p>
      <w:pPr>
        <w:spacing w:lineRule="exact"/>
        <w:jc w:val="left"/>
      </w:pPr>
      <w:r>
        <w:t>· 书面净资产增至每股313美元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Gillette换股P&amp;G的账面收益2.17亿美元：无现金流入，不影响股东权益，仅为留存收益内部分类调整</w:t>
      </w:r>
    </w:p>
    <w:p>
      <w:pPr>
        <w:spacing w:lineRule="exact"/>
        <w:jc w:val="left"/>
      </w:pPr>
      <w:r>
        <w:t>· 芒格明确指出："请忽略这笔'会计'收益，它对西科无经济意义。"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2.10 2006年报——CORT持续复苏，书面净资产达337美元/股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运营净收入：9203万美元（每股12.93美元），创历史新高</w:t>
      </w:r>
    </w:p>
    <w:p>
      <w:pPr>
        <w:spacing w:lineRule="exact"/>
        <w:jc w:val="left"/>
      </w:pPr>
      <w:r>
        <w:t>· CORT税后利润2688万美元，大幅增长</w:t>
      </w:r>
    </w:p>
    <w:p>
      <w:pPr>
        <w:spacing w:lineRule="exact"/>
        <w:jc w:val="left"/>
      </w:pPr>
      <w:r>
        <w:t>· 保险净投资收益5853万美元</w:t>
      </w:r>
    </w:p>
    <w:p>
      <w:pPr>
        <w:spacing w:lineRule="exact"/>
        <w:jc w:val="left"/>
      </w:pPr>
      <w:r>
        <w:t>· 书面净资产：337美元/股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西科将股票交易所从NYSE Arca（因年费从1000美元涨至30000美元而撤出）转至仅在美国交易所（AMEX）挂牌</w:t>
      </w:r>
    </w:p>
    <w:p>
      <w:pPr>
        <w:spacing w:lineRule="exact"/>
        <w:jc w:val="left"/>
      </w:pPr>
      <w:r>
        <w:t>· 闲置现金超过10亿美元，开始担忧未来回报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2.11 2007年报——大举投资股票8.02亿美元，主要买入银行股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运营净收入：9341万美元（每股13.12美元）</w:t>
      </w:r>
    </w:p>
    <w:p>
      <w:pPr>
        <w:spacing w:lineRule="exact"/>
        <w:jc w:val="left"/>
      </w:pPr>
      <w:r>
        <w:t>· 合并净收入：1.09亿美元（含1576万美元已实现收益）</w:t>
      </w:r>
    </w:p>
    <w:p>
      <w:pPr>
        <w:spacing w:lineRule="exact"/>
        <w:jc w:val="left"/>
      </w:pPr>
      <w:r>
        <w:t>· 书面净资产升至每股356美元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下半年大举买入股票8.02亿美元（净），其中包括约6.5亿美元的富国银行（Wells Fargo）和美国合众银行（US Bancorp）</w:t>
      </w:r>
    </w:p>
    <w:p>
      <w:pPr>
        <w:spacing w:lineRule="exact"/>
        <w:jc w:val="left"/>
      </w:pPr>
      <w:r>
        <w:t>· 宣布2008年起参与瑞士再保险业务（通过NICO，年均保费约3亿美元）</w:t>
      </w:r>
    </w:p>
    <w:p>
      <w:pPr>
        <w:spacing w:lineRule="exact"/>
        <w:jc w:val="left"/>
      </w:pPr>
      <w:r>
        <w:t>· 保险浮存金从7600万美元增至9400万美元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2.12 2008年报——金融危机冲击，但坚持低成本保险模式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运营净收入：7756万美元（每股10.89美元），较2007年下降17%</w:t>
      </w:r>
    </w:p>
    <w:p>
      <w:pPr>
        <w:spacing w:lineRule="exact"/>
        <w:jc w:val="left"/>
      </w:pPr>
      <w:r>
        <w:t>· 合并净收入：8212万美元（含455万美元税后已实现收益）</w:t>
      </w:r>
    </w:p>
    <w:p>
      <w:pPr>
        <w:spacing w:lineRule="exact"/>
        <w:jc w:val="left"/>
      </w:pPr>
      <w:r>
        <w:t>· 银行股持仓（富国+US Bancorp合计约6.5亿美元成本）在危机中大幅浮亏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瑞士再保险合同首年保费：承保2652亿美元，赚取保费1832亿美元</w:t>
      </w:r>
    </w:p>
    <w:p>
      <w:pPr>
        <w:spacing w:lineRule="exact"/>
        <w:jc w:val="left"/>
      </w:pPr>
      <w:r>
        <w:t>· 保险浮存金从9400万美元增至1.64亿美元</w:t>
      </w:r>
    </w:p>
    <w:p>
      <w:pPr>
        <w:spacing w:lineRule="exact"/>
        <w:jc w:val="left"/>
      </w:pPr>
      <w:r>
        <w:t>· 堪萨斯银行保证公司（KBS）：一家银行破产造成470万美元税后损失，随即停止承保存款担保债券业务</w:t>
      </w:r>
    </w:p>
    <w:p>
      <w:pPr>
        <w:spacing w:lineRule="exact"/>
        <w:jc w:val="left"/>
      </w:pPr>
      <w:r>
        <w:t>· CORT营收4.1亿美元，利润仍达1574万美元，但已显现"大衰退"苗头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芒格的危机应对原则：</w:t>
      </w:r>
    </w:p>
    <w:p>
      <w:pPr>
        <w:spacing w:lineRule="exact"/>
        <w:jc w:val="left"/>
      </w:pPr>
      <w:r>
        <w:t>"我们将继续践行本·富兰克林的教诲：'省下一分是赚来一分'。我们确信，经济终将复苏，西科也终将繁荣。"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2.13 2009年报——大衰退全面冲击，CORT首次亏损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财务亮点：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运营净收入：5407万美元（每股7.59美元），较2008年下降30%</w:t>
      </w:r>
    </w:p>
    <w:p>
      <w:pPr>
        <w:spacing w:lineRule="exact"/>
        <w:jc w:val="left"/>
      </w:pPr>
      <w:r>
        <w:t>· CORT亏损136万美元（首次亏损，扣除大规模经济衰退影响）</w:t>
      </w:r>
    </w:p>
    <w:p>
      <w:pPr>
        <w:spacing w:lineRule="exact"/>
        <w:jc w:val="left"/>
      </w:pPr>
      <w:r>
        <w:t>· Precision Steel亏损65万美元，核心业务量缩减至30年前水平的一半</w:t>
      </w:r>
    </w:p>
    <w:p>
      <w:pPr>
        <w:spacing w:lineRule="exact"/>
        <w:jc w:val="left"/>
      </w:pPr>
      <w:r>
        <w:t>· 房地产子公司因市场最差时期竣工，减值620万美元（税后）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重要事件：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瑞士再保险保费收入大幅提升：承保3.39亿美元，赚取保费3.23亿美元</w:t>
      </w:r>
    </w:p>
    <w:p>
      <w:pPr>
        <w:spacing w:lineRule="exact"/>
        <w:jc w:val="left"/>
      </w:pPr>
      <w:r>
        <w:t>· 浮存金增至2.64亿美元</w:t>
      </w:r>
    </w:p>
    <w:p>
      <w:pPr>
        <w:spacing w:lineRule="exact"/>
        <w:jc w:val="left"/>
      </w:pPr>
      <w:r>
        <w:t>· KBS大幅收缩：存款担保债券面额从97亿美元降至3300万美元</w:t>
      </w:r>
    </w:p>
    <w:p>
      <w:pPr>
        <w:spacing w:lineRule="exact"/>
        <w:jc w:val="left"/>
      </w:pPr>
      <w:r>
        <w:t>· 书面净资产微升至358美元/股（源于保险投资收益抵消了运营下滑）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芒格的最后忠告（2009年度报告，也是最后一份独立年报）：</w:t>
      </w:r>
    </w:p>
    <w:p>
      <w:pPr>
        <w:spacing w:lineRule="exact"/>
        <w:jc w:val="left"/>
      </w:pPr>
      <w:r>
        <w:t>"西科的商业与人才质量综合而言，仍远不如伯克希尔哈撒韦。西科并非伯克希尔的等比缩小版。每一美元的账面价值在西科所代表的内在价值，明显低于伯克希尔同等账面价值所代表的内在价值。而且这一质量差距，近年来仍在持续扩大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三、西科金融业务的结构性规律总结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3.1 收益来源的稳定性分析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业务板块 贡献稳定性 历史评价</w:t>
      </w:r>
    </w:p>
    <w:p>
      <w:pPr>
        <w:spacing w:lineRule="exact"/>
        <w:jc w:val="left"/>
      </w:pPr>
      <w:r>
        <w:t>Wes-FIC保险净投资收益 ★★★★★（极稳定） 长期保持每年约3000万—6500万美元税后收益，是西科最核心的"现金奶牛"</w:t>
      </w:r>
    </w:p>
    <w:p>
      <w:pPr>
        <w:spacing w:lineRule="exact"/>
        <w:jc w:val="left"/>
      </w:pPr>
      <w:r>
        <w:t>Wes-FIC保险承保利润 ★★☆☆☆（高波动） 9·11造成重大亏损，其他年份通常盈利，合并比率长期优于行业</w:t>
      </w:r>
    </w:p>
    <w:p>
      <w:pPr>
        <w:spacing w:lineRule="exact"/>
        <w:jc w:val="left"/>
      </w:pPr>
      <w:r>
        <w:t>KBS银行保险 ★★★☆☆（中波动） 合并比率常年优异（55%—75%），但银行破产会带来集中亏损</w:t>
      </w:r>
    </w:p>
    <w:p>
      <w:pPr>
        <w:spacing w:lineRule="exact"/>
        <w:jc w:val="left"/>
      </w:pPr>
      <w:r>
        <w:t>CORT家具租赁 ★★☆☆☆（周期性强） 随经济周期大幅波动，2000—2003年、2008—2009年均遭重创</w:t>
      </w:r>
    </w:p>
    <w:p>
      <w:pPr>
        <w:spacing w:lineRule="exact"/>
        <w:jc w:val="left"/>
      </w:pPr>
      <w:r>
        <w:t>Precision Steel ★☆☆☆☆（结构性衰退） 受制造业外流影响，实物量长期萎缩，从1999年6900万磅降至2009年约3000万磅</w:t>
      </w:r>
    </w:p>
    <w:p>
      <w:pPr>
        <w:spacing w:lineRule="exact"/>
        <w:jc w:val="left"/>
      </w:pPr>
      <w:r>
        <w:t>证券实现收益 不定期 偶尔出现巨额收益（弗雷迪·麦克、Gillette等），是历史股东权益增值的重要驱动力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3.2 保险"浮存金"的战略价值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西科保险业务的核心优势不在于承保利润本身，而在于"浮存金"（Float）——即在理赔到来之前暂时持有的保费资金。芒格在多年报告中反复强调：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零成本浮存金的经济价值：只要承保结果持平或盈利，持有浮存金几乎不需要付出成本，但可以将其投入高收益资产获取收益。</w:t>
      </w:r>
    </w:p>
    <w:p>
      <w:pPr>
        <w:spacing w:lineRule="exact"/>
        <w:jc w:val="left"/>
      </w:pPr>
      <w:r>
        <w:t>· 浮存金的演变：从1997年约2000万美元，到参与Swiss Re业务后在2009年达到2.64亿美元。</w:t>
      </w:r>
    </w:p>
    <w:p>
      <w:pPr>
        <w:spacing w:lineRule="exact"/>
        <w:jc w:val="left"/>
      </w:pPr>
      <w:r>
        <w:t>· 关键前提：只有在不亏损的情况下才应积极承保，否则浮存金将变为"高成本借款"。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3.3 税收递延的"无息政府贷款"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芒格独创了一种内在价值估算框架，将未实现资本收益对应的递延税款称为"政府无息贷款"：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逻辑：持有大量升值证券（如弗雷迪·麦克、Gillette、P&amp;G等）时，未缴纳的资本利得税相当于政府向西科提供了一笔长期无息借款，这笔钱在资产出售前始终为股东创造投资收益。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历史数据：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年份 递延税额（每股） 芒格估算的"无息贷款"价值（每股）</w:t>
      </w:r>
    </w:p>
    <w:p>
      <w:pPr>
        <w:spacing w:lineRule="exact"/>
        <w:jc w:val="left"/>
      </w:pPr>
      <w:r>
        <w:t>1997 约102美元 约25美元</w:t>
      </w:r>
    </w:p>
    <w:p>
      <w:pPr>
        <w:spacing w:lineRule="exact"/>
        <w:jc w:val="left"/>
      </w:pPr>
      <w:r>
        <w:t>1998 约127美元 约30美元</w:t>
      </w:r>
    </w:p>
    <w:p>
      <w:pPr>
        <w:spacing w:lineRule="exact"/>
        <w:jc w:val="left"/>
      </w:pPr>
      <w:r>
        <w:t>1999 约99美元 约20美元</w:t>
      </w:r>
    </w:p>
    <w:p>
      <w:pPr>
        <w:spacing w:lineRule="exact"/>
        <w:jc w:val="left"/>
      </w:pPr>
      <w:r>
        <w:t>2000 约36美元（出售弗雷迪后大幅下降） —</w:t>
      </w:r>
    </w:p>
    <w:p>
      <w:pPr>
        <w:spacing w:lineRule="exact"/>
        <w:jc w:val="left"/>
      </w:pPr>
      <w:r>
        <w:t>2006—2009 约42—45美元 —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四、芒格的投资哲学与商业智慧——从西科年报提炼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4.1 核心投资原则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原则一：买入优秀企业，而非便宜企业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芒格在多年年报中反复强调，西科追求的投资标准是："投资于拥有卓越经济特性、由诚实能干的管理层运营、以合理价格购入的企业。"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他区分了两类商业品质：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低质企业：如Precision Steel，拥有大量固定资产，面临结构性竞争压力，即使价格便宜也难以提供满意回报。</w:t>
      </w:r>
    </w:p>
    <w:p>
      <w:pPr>
        <w:spacing w:lineRule="exact"/>
        <w:jc w:val="left"/>
      </w:pPr>
      <w:r>
        <w:t>· 高质企业：如CORT（行业领导地位、轻资产商业模式）、KBS（护城河明显、成本极低）。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原则二：集中持股，而非分散配置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"我们倾向于在每笔投资中投入大量资金，导致持仓集中，市场价格波动幅度大于分散化组合。但集中持股在过去已被证明非常有效——通过大量已实现的投资收益。"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西科持仓长期高度集中，历史上最重要的单一仓位：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弗雷迪·麦克（7200万成本 → 超过10亿美元）</w:t>
      </w:r>
    </w:p>
    <w:p>
      <w:pPr>
        <w:spacing w:lineRule="exact"/>
        <w:jc w:val="left"/>
      </w:pPr>
      <w:r>
        <w:t>· Gillette（4000万成本 → 超过5亿美元市值）</w:t>
      </w:r>
    </w:p>
    <w:p>
      <w:pPr>
        <w:spacing w:lineRule="exact"/>
        <w:jc w:val="left"/>
      </w:pPr>
      <w:r>
        <w:t>· P&amp;G（由Gillette换股所得）</w:t>
      </w:r>
    </w:p>
    <w:p>
      <w:pPr>
        <w:spacing w:lineRule="exact"/>
        <w:jc w:val="left"/>
      </w:pPr>
      <w:r>
        <w:t>· 富国银行 + 美国合众银行（2007年合计约6.5亿美元成本）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原则三：长期持有，避免频繁交易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"大多数股票投资预计长期持有。因此，我们通常不会因短期价格波动而烦恼，只要标的公司的经营与管理基本面保持良好。我们努力保持充足流动性，以应对短期股价波动提供的安全边际。"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原则四：耐心等待，拒绝低质量机会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从2001年到2004年，连续四年西科"没有发现任何值得买入的新股票"。芒格对此没有道歉，反而认为这是正确行为：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"有时，成功的投资需要无所作为（inactivity）。除非我们看到至少10%税前回报的高概率，否则宁愿按兵不动。短期利率近乎零时坐等无趣，但这比轻率出手更佳。"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原则五：诚实面对失误，保持理性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芒格在年报中多次坦承判断错误：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关于CORT收购时机："我们在判断短期行业前景时完全失策。"</w:t>
      </w:r>
    </w:p>
    <w:p>
      <w:pPr>
        <w:spacing w:lineRule="exact"/>
        <w:jc w:val="left"/>
      </w:pPr>
      <w:r>
        <w:t>· 关于2007年投入银行股的时机："当时投资的择时几乎是最差的。"</w:t>
      </w:r>
    </w:p>
    <w:p>
      <w:pPr>
        <w:spacing w:lineRule="exact"/>
        <w:jc w:val="left"/>
      </w:pPr>
      <w:r>
        <w:t>· 关于Precision Steel的前景："其长期性衰退不可能在经济复苏后自动消失。"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原则六：超级灾难保险——管理极端风险的哲学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西科在超级灾难再保险（Super-Cat Reinsurance）上的逻辑，展示了一种独特的极端风险管理哲学：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超级灾难再保险业务的独特之处，正在于它要求参与者在偶尔遭受巨额亏损面前保持坦然——而正是这种偶发的、规模巨大的潜在亏损，吓退了竞争者，使得理性、纪律严格的坚守者能够在长期内获得合理回报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这一原则可以延伸为普遍的投资哲学：高收益往往与极端波动相伴，对极端波动的承受力，本身就是竞争优势的来源。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4.2 商业分析框架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框架一：区分"经营性收益"与"账面事件"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芒格始终区分真实经营收益与账面项目：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证券已实现收益：从未被视为"真实"运营成果，仅是账面的重新分类（从未实现到已实现）</w:t>
      </w:r>
    </w:p>
    <w:p>
      <w:pPr>
        <w:spacing w:lineRule="exact"/>
        <w:jc w:val="left"/>
      </w:pPr>
      <w:r>
        <w:t>· 商誉摊销（2002年前）：明确指出不反映经济现实</w:t>
      </w:r>
    </w:p>
    <w:p>
      <w:pPr>
        <w:spacing w:lineRule="exact"/>
        <w:jc w:val="left"/>
      </w:pPr>
      <w:r>
        <w:t>· Gillette换P&amp;G收益（2005年，2.17亿美元）：无经济影响，明确要求股东忽略</w:t>
      </w:r>
    </w:p>
    <w:p>
      <w:pPr>
        <w:spacing w:lineRule="exact"/>
        <w:jc w:val="left"/>
      </w:pPr>
      <w:r>
        <w:t>· LIFO库存调整：每年提醒股东不要将LIFO调整视为预测未来盈利能力的依据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框架二：内在价值 = 清算价值 + 税收递延"无息贷款"价值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这是芒格自1997年起在西科年报中使用的独特估值方法：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内在价值 ≈ 税后清算价值（账面净资产） + 税收递延"无息贷款"的现值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其中，"无息贷款"的现值远小于递延税款总额，因为：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资产迟早会被出售，届时税款须缴纳</w:t>
      </w:r>
    </w:p>
    <w:p>
      <w:pPr>
        <w:spacing w:lineRule="exact"/>
        <w:jc w:val="left"/>
      </w:pPr>
      <w:r>
        <w:t>2. 现值折现要考虑时间和不确定性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框架三：优质收购的标准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从西科历次收购（KBS、CORT）中提炼出芒格的收购哲学：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管理层质量高于一切：对CORT的Paul Arnold、KBS的Donald Towle给予极高评价，且承诺不干预他们的日常经营</w:t>
      </w:r>
    </w:p>
    <w:p>
      <w:pPr>
        <w:spacing w:lineRule="exact"/>
        <w:jc w:val="left"/>
      </w:pPr>
      <w:r>
        <w:t>2. 行业领导地位：CORT是全美"租到租"家具业第一，KBS在中西部银行保险中具有专业护城河</w:t>
      </w:r>
    </w:p>
    <w:p>
      <w:pPr>
        <w:spacing w:lineRule="exact"/>
        <w:jc w:val="left"/>
      </w:pPr>
      <w:r>
        <w:t>3. 商誉可接受但须有实质支撑：以约3.86亿美元收购CORT时，商誉约占60%，芒格认为这笔商誉有真实经营基础支撑，不会如会计摊销所暗示的那样"蒸发"</w:t>
      </w:r>
    </w:p>
    <w:p>
      <w:pPr>
        <w:spacing w:lineRule="exact"/>
        <w:jc w:val="left"/>
      </w:pPr>
      <w:r>
        <w:t>4. 纪律约束价格：连续四年宁愿持有超过10亿美元现金，也不愿在市场过热时进行收购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4.3 企业文化与公司治理哲学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极低的管理费用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西科总部（帕萨迪纳）仅保持5名员工。这与其母公司伯克希尔的"总部最小化"哲学一脉相承——让各子公司自主运营，总部不扮演中间管理角色。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股东透明度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芒格在年报中的信息透露远超法定要求：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明确提示保险业务的不确定性，指出财务报表"充其量是诚实的最优猜测"</w:t>
      </w:r>
    </w:p>
    <w:p>
      <w:pPr>
        <w:spacing w:lineRule="exact"/>
        <w:jc w:val="left"/>
      </w:pPr>
      <w:r>
        <w:t>· 坦承购买CORT时预测失误</w:t>
      </w:r>
    </w:p>
    <w:p>
      <w:pPr>
        <w:spacing w:lineRule="exact"/>
        <w:jc w:val="left"/>
      </w:pPr>
      <w:r>
        <w:t>· 直接告知股东Precision Steel的结构性衰退不可逆</w:t>
      </w:r>
    </w:p>
    <w:p>
      <w:pPr>
        <w:spacing w:lineRule="exact"/>
        <w:jc w:val="left"/>
      </w:pPr>
      <w:r>
        <w:t>· 定期提醒西科"每股账面价值对应的内在价值，不如伯克希尔"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诚实的"反销售"精神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芒格反复以书面形式提醒股东：西科不是"伯克希尔的迷你版"。这种反向说服（不鼓励高价买入自己公司股票）体现了受托人的最高诚信标准。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致敬有价值的人才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在每一份年报中，芒格都会特别表彰各子公司的核心管理人才：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Paul Arnold（CORT CEO）："明星级执行官"</w:t>
      </w:r>
    </w:p>
    <w:p>
      <w:pPr>
        <w:spacing w:lineRule="exact"/>
        <w:jc w:val="left"/>
      </w:pPr>
      <w:r>
        <w:t>· Donald Towle（KBS总裁）："拥有优秀管理团队"</w:t>
      </w:r>
    </w:p>
    <w:p>
      <w:pPr>
        <w:spacing w:lineRule="exact"/>
        <w:jc w:val="left"/>
      </w:pPr>
      <w:r>
        <w:t>· Terry Piper（Precision Steel CEO）："在极端困难时期做了杰出工作"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五、西科金融历年关键财务数据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年份 运营净收入（万美元） 每股运营收益 每股账面净资产</w:t>
      </w:r>
    </w:p>
    <w:p>
      <w:pPr>
        <w:spacing w:lineRule="exact"/>
        <w:jc w:val="left"/>
      </w:pPr>
      <w:r>
        <w:t>1997 3,826 $5.38 $248</w:t>
      </w:r>
    </w:p>
    <w:p>
      <w:pPr>
        <w:spacing w:lineRule="exact"/>
        <w:jc w:val="left"/>
      </w:pPr>
      <w:r>
        <w:t>1998 3,762 $5.28 $312</w:t>
      </w:r>
    </w:p>
    <w:p>
      <w:pPr>
        <w:spacing w:lineRule="exact"/>
        <w:jc w:val="left"/>
      </w:pPr>
      <w:r>
        <w:t>1999 4,590 $6.44 $266</w:t>
      </w:r>
    </w:p>
    <w:p>
      <w:pPr>
        <w:spacing w:lineRule="exact"/>
        <w:jc w:val="left"/>
      </w:pPr>
      <w:r>
        <w:t>2000 7,009 $9.84 $278</w:t>
      </w:r>
    </w:p>
    <w:p>
      <w:pPr>
        <w:spacing w:lineRule="exact"/>
        <w:jc w:val="left"/>
      </w:pPr>
      <w:r>
        <w:t>2001 约5,254（含商誉摊销） $7.38 $269</w:t>
      </w:r>
    </w:p>
    <w:p>
      <w:pPr>
        <w:spacing w:lineRule="exact"/>
        <w:jc w:val="left"/>
      </w:pPr>
      <w:r>
        <w:t>2002 5,272 $7.40 $275</w:t>
      </w:r>
    </w:p>
    <w:p>
      <w:pPr>
        <w:spacing w:lineRule="exact"/>
        <w:jc w:val="left"/>
      </w:pPr>
      <w:r>
        <w:t>2003 3,996 $5.61 $292</w:t>
      </w:r>
    </w:p>
    <w:p>
      <w:pPr>
        <w:spacing w:lineRule="exact"/>
        <w:jc w:val="left"/>
      </w:pPr>
      <w:r>
        <w:t>2004 4,743 $6.66 $297</w:t>
      </w:r>
    </w:p>
    <w:p>
      <w:pPr>
        <w:spacing w:lineRule="exact"/>
        <w:jc w:val="left"/>
      </w:pPr>
      <w:r>
        <w:t>2005 7,797 $10.95 $313</w:t>
      </w:r>
    </w:p>
    <w:p>
      <w:pPr>
        <w:spacing w:lineRule="exact"/>
        <w:jc w:val="left"/>
      </w:pPr>
      <w:r>
        <w:t>2006 9,203 $12.93 $337</w:t>
      </w:r>
    </w:p>
    <w:p>
      <w:pPr>
        <w:spacing w:lineRule="exact"/>
        <w:jc w:val="left"/>
      </w:pPr>
      <w:r>
        <w:t>2007 9,341 $13.12 $356</w:t>
      </w:r>
    </w:p>
    <w:p>
      <w:pPr>
        <w:spacing w:lineRule="exact"/>
        <w:jc w:val="left"/>
      </w:pPr>
      <w:r>
        <w:t>2008 7,756 $10.89 $334</w:t>
      </w:r>
    </w:p>
    <w:p>
      <w:pPr>
        <w:spacing w:lineRule="exact"/>
        <w:jc w:val="left"/>
      </w:pPr>
      <w:r>
        <w:t>2009 5,407 $7.59 $358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注：上述"运营净收入"不含证券已实现收益。各年度合并净收入因证券收益差异波动较大（最高达2000年9.22亿美元，最低为一般年份约5000万美元）。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六、西科金融投资哲理对当代投资者的启示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6.1 关于选股与估值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账面价值是起点，而非终点：西科的账面价值大部分来自未实现投资收益，真实内在价值还需叠加税收递延"无息贷款"的时间价值。单纯依赖市净率（P/B）会误导分析。</w:t>
      </w:r>
    </w:p>
    <w:p>
      <w:pPr>
        <w:spacing w:lineRule="exact"/>
        <w:jc w:val="left"/>
      </w:pPr>
      <w:r>
        <w:t>2. 区分"会计噪音"与"经济现实"：商誉摊销、LIFO调整、非现金证券交换等项目，往往混淆了真实经营能力。投资者应学会剥离这些会计项目，聚焦正常化的运营现金流。</w:t>
      </w:r>
    </w:p>
    <w:p>
      <w:pPr>
        <w:spacing w:lineRule="exact"/>
        <w:jc w:val="left"/>
      </w:pPr>
      <w:r>
        <w:t>3. 高质量企业值得"贵价"购买：芒格最初在价格稍高时购入CORT，是典型的"从本杰明·格雷厄姆式价值投资向菲利普·费雪式质量投资"的进化。坏生意便宜也不值得持有；好生意付出一定溢价通常仍是合算的。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6.2 关于风险管理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浮存金模式揭示了"负成本融资"的魔力：保险浮存金在不发生承保亏损的情况下，相当于零成本负债，用于投资创造额外回报。这一模式的关键在于永远不要为了保费收入而承保定价不当的风险。</w:t>
      </w:r>
    </w:p>
    <w:p>
      <w:pPr>
        <w:spacing w:lineRule="exact"/>
        <w:jc w:val="left"/>
      </w:pPr>
      <w:r>
        <w:t>2. 极端风险是可以定价和管理的：超级灾难再保险看似危险，实则通过严格纪律、强大资产负债表、价格优势，形成了合理的风险-回报结构。投资者应学会区分"波动性"与"永久性损失风险"，并愿意承受前者以换取后者可控条件下的高收益。</w:t>
      </w:r>
    </w:p>
    <w:p>
      <w:pPr>
        <w:spacing w:lineRule="exact"/>
        <w:jc w:val="left"/>
      </w:pPr>
      <w:r>
        <w:t>3. 现金不是"干涸"，而是一种主动选择：西科连续多年持有超10亿美元现金而不投资，芒格从未因此道歉。在缺乏优质机会时，持有现金是理性行为——宁可错过，不可做错。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6.3 关于品格与决策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诚实的自我评估是长期成功的基石：芒格明确指出西科质量不如伯克希尔，这一坦率减少了股东的误判。投资者应当同样诚实地评估自己的能力圈，而非过度自信。</w:t>
      </w:r>
    </w:p>
    <w:p>
      <w:pPr>
        <w:spacing w:lineRule="exact"/>
        <w:jc w:val="left"/>
      </w:pPr>
      <w:r>
        <w:t>2. 理性是一种道德责任：芒格在年报中的每一处分析——从递延税款、商誉摊销到保险准备金——都是理性决策的范本。他不追求"看起来聪明"，只追求"实际正确"。</w:t>
      </w:r>
    </w:p>
    <w:p>
      <w:pPr>
        <w:spacing w:lineRule="exact"/>
        <w:jc w:val="left"/>
      </w:pPr>
      <w:r>
        <w:t>3. 从失败中学习比从成功中学习更多：芒格反复公开自己的判断失误（CORT时机、银行股择时、Precision Steel前景），这使他能够持续修正自己的决策框架。承认错误不是弱点，而是长期理性的必要条件。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本总结基于西科金融1997—2009年年报原文整理，所有引用均出自芒格本人撰写的董事长致辞。年报全文可在伯克希尔哈撒韦官方网站查阅。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2026-04-11T04:36:13Z</dcterms:created>
  <dc:creator>Apache POI</dc:creator>
</cp:coreProperties>
</file>